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728" w:type="dxa"/>
        <w:tblBorders>
          <w:top w:val="double" w:sz="4" w:space="0" w:color="auto"/>
          <w:left w:val="double" w:sz="4" w:space="0" w:color="auto"/>
          <w:bottom w:val="double" w:sz="4" w:space="0" w:color="auto"/>
          <w:right w:val="double" w:sz="4" w:space="0" w:color="auto"/>
        </w:tblBorders>
        <w:tblLook w:val="04A0"/>
      </w:tblPr>
      <w:tblGrid>
        <w:gridCol w:w="1908"/>
        <w:gridCol w:w="2071"/>
        <w:gridCol w:w="4769"/>
        <w:gridCol w:w="4678"/>
        <w:gridCol w:w="1302"/>
      </w:tblGrid>
      <w:tr w:rsidR="00AA1920" w:rsidRPr="002E3FDB" w:rsidTr="003C0D7A">
        <w:trPr>
          <w:cantSplit/>
          <w:tblHeader/>
        </w:trPr>
        <w:tc>
          <w:tcPr>
            <w:tcW w:w="648"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DEQ division/</w:t>
            </w:r>
          </w:p>
          <w:p w:rsidR="00AA1920" w:rsidRPr="002E3FDB" w:rsidRDefault="00AA1920" w:rsidP="00A141E9">
            <w:pPr>
              <w:jc w:val="center"/>
              <w:rPr>
                <w:b/>
                <w:sz w:val="24"/>
                <w:szCs w:val="24"/>
                <w:lang w:bidi="en-US"/>
              </w:rPr>
            </w:pPr>
            <w:r w:rsidRPr="002E3FDB">
              <w:rPr>
                <w:b/>
                <w:sz w:val="24"/>
                <w:szCs w:val="24"/>
                <w:lang w:bidi="en-US"/>
              </w:rPr>
              <w:t>rule (OAR)</w:t>
            </w:r>
          </w:p>
        </w:tc>
        <w:tc>
          <w:tcPr>
            <w:tcW w:w="703"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Description</w:t>
            </w:r>
          </w:p>
        </w:tc>
        <w:tc>
          <w:tcPr>
            <w:tcW w:w="1619"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Significant/Substantial Proposed Rule Changes</w:t>
            </w:r>
          </w:p>
        </w:tc>
        <w:tc>
          <w:tcPr>
            <w:tcW w:w="1588"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Purpose</w:t>
            </w:r>
          </w:p>
        </w:tc>
        <w:tc>
          <w:tcPr>
            <w:tcW w:w="442"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Detailed Discussion in:</w:t>
            </w:r>
          </w:p>
        </w:tc>
      </w:tr>
      <w:tr w:rsidR="00053A58" w:rsidRPr="002E3FDB" w:rsidTr="00F90560">
        <w:trPr>
          <w:cantSplit/>
        </w:trPr>
        <w:tc>
          <w:tcPr>
            <w:tcW w:w="5000" w:type="pct"/>
            <w:gridSpan w:val="5"/>
          </w:tcPr>
          <w:p w:rsidR="00053A58" w:rsidRPr="00053A58" w:rsidRDefault="00565766" w:rsidP="003B435E">
            <w:pPr>
              <w:spacing w:before="60" w:after="60"/>
              <w:rPr>
                <w:b/>
                <w:sz w:val="24"/>
                <w:szCs w:val="24"/>
                <w:lang w:bidi="en-US"/>
              </w:rPr>
            </w:pPr>
            <w:r>
              <w:rPr>
                <w:b/>
                <w:sz w:val="24"/>
                <w:szCs w:val="24"/>
                <w:lang w:bidi="en-US"/>
              </w:rPr>
              <w:t>Category</w:t>
            </w:r>
            <w:r w:rsidR="00053A58" w:rsidRPr="002E3FDB">
              <w:rPr>
                <w:b/>
                <w:sz w:val="24"/>
                <w:szCs w:val="24"/>
                <w:lang w:bidi="en-US"/>
              </w:rPr>
              <w:t xml:space="preserve"> </w:t>
            </w:r>
            <w:bookmarkStart w:id="0" w:name="topic0"/>
            <w:bookmarkEnd w:id="0"/>
            <w:r w:rsidR="00053A58" w:rsidRPr="002E3FDB">
              <w:rPr>
                <w:b/>
                <w:sz w:val="24"/>
                <w:szCs w:val="24"/>
                <w:lang w:bidi="en-US"/>
              </w:rPr>
              <w:t>0: Greenhouse gas permitting rules</w:t>
            </w:r>
          </w:p>
        </w:tc>
      </w:tr>
      <w:tr w:rsidR="00795CCE" w:rsidRPr="002E3FDB" w:rsidTr="003C0D7A">
        <w:trPr>
          <w:cantSplit/>
        </w:trPr>
        <w:tc>
          <w:tcPr>
            <w:tcW w:w="648" w:type="pct"/>
            <w:vMerge w:val="restart"/>
          </w:tcPr>
          <w:p w:rsidR="00795CCE" w:rsidRPr="00565766" w:rsidRDefault="00795CCE" w:rsidP="00565766">
            <w:pPr>
              <w:rPr>
                <w:b/>
                <w:sz w:val="24"/>
                <w:szCs w:val="24"/>
              </w:rPr>
            </w:pPr>
            <w:r w:rsidRPr="00565766">
              <w:rPr>
                <w:b/>
                <w:sz w:val="24"/>
                <w:szCs w:val="24"/>
              </w:rPr>
              <w:t>340-200-0020</w:t>
            </w:r>
          </w:p>
        </w:tc>
        <w:tc>
          <w:tcPr>
            <w:tcW w:w="703" w:type="pct"/>
          </w:tcPr>
          <w:p w:rsidR="00795CCE" w:rsidRPr="002E3FDB" w:rsidRDefault="00795CCE" w:rsidP="00512C2D">
            <w:pPr>
              <w:rPr>
                <w:sz w:val="24"/>
                <w:szCs w:val="24"/>
              </w:rPr>
            </w:pPr>
            <w:r w:rsidRPr="002E3FDB">
              <w:rPr>
                <w:sz w:val="24"/>
                <w:szCs w:val="24"/>
              </w:rPr>
              <w:t xml:space="preserve">Definition of </w:t>
            </w:r>
            <w:r>
              <w:rPr>
                <w:sz w:val="24"/>
                <w:szCs w:val="24"/>
              </w:rPr>
              <w:t>“</w:t>
            </w:r>
            <w:r w:rsidRPr="002E3FDB">
              <w:rPr>
                <w:sz w:val="24"/>
                <w:szCs w:val="24"/>
              </w:rPr>
              <w:t>greenhouse gas</w:t>
            </w:r>
            <w:r>
              <w:rPr>
                <w:sz w:val="24"/>
                <w:szCs w:val="24"/>
              </w:rPr>
              <w:t>”</w:t>
            </w:r>
          </w:p>
        </w:tc>
        <w:tc>
          <w:tcPr>
            <w:tcW w:w="1619" w:type="pct"/>
          </w:tcPr>
          <w:p w:rsidR="00795CCE" w:rsidRPr="002E3FDB" w:rsidRDefault="00795CCE" w:rsidP="00863353">
            <w:pPr>
              <w:rPr>
                <w:sz w:val="24"/>
                <w:szCs w:val="24"/>
              </w:rPr>
            </w:pPr>
            <w:r>
              <w:rPr>
                <w:sz w:val="24"/>
                <w:szCs w:val="24"/>
              </w:rPr>
              <w:t>Retain</w:t>
            </w:r>
            <w:r w:rsidRPr="002E3FDB">
              <w:rPr>
                <w:sz w:val="24"/>
                <w:szCs w:val="24"/>
              </w:rPr>
              <w:t xml:space="preserve"> biomass deferral</w:t>
            </w:r>
            <w:r>
              <w:rPr>
                <w:sz w:val="24"/>
                <w:szCs w:val="24"/>
              </w:rPr>
              <w:t xml:space="preserve"> except to the extent required by federal law</w:t>
            </w:r>
          </w:p>
        </w:tc>
        <w:tc>
          <w:tcPr>
            <w:tcW w:w="1588" w:type="pct"/>
          </w:tcPr>
          <w:p w:rsidR="00795CCE" w:rsidRPr="002E3FDB" w:rsidRDefault="00795CCE" w:rsidP="00512C2D">
            <w:pPr>
              <w:rPr>
                <w:sz w:val="24"/>
                <w:szCs w:val="24"/>
              </w:rPr>
            </w:pPr>
            <w:r w:rsidRPr="002E3FDB">
              <w:rPr>
                <w:sz w:val="24"/>
                <w:szCs w:val="24"/>
              </w:rPr>
              <w:t>EPA’s biomass deferral of CO</w:t>
            </w:r>
            <w:r w:rsidRPr="002E3FDB">
              <w:rPr>
                <w:sz w:val="24"/>
                <w:szCs w:val="24"/>
                <w:vertAlign w:val="subscript"/>
              </w:rPr>
              <w:t>2</w:t>
            </w:r>
            <w:r w:rsidRPr="002E3FDB">
              <w:rPr>
                <w:sz w:val="24"/>
                <w:szCs w:val="24"/>
              </w:rPr>
              <w:t xml:space="preserve"> emissions from bioenergy and other biogenic sources ended on July 20, 2014. DEQ’s permitting program must be as stringent as EPA’s.</w:t>
            </w:r>
          </w:p>
        </w:tc>
        <w:tc>
          <w:tcPr>
            <w:tcW w:w="442" w:type="pct"/>
            <w:vAlign w:val="center"/>
          </w:tcPr>
          <w:p w:rsidR="00795CCE" w:rsidRPr="002E3FDB" w:rsidRDefault="00795CCE" w:rsidP="00715B6C">
            <w:pPr>
              <w:spacing w:before="60" w:afterLines="60"/>
              <w:jc w:val="center"/>
              <w:rPr>
                <w:sz w:val="24"/>
                <w:szCs w:val="24"/>
                <w:lang w:bidi="en-US"/>
              </w:rPr>
            </w:pPr>
            <w:r>
              <w:rPr>
                <w:sz w:val="24"/>
                <w:szCs w:val="24"/>
                <w:lang w:bidi="en-US"/>
              </w:rPr>
              <w:t>6.19</w:t>
            </w:r>
          </w:p>
        </w:tc>
      </w:tr>
      <w:tr w:rsidR="001855BB" w:rsidRPr="002E3FDB" w:rsidTr="003C0D7A">
        <w:trPr>
          <w:cantSplit/>
        </w:trPr>
        <w:tc>
          <w:tcPr>
            <w:tcW w:w="648" w:type="pct"/>
            <w:vMerge/>
          </w:tcPr>
          <w:p w:rsidR="001855BB" w:rsidRPr="00565766" w:rsidRDefault="001855BB" w:rsidP="00565766">
            <w:pPr>
              <w:rPr>
                <w:b/>
                <w:sz w:val="24"/>
                <w:szCs w:val="24"/>
              </w:rPr>
            </w:pPr>
          </w:p>
        </w:tc>
        <w:tc>
          <w:tcPr>
            <w:tcW w:w="703" w:type="pct"/>
          </w:tcPr>
          <w:p w:rsidR="001855BB" w:rsidRPr="002E3FDB" w:rsidRDefault="001855BB" w:rsidP="00565766">
            <w:pPr>
              <w:rPr>
                <w:sz w:val="24"/>
                <w:szCs w:val="24"/>
              </w:rPr>
            </w:pPr>
            <w:r w:rsidRPr="002E3FDB">
              <w:rPr>
                <w:sz w:val="24"/>
                <w:szCs w:val="24"/>
              </w:rPr>
              <w:t>Definitions of “federal major source” and “major source”</w:t>
            </w:r>
          </w:p>
        </w:tc>
        <w:tc>
          <w:tcPr>
            <w:tcW w:w="1619" w:type="pct"/>
          </w:tcPr>
          <w:p w:rsidR="001855BB" w:rsidRPr="002E3FDB" w:rsidRDefault="001855BB" w:rsidP="00565766">
            <w:pPr>
              <w:rPr>
                <w:sz w:val="24"/>
                <w:szCs w:val="24"/>
              </w:rPr>
            </w:pPr>
            <w:r w:rsidRPr="002E3FDB">
              <w:rPr>
                <w:sz w:val="24"/>
                <w:szCs w:val="24"/>
              </w:rPr>
              <w:t>Revise/eliminate greenhouse gas thresholds</w:t>
            </w:r>
            <w:r w:rsidR="006519FE">
              <w:rPr>
                <w:sz w:val="24"/>
                <w:szCs w:val="24"/>
              </w:rPr>
              <w:t>.</w:t>
            </w:r>
          </w:p>
        </w:tc>
        <w:tc>
          <w:tcPr>
            <w:tcW w:w="1588" w:type="pct"/>
          </w:tcPr>
          <w:p w:rsidR="001855BB" w:rsidRPr="002E3FDB" w:rsidRDefault="006519FE" w:rsidP="00565766">
            <w:pPr>
              <w:rPr>
                <w:sz w:val="24"/>
                <w:szCs w:val="24"/>
              </w:rPr>
            </w:pPr>
            <w:r>
              <w:rPr>
                <w:sz w:val="24"/>
                <w:szCs w:val="24"/>
              </w:rPr>
              <w:t>A</w:t>
            </w:r>
            <w:r w:rsidR="001855BB" w:rsidRPr="002E3FDB">
              <w:rPr>
                <w:sz w:val="24"/>
                <w:szCs w:val="24"/>
              </w:rPr>
              <w:t>lign with the Supreme Court decision not to require Prevention of Significant Deterioration or Title V permitting for greenhouse gas emissions alone.</w:t>
            </w:r>
          </w:p>
        </w:tc>
        <w:tc>
          <w:tcPr>
            <w:tcW w:w="442" w:type="pct"/>
            <w:vAlign w:val="center"/>
          </w:tcPr>
          <w:p w:rsidR="001855BB" w:rsidRPr="002E3FDB" w:rsidRDefault="009B2C75" w:rsidP="00715B6C">
            <w:pPr>
              <w:spacing w:before="60" w:afterLines="60"/>
              <w:jc w:val="center"/>
              <w:rPr>
                <w:sz w:val="24"/>
                <w:szCs w:val="24"/>
                <w:lang w:bidi="en-US"/>
              </w:rPr>
            </w:pPr>
            <w:r>
              <w:rPr>
                <w:sz w:val="24"/>
                <w:szCs w:val="24"/>
                <w:lang w:bidi="en-US"/>
              </w:rPr>
              <w:t>0.1</w:t>
            </w:r>
          </w:p>
        </w:tc>
      </w:tr>
      <w:tr w:rsidR="00FE6B5C" w:rsidRPr="002E3FDB" w:rsidTr="003C0D7A">
        <w:trPr>
          <w:cantSplit/>
        </w:trPr>
        <w:tc>
          <w:tcPr>
            <w:tcW w:w="648" w:type="pct"/>
          </w:tcPr>
          <w:p w:rsidR="00FE6B5C" w:rsidRPr="00565766" w:rsidRDefault="00FE6B5C" w:rsidP="00565766">
            <w:pPr>
              <w:rPr>
                <w:b/>
                <w:sz w:val="24"/>
                <w:szCs w:val="24"/>
              </w:rPr>
            </w:pPr>
            <w:r w:rsidRPr="00565766">
              <w:rPr>
                <w:b/>
                <w:sz w:val="24"/>
                <w:szCs w:val="24"/>
              </w:rPr>
              <w:t>340-224-0010</w:t>
            </w:r>
            <w:r w:rsidR="00D77B58" w:rsidRPr="00565766">
              <w:rPr>
                <w:b/>
                <w:sz w:val="24"/>
                <w:szCs w:val="24"/>
              </w:rPr>
              <w:t>(7)</w:t>
            </w:r>
          </w:p>
        </w:tc>
        <w:tc>
          <w:tcPr>
            <w:tcW w:w="703" w:type="pct"/>
          </w:tcPr>
          <w:p w:rsidR="00FE6B5C" w:rsidRPr="002E3FDB" w:rsidRDefault="002B240C" w:rsidP="00565766">
            <w:pPr>
              <w:rPr>
                <w:sz w:val="24"/>
                <w:szCs w:val="24"/>
              </w:rPr>
            </w:pPr>
            <w:r>
              <w:rPr>
                <w:sz w:val="24"/>
                <w:szCs w:val="24"/>
              </w:rPr>
              <w:t>New Source Review</w:t>
            </w:r>
            <w:r w:rsidR="00FE6B5C" w:rsidRPr="002E3FDB">
              <w:rPr>
                <w:sz w:val="24"/>
                <w:szCs w:val="24"/>
              </w:rPr>
              <w:t xml:space="preserve"> applicability</w:t>
            </w:r>
          </w:p>
        </w:tc>
        <w:tc>
          <w:tcPr>
            <w:tcW w:w="1619" w:type="pct"/>
          </w:tcPr>
          <w:p w:rsidR="00FE6B5C" w:rsidRPr="002E3FDB" w:rsidRDefault="00FE6B5C" w:rsidP="00565766">
            <w:pPr>
              <w:rPr>
                <w:sz w:val="24"/>
                <w:szCs w:val="24"/>
              </w:rPr>
            </w:pPr>
            <w:r w:rsidRPr="002E3FDB">
              <w:rPr>
                <w:sz w:val="24"/>
                <w:szCs w:val="24"/>
              </w:rPr>
              <w:t>Specify that greenhouse gases will be subject to PSD only at “anyway sources</w:t>
            </w:r>
            <w:r w:rsidR="000D69A8">
              <w:rPr>
                <w:sz w:val="24"/>
                <w:szCs w:val="24"/>
              </w:rPr>
              <w:t>.</w:t>
            </w:r>
            <w:r w:rsidRPr="002E3FDB">
              <w:rPr>
                <w:sz w:val="24"/>
                <w:szCs w:val="24"/>
              </w:rPr>
              <w:t>”</w:t>
            </w:r>
          </w:p>
        </w:tc>
        <w:tc>
          <w:tcPr>
            <w:tcW w:w="1588" w:type="pct"/>
          </w:tcPr>
          <w:p w:rsidR="00FE6B5C" w:rsidRPr="002E3FDB" w:rsidRDefault="00FE6B5C" w:rsidP="006F4615">
            <w:pPr>
              <w:rPr>
                <w:sz w:val="24"/>
                <w:szCs w:val="24"/>
              </w:rPr>
            </w:pPr>
            <w:r w:rsidRPr="002E3FDB">
              <w:rPr>
                <w:sz w:val="24"/>
                <w:szCs w:val="24"/>
              </w:rPr>
              <w:t>Align with Supreme Court ruling on EPA’s greenhouse gas “tailoring rule</w:t>
            </w:r>
            <w:r w:rsidR="006F4615">
              <w:rPr>
                <w:sz w:val="24"/>
                <w:szCs w:val="24"/>
              </w:rPr>
              <w:t>.</w:t>
            </w:r>
            <w:r w:rsidRPr="002E3FDB">
              <w:rPr>
                <w:sz w:val="24"/>
                <w:szCs w:val="24"/>
              </w:rPr>
              <w:t>”</w:t>
            </w:r>
          </w:p>
        </w:tc>
        <w:tc>
          <w:tcPr>
            <w:tcW w:w="442" w:type="pct"/>
            <w:vAlign w:val="center"/>
          </w:tcPr>
          <w:p w:rsidR="00FE6B5C" w:rsidRPr="002E3FDB" w:rsidRDefault="009B2C75" w:rsidP="00715B6C">
            <w:pPr>
              <w:spacing w:before="60" w:afterLines="60"/>
              <w:jc w:val="center"/>
              <w:rPr>
                <w:sz w:val="24"/>
                <w:szCs w:val="24"/>
                <w:lang w:bidi="en-US"/>
              </w:rPr>
            </w:pPr>
            <w:r>
              <w:rPr>
                <w:sz w:val="24"/>
                <w:szCs w:val="24"/>
                <w:lang w:bidi="en-US"/>
              </w:rPr>
              <w:t>0.1</w:t>
            </w:r>
          </w:p>
        </w:tc>
      </w:tr>
      <w:tr w:rsidR="001F0F86" w:rsidRPr="002E3FDB" w:rsidTr="00394D2D">
        <w:trPr>
          <w:cantSplit/>
        </w:trPr>
        <w:tc>
          <w:tcPr>
            <w:tcW w:w="5000" w:type="pct"/>
            <w:gridSpan w:val="5"/>
          </w:tcPr>
          <w:p w:rsidR="001F0F86" w:rsidRPr="001A3C4D" w:rsidRDefault="001F0F86" w:rsidP="00394D2D">
            <w:pPr>
              <w:spacing w:before="60" w:afterLines="60"/>
              <w:rPr>
                <w:b/>
                <w:sz w:val="24"/>
                <w:szCs w:val="24"/>
                <w:lang w:bidi="en-US"/>
              </w:rPr>
            </w:pPr>
            <w:r>
              <w:rPr>
                <w:b/>
                <w:sz w:val="24"/>
                <w:szCs w:val="24"/>
                <w:lang w:bidi="en-US"/>
              </w:rPr>
              <w:t>Category</w:t>
            </w:r>
            <w:r w:rsidRPr="001A3C4D">
              <w:rPr>
                <w:b/>
                <w:sz w:val="24"/>
                <w:szCs w:val="24"/>
                <w:lang w:bidi="en-US"/>
              </w:rPr>
              <w:t xml:space="preserve"> </w:t>
            </w:r>
            <w:bookmarkStart w:id="1" w:name="topic1"/>
            <w:bookmarkEnd w:id="1"/>
            <w:r w:rsidRPr="001A3C4D">
              <w:rPr>
                <w:b/>
                <w:sz w:val="24"/>
                <w:szCs w:val="24"/>
                <w:lang w:bidi="en-US"/>
              </w:rPr>
              <w:t>1: Clarify and update air quality rules</w:t>
            </w:r>
          </w:p>
        </w:tc>
      </w:tr>
      <w:tr w:rsidR="001F0F86" w:rsidRPr="002E3FDB" w:rsidTr="001F0F86">
        <w:trPr>
          <w:cantSplit/>
        </w:trPr>
        <w:tc>
          <w:tcPr>
            <w:tcW w:w="648" w:type="pct"/>
          </w:tcPr>
          <w:p w:rsidR="001F0F86" w:rsidRPr="002E3FDB" w:rsidRDefault="001F0F86" w:rsidP="00394D2D">
            <w:pPr>
              <w:rPr>
                <w:b/>
                <w:sz w:val="24"/>
                <w:szCs w:val="24"/>
              </w:rPr>
            </w:pPr>
            <w:r w:rsidRPr="002E3FDB">
              <w:rPr>
                <w:b/>
                <w:sz w:val="24"/>
                <w:szCs w:val="24"/>
              </w:rPr>
              <w:t>340-232-0110</w:t>
            </w:r>
          </w:p>
        </w:tc>
        <w:tc>
          <w:tcPr>
            <w:tcW w:w="703" w:type="pct"/>
          </w:tcPr>
          <w:p w:rsidR="001F0F86" w:rsidRPr="002E3FDB" w:rsidRDefault="001F0F86" w:rsidP="00394D2D">
            <w:pPr>
              <w:rPr>
                <w:sz w:val="24"/>
                <w:szCs w:val="24"/>
              </w:rPr>
            </w:pPr>
            <w:r w:rsidRPr="002E3FDB">
              <w:rPr>
                <w:sz w:val="24"/>
                <w:szCs w:val="24"/>
              </w:rPr>
              <w:t>Loading Gasoline or Volatile Organic Compound Liquids onto Marine Tank Vessels</w:t>
            </w:r>
          </w:p>
        </w:tc>
        <w:tc>
          <w:tcPr>
            <w:tcW w:w="1619" w:type="pct"/>
          </w:tcPr>
          <w:p w:rsidR="001F0F86" w:rsidRPr="002E3FDB" w:rsidRDefault="001F0F86" w:rsidP="00394D2D">
            <w:pPr>
              <w:spacing w:after="120"/>
              <w:rPr>
                <w:sz w:val="24"/>
                <w:szCs w:val="24"/>
              </w:rPr>
            </w:pPr>
            <w:r>
              <w:rPr>
                <w:sz w:val="24"/>
                <w:szCs w:val="24"/>
              </w:rPr>
              <w:t xml:space="preserve">Expand rules for petroleum product terminals in the Portland ozone maintenance area to control emissions from loading gasoline onto marine vessels. </w:t>
            </w:r>
          </w:p>
        </w:tc>
        <w:tc>
          <w:tcPr>
            <w:tcW w:w="1588" w:type="pct"/>
          </w:tcPr>
          <w:p w:rsidR="001F0F86" w:rsidRPr="002E3FDB" w:rsidRDefault="001F0F86" w:rsidP="00394D2D">
            <w:pPr>
              <w:spacing w:after="120"/>
              <w:rPr>
                <w:sz w:val="24"/>
                <w:szCs w:val="24"/>
              </w:rPr>
            </w:pPr>
            <w:r>
              <w:rPr>
                <w:sz w:val="24"/>
                <w:szCs w:val="24"/>
              </w:rPr>
              <w:t>Terminals may wish to store and load very volatile liquids in the future, such as crude oils produced by “fracking.” Emissions from these products may be substantial and will require different emission control systems.</w:t>
            </w:r>
          </w:p>
        </w:tc>
        <w:tc>
          <w:tcPr>
            <w:tcW w:w="442" w:type="pct"/>
            <w:vAlign w:val="center"/>
          </w:tcPr>
          <w:p w:rsidR="001F0F86" w:rsidRPr="002E3FDB" w:rsidRDefault="001F0F86" w:rsidP="00394D2D">
            <w:pPr>
              <w:spacing w:after="120"/>
              <w:jc w:val="center"/>
              <w:rPr>
                <w:sz w:val="24"/>
                <w:szCs w:val="24"/>
              </w:rPr>
            </w:pPr>
            <w:r>
              <w:rPr>
                <w:sz w:val="24"/>
                <w:szCs w:val="24"/>
              </w:rPr>
              <w:t>1.31, 1.32</w:t>
            </w:r>
          </w:p>
        </w:tc>
      </w:tr>
      <w:tr w:rsidR="001A3C4D" w:rsidRPr="002E3FDB" w:rsidTr="00B36D5D">
        <w:trPr>
          <w:cantSplit/>
        </w:trPr>
        <w:tc>
          <w:tcPr>
            <w:tcW w:w="5000" w:type="pct"/>
            <w:gridSpan w:val="5"/>
            <w:tcBorders>
              <w:top w:val="nil"/>
            </w:tcBorders>
          </w:tcPr>
          <w:p w:rsidR="001A3C4D" w:rsidRPr="001A3C4D" w:rsidRDefault="00565766" w:rsidP="003B435E">
            <w:pPr>
              <w:spacing w:before="60" w:after="60"/>
              <w:rPr>
                <w:b/>
                <w:sz w:val="24"/>
                <w:szCs w:val="24"/>
                <w:lang w:bidi="en-US"/>
              </w:rPr>
            </w:pPr>
            <w:r>
              <w:rPr>
                <w:b/>
                <w:sz w:val="24"/>
                <w:szCs w:val="24"/>
                <w:lang w:bidi="en-US"/>
              </w:rPr>
              <w:t>Category</w:t>
            </w:r>
            <w:r w:rsidR="001A3C4D" w:rsidRPr="001A3C4D">
              <w:rPr>
                <w:b/>
                <w:sz w:val="24"/>
                <w:szCs w:val="24"/>
                <w:lang w:bidi="en-US"/>
              </w:rPr>
              <w:t xml:space="preserve"> </w:t>
            </w:r>
            <w:bookmarkStart w:id="2" w:name="topic5"/>
            <w:bookmarkEnd w:id="2"/>
            <w:r w:rsidR="001A3C4D" w:rsidRPr="001A3C4D">
              <w:rPr>
                <w:b/>
                <w:sz w:val="24"/>
                <w:szCs w:val="24"/>
                <w:lang w:bidi="en-US"/>
              </w:rPr>
              <w:t>5: Designate Lakeview as a state sustainment area while retaining its federal attainment designation</w:t>
            </w:r>
          </w:p>
        </w:tc>
      </w:tr>
      <w:tr w:rsidR="001A3C4D" w:rsidRPr="002E3FDB" w:rsidTr="003C0D7A">
        <w:trPr>
          <w:cantSplit/>
        </w:trPr>
        <w:tc>
          <w:tcPr>
            <w:tcW w:w="648" w:type="pct"/>
          </w:tcPr>
          <w:p w:rsidR="001A3C4D" w:rsidRPr="002E3FDB" w:rsidRDefault="001A3C4D" w:rsidP="00207FC0">
            <w:pPr>
              <w:rPr>
                <w:b/>
                <w:sz w:val="24"/>
                <w:szCs w:val="24"/>
                <w:lang w:bidi="en-US"/>
              </w:rPr>
            </w:pPr>
            <w:r w:rsidRPr="002E3FDB">
              <w:rPr>
                <w:b/>
                <w:sz w:val="24"/>
                <w:szCs w:val="24"/>
                <w:lang w:bidi="en-US"/>
              </w:rPr>
              <w:t>340-204-0300</w:t>
            </w:r>
          </w:p>
        </w:tc>
        <w:tc>
          <w:tcPr>
            <w:tcW w:w="703" w:type="pct"/>
          </w:tcPr>
          <w:p w:rsidR="001A3C4D" w:rsidRPr="0002246C" w:rsidRDefault="001A3C4D" w:rsidP="00207FC0">
            <w:pPr>
              <w:rPr>
                <w:sz w:val="24"/>
                <w:szCs w:val="24"/>
              </w:rPr>
            </w:pPr>
            <w:r w:rsidRPr="0002246C">
              <w:rPr>
                <w:sz w:val="24"/>
                <w:szCs w:val="24"/>
              </w:rPr>
              <w:t>Designation of Sustainment Areas</w:t>
            </w:r>
          </w:p>
          <w:p w:rsidR="001A3C4D" w:rsidRPr="0002246C" w:rsidRDefault="001A3C4D" w:rsidP="00207FC0">
            <w:pPr>
              <w:rPr>
                <w:sz w:val="24"/>
                <w:szCs w:val="24"/>
                <w:lang w:bidi="en-US"/>
              </w:rPr>
            </w:pPr>
          </w:p>
        </w:tc>
        <w:tc>
          <w:tcPr>
            <w:tcW w:w="1619" w:type="pct"/>
          </w:tcPr>
          <w:p w:rsidR="001A3C4D" w:rsidRPr="0002246C" w:rsidRDefault="009B0CD4" w:rsidP="009B0CD4">
            <w:pPr>
              <w:spacing w:after="120"/>
              <w:rPr>
                <w:sz w:val="24"/>
                <w:szCs w:val="24"/>
              </w:rPr>
            </w:pPr>
            <w:r>
              <w:rPr>
                <w:sz w:val="24"/>
                <w:szCs w:val="24"/>
              </w:rPr>
              <w:t>Designate</w:t>
            </w:r>
            <w:r w:rsidR="001A3C4D" w:rsidRPr="0002246C">
              <w:rPr>
                <w:sz w:val="24"/>
                <w:szCs w:val="24"/>
              </w:rPr>
              <w:t xml:space="preserve"> Lakeview as a sustainment area.</w:t>
            </w:r>
          </w:p>
        </w:tc>
        <w:tc>
          <w:tcPr>
            <w:tcW w:w="1588" w:type="pct"/>
          </w:tcPr>
          <w:p w:rsidR="001A3C4D" w:rsidRPr="0002246C" w:rsidRDefault="001A3C4D" w:rsidP="003F7B68">
            <w:pPr>
              <w:rPr>
                <w:sz w:val="24"/>
                <w:szCs w:val="24"/>
                <w:lang w:bidi="en-US"/>
              </w:rPr>
            </w:pPr>
            <w:r w:rsidRPr="0002246C">
              <w:rPr>
                <w:sz w:val="24"/>
                <w:szCs w:val="24"/>
              </w:rPr>
              <w:t>Lakeview currently exceeds the ambient air quality standard for PM</w:t>
            </w:r>
            <w:r w:rsidRPr="0002246C">
              <w:rPr>
                <w:sz w:val="24"/>
                <w:szCs w:val="24"/>
                <w:vertAlign w:val="subscript"/>
              </w:rPr>
              <w:t>2.5</w:t>
            </w:r>
            <w:r w:rsidRPr="0002246C">
              <w:rPr>
                <w:sz w:val="24"/>
                <w:szCs w:val="24"/>
              </w:rPr>
              <w:t xml:space="preserve"> but is not designated as a nonattainment area. The sustainment designation should help reduce emissions and allow construct</w:t>
            </w:r>
            <w:r w:rsidR="003F7B68">
              <w:rPr>
                <w:sz w:val="24"/>
                <w:szCs w:val="24"/>
              </w:rPr>
              <w:t xml:space="preserve">ion </w:t>
            </w:r>
            <w:r w:rsidRPr="0002246C">
              <w:rPr>
                <w:sz w:val="24"/>
                <w:szCs w:val="24"/>
              </w:rPr>
              <w:t>if air quality is protected.</w:t>
            </w:r>
          </w:p>
        </w:tc>
        <w:tc>
          <w:tcPr>
            <w:tcW w:w="442" w:type="pct"/>
            <w:vAlign w:val="center"/>
          </w:tcPr>
          <w:p w:rsidR="001A3C4D" w:rsidRPr="0002246C" w:rsidRDefault="001A3C4D" w:rsidP="00207FC0">
            <w:pPr>
              <w:jc w:val="center"/>
              <w:rPr>
                <w:sz w:val="24"/>
                <w:szCs w:val="24"/>
                <w:lang w:bidi="en-US"/>
              </w:rPr>
            </w:pPr>
            <w:r>
              <w:rPr>
                <w:sz w:val="24"/>
                <w:szCs w:val="24"/>
                <w:lang w:bidi="en-US"/>
              </w:rPr>
              <w:t>5.1</w:t>
            </w:r>
          </w:p>
        </w:tc>
      </w:tr>
      <w:tr w:rsidR="001A3C4D" w:rsidRPr="002E3FDB" w:rsidTr="00E13CD2">
        <w:trPr>
          <w:cantSplit/>
        </w:trPr>
        <w:tc>
          <w:tcPr>
            <w:tcW w:w="648" w:type="pct"/>
            <w:tcBorders>
              <w:bottom w:val="single" w:sz="4" w:space="0" w:color="auto"/>
            </w:tcBorders>
          </w:tcPr>
          <w:p w:rsidR="001A3C4D" w:rsidRPr="002E3FDB" w:rsidRDefault="001A3C4D" w:rsidP="00207FC0">
            <w:pPr>
              <w:rPr>
                <w:b/>
                <w:sz w:val="24"/>
                <w:szCs w:val="24"/>
                <w:lang w:bidi="en-US"/>
              </w:rPr>
            </w:pPr>
            <w:r w:rsidRPr="002E3FDB">
              <w:rPr>
                <w:b/>
                <w:sz w:val="24"/>
                <w:szCs w:val="24"/>
                <w:lang w:bidi="en-US"/>
              </w:rPr>
              <w:t>340-2</w:t>
            </w:r>
            <w:r>
              <w:rPr>
                <w:b/>
                <w:sz w:val="24"/>
                <w:szCs w:val="24"/>
                <w:lang w:bidi="en-US"/>
              </w:rPr>
              <w:t>04-0320</w:t>
            </w:r>
          </w:p>
        </w:tc>
        <w:tc>
          <w:tcPr>
            <w:tcW w:w="703" w:type="pct"/>
            <w:tcBorders>
              <w:bottom w:val="single" w:sz="4" w:space="0" w:color="auto"/>
            </w:tcBorders>
          </w:tcPr>
          <w:p w:rsidR="001A3C4D" w:rsidRPr="0002246C" w:rsidRDefault="001A3C4D" w:rsidP="00207FC0">
            <w:pPr>
              <w:rPr>
                <w:sz w:val="24"/>
                <w:szCs w:val="24"/>
                <w:lang w:bidi="en-US"/>
              </w:rPr>
            </w:pPr>
            <w:r>
              <w:rPr>
                <w:sz w:val="24"/>
                <w:szCs w:val="24"/>
                <w:lang w:bidi="en-US"/>
              </w:rPr>
              <w:t>Designation of priority sources</w:t>
            </w:r>
          </w:p>
        </w:tc>
        <w:tc>
          <w:tcPr>
            <w:tcW w:w="1619" w:type="pct"/>
            <w:tcBorders>
              <w:bottom w:val="single" w:sz="4" w:space="0" w:color="auto"/>
            </w:tcBorders>
          </w:tcPr>
          <w:p w:rsidR="001A3C4D" w:rsidRPr="0002246C" w:rsidRDefault="009B0CD4" w:rsidP="00207FC0">
            <w:pPr>
              <w:rPr>
                <w:sz w:val="24"/>
                <w:szCs w:val="24"/>
                <w:lang w:bidi="en-US"/>
              </w:rPr>
            </w:pPr>
            <w:r>
              <w:rPr>
                <w:sz w:val="24"/>
                <w:szCs w:val="24"/>
                <w:lang w:bidi="en-US"/>
              </w:rPr>
              <w:t>D</w:t>
            </w:r>
            <w:r w:rsidR="001A3C4D">
              <w:rPr>
                <w:sz w:val="24"/>
                <w:szCs w:val="24"/>
                <w:lang w:bidi="en-US"/>
              </w:rPr>
              <w:t>esignate uncertified wood-burning devices as priority sources in Lakeview.</w:t>
            </w:r>
          </w:p>
        </w:tc>
        <w:tc>
          <w:tcPr>
            <w:tcW w:w="1588" w:type="pct"/>
            <w:tcBorders>
              <w:bottom w:val="single" w:sz="4" w:space="0" w:color="auto"/>
            </w:tcBorders>
          </w:tcPr>
          <w:p w:rsidR="001A3C4D" w:rsidRPr="0002246C" w:rsidRDefault="001A3C4D" w:rsidP="00F209EC">
            <w:pPr>
              <w:rPr>
                <w:sz w:val="24"/>
                <w:szCs w:val="24"/>
                <w:lang w:bidi="en-US"/>
              </w:rPr>
            </w:pPr>
            <w:r>
              <w:rPr>
                <w:sz w:val="24"/>
                <w:szCs w:val="24"/>
                <w:lang w:bidi="en-US"/>
              </w:rPr>
              <w:t>Uncertified woodstoves have been identified as the main cause of the PM</w:t>
            </w:r>
            <w:r w:rsidRPr="0002246C">
              <w:rPr>
                <w:sz w:val="24"/>
                <w:szCs w:val="24"/>
                <w:vertAlign w:val="subscript"/>
                <w:lang w:bidi="en-US"/>
              </w:rPr>
              <w:t>2.5</w:t>
            </w:r>
            <w:r>
              <w:rPr>
                <w:sz w:val="24"/>
                <w:szCs w:val="24"/>
                <w:lang w:bidi="en-US"/>
              </w:rPr>
              <w:t xml:space="preserve"> exceedances. </w:t>
            </w:r>
          </w:p>
        </w:tc>
        <w:tc>
          <w:tcPr>
            <w:tcW w:w="442" w:type="pct"/>
            <w:tcBorders>
              <w:bottom w:val="single" w:sz="4" w:space="0" w:color="auto"/>
            </w:tcBorders>
            <w:vAlign w:val="center"/>
          </w:tcPr>
          <w:p w:rsidR="001A3C4D" w:rsidRPr="0002246C" w:rsidRDefault="001A3C4D" w:rsidP="00207FC0">
            <w:pPr>
              <w:jc w:val="center"/>
              <w:rPr>
                <w:sz w:val="24"/>
                <w:szCs w:val="24"/>
                <w:lang w:bidi="en-US"/>
              </w:rPr>
            </w:pPr>
            <w:r>
              <w:rPr>
                <w:sz w:val="24"/>
                <w:szCs w:val="24"/>
                <w:lang w:bidi="en-US"/>
              </w:rPr>
              <w:t>5.1</w:t>
            </w:r>
          </w:p>
        </w:tc>
      </w:tr>
      <w:tr w:rsidR="00E13CD2" w:rsidRPr="001A3C4D" w:rsidTr="00E13CD2">
        <w:trPr>
          <w:cantSplit/>
        </w:trPr>
        <w:tc>
          <w:tcPr>
            <w:tcW w:w="5000" w:type="pct"/>
            <w:gridSpan w:val="5"/>
            <w:tcBorders>
              <w:top w:val="single" w:sz="4" w:space="0" w:color="auto"/>
              <w:left w:val="nil"/>
              <w:bottom w:val="nil"/>
              <w:right w:val="nil"/>
            </w:tcBorders>
          </w:tcPr>
          <w:p w:rsidR="00E13CD2" w:rsidRDefault="00E13CD2" w:rsidP="003B435E">
            <w:pPr>
              <w:spacing w:before="60" w:after="60"/>
              <w:rPr>
                <w:b/>
                <w:sz w:val="24"/>
                <w:szCs w:val="24"/>
                <w:lang w:bidi="en-US"/>
              </w:rPr>
            </w:pPr>
          </w:p>
        </w:tc>
      </w:tr>
      <w:tr w:rsidR="001A3C4D" w:rsidRPr="001A3C4D" w:rsidTr="00E13CD2">
        <w:trPr>
          <w:cantSplit/>
        </w:trPr>
        <w:tc>
          <w:tcPr>
            <w:tcW w:w="5000" w:type="pct"/>
            <w:gridSpan w:val="5"/>
            <w:tcBorders>
              <w:top w:val="nil"/>
            </w:tcBorders>
          </w:tcPr>
          <w:p w:rsidR="001A3C4D" w:rsidRPr="001A3C4D" w:rsidRDefault="00565766" w:rsidP="003B435E">
            <w:pPr>
              <w:spacing w:before="60" w:after="60"/>
              <w:rPr>
                <w:b/>
                <w:sz w:val="24"/>
                <w:szCs w:val="24"/>
                <w:lang w:bidi="en-US"/>
              </w:rPr>
            </w:pPr>
            <w:r>
              <w:rPr>
                <w:b/>
                <w:sz w:val="24"/>
                <w:szCs w:val="24"/>
                <w:lang w:bidi="en-US"/>
              </w:rPr>
              <w:lastRenderedPageBreak/>
              <w:t>Category</w:t>
            </w:r>
            <w:r w:rsidR="001A3C4D" w:rsidRPr="00694E9E">
              <w:rPr>
                <w:b/>
                <w:sz w:val="24"/>
                <w:szCs w:val="24"/>
                <w:lang w:bidi="en-US"/>
              </w:rPr>
              <w:t xml:space="preserve"> </w:t>
            </w:r>
            <w:bookmarkStart w:id="3" w:name="topic6"/>
            <w:bookmarkEnd w:id="3"/>
            <w:r w:rsidR="001A3C4D" w:rsidRPr="00694E9E">
              <w:rPr>
                <w:b/>
                <w:sz w:val="24"/>
                <w:szCs w:val="24"/>
                <w:lang w:bidi="en-US"/>
              </w:rPr>
              <w:t>6: Change the New Source Review preconstruction permitting program</w:t>
            </w:r>
          </w:p>
        </w:tc>
      </w:tr>
      <w:tr w:rsidR="001A3C4D" w:rsidRPr="002E3FDB" w:rsidTr="003C0D7A">
        <w:trPr>
          <w:cantSplit/>
        </w:trPr>
        <w:tc>
          <w:tcPr>
            <w:tcW w:w="648" w:type="pct"/>
            <w:tcBorders>
              <w:top w:val="single" w:sz="4" w:space="0" w:color="auto"/>
            </w:tcBorders>
          </w:tcPr>
          <w:p w:rsidR="001A3C4D" w:rsidRDefault="001A3C4D" w:rsidP="00207FC0">
            <w:pPr>
              <w:rPr>
                <w:b/>
                <w:sz w:val="24"/>
                <w:szCs w:val="24"/>
              </w:rPr>
            </w:pPr>
            <w:r>
              <w:rPr>
                <w:b/>
                <w:sz w:val="24"/>
                <w:szCs w:val="24"/>
              </w:rPr>
              <w:t>340-224-0045 through -0070</w:t>
            </w:r>
          </w:p>
        </w:tc>
        <w:tc>
          <w:tcPr>
            <w:tcW w:w="703" w:type="pct"/>
            <w:tcBorders>
              <w:top w:val="single" w:sz="4" w:space="0" w:color="auto"/>
            </w:tcBorders>
          </w:tcPr>
          <w:p w:rsidR="001A3C4D" w:rsidRPr="002C50D5" w:rsidRDefault="001A3C4D" w:rsidP="00207FC0">
            <w:pPr>
              <w:rPr>
                <w:sz w:val="24"/>
                <w:szCs w:val="24"/>
              </w:rPr>
            </w:pPr>
            <w:r>
              <w:rPr>
                <w:sz w:val="24"/>
                <w:szCs w:val="24"/>
              </w:rPr>
              <w:t>Major New Source Review</w:t>
            </w:r>
          </w:p>
        </w:tc>
        <w:tc>
          <w:tcPr>
            <w:tcW w:w="1619" w:type="pct"/>
            <w:tcBorders>
              <w:top w:val="single" w:sz="4" w:space="0" w:color="auto"/>
            </w:tcBorders>
          </w:tcPr>
          <w:p w:rsidR="001A3C4D" w:rsidRDefault="001A3C4D" w:rsidP="00207FC0">
            <w:pPr>
              <w:spacing w:after="120"/>
              <w:rPr>
                <w:bCs/>
                <w:sz w:val="24"/>
                <w:szCs w:val="24"/>
              </w:rPr>
            </w:pPr>
            <w:r>
              <w:rPr>
                <w:bCs/>
                <w:sz w:val="24"/>
                <w:szCs w:val="24"/>
              </w:rPr>
              <w:t>Add rules for Major New Source Review in Sustainment and Reattainment areas.</w:t>
            </w:r>
          </w:p>
        </w:tc>
        <w:tc>
          <w:tcPr>
            <w:tcW w:w="1588" w:type="pct"/>
            <w:tcBorders>
              <w:top w:val="single" w:sz="4" w:space="0" w:color="auto"/>
            </w:tcBorders>
          </w:tcPr>
          <w:p w:rsidR="001A3C4D" w:rsidRDefault="001A3C4D" w:rsidP="00F209EC">
            <w:pPr>
              <w:rPr>
                <w:bCs/>
                <w:sz w:val="24"/>
                <w:szCs w:val="24"/>
              </w:rPr>
            </w:pPr>
            <w:r>
              <w:rPr>
                <w:bCs/>
                <w:sz w:val="24"/>
                <w:szCs w:val="24"/>
              </w:rPr>
              <w:t xml:space="preserve">Major New Source Review rules are area-specific, to address the air quality needs in each type of area. </w:t>
            </w:r>
          </w:p>
        </w:tc>
        <w:tc>
          <w:tcPr>
            <w:tcW w:w="442"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3C0D7A">
        <w:trPr>
          <w:cantSplit/>
        </w:trPr>
        <w:tc>
          <w:tcPr>
            <w:tcW w:w="648" w:type="pct"/>
          </w:tcPr>
          <w:p w:rsidR="001A3C4D" w:rsidRPr="002E3FDB" w:rsidRDefault="001A3C4D" w:rsidP="00207FC0">
            <w:pPr>
              <w:rPr>
                <w:b/>
                <w:sz w:val="24"/>
                <w:szCs w:val="24"/>
              </w:rPr>
            </w:pPr>
            <w:r w:rsidRPr="002E3FDB">
              <w:rPr>
                <w:b/>
                <w:sz w:val="24"/>
                <w:szCs w:val="24"/>
              </w:rPr>
              <w:t>340-225-0070(4)(b) and (7)</w:t>
            </w:r>
          </w:p>
        </w:tc>
        <w:tc>
          <w:tcPr>
            <w:tcW w:w="703" w:type="pct"/>
          </w:tcPr>
          <w:p w:rsidR="001A3C4D" w:rsidRPr="002E3FDB" w:rsidRDefault="001A3C4D" w:rsidP="00207FC0">
            <w:pPr>
              <w:rPr>
                <w:sz w:val="24"/>
                <w:szCs w:val="24"/>
              </w:rPr>
            </w:pPr>
            <w:r w:rsidRPr="002E3FDB">
              <w:rPr>
                <w:sz w:val="24"/>
                <w:szCs w:val="24"/>
              </w:rPr>
              <w:t>Requirements for Demonstrating Compliance with Air Quality Related Values Protection</w:t>
            </w:r>
          </w:p>
        </w:tc>
        <w:tc>
          <w:tcPr>
            <w:tcW w:w="1619" w:type="pct"/>
          </w:tcPr>
          <w:p w:rsidR="001A3C4D" w:rsidRPr="002E3FDB" w:rsidRDefault="009B0CD4" w:rsidP="009B0CD4">
            <w:pPr>
              <w:spacing w:after="120"/>
              <w:rPr>
                <w:sz w:val="24"/>
                <w:szCs w:val="24"/>
              </w:rPr>
            </w:pPr>
            <w:r>
              <w:rPr>
                <w:sz w:val="24"/>
                <w:szCs w:val="24"/>
              </w:rPr>
              <w:t>M</w:t>
            </w:r>
            <w:r w:rsidR="001A3C4D" w:rsidRPr="002E3FDB">
              <w:rPr>
                <w:sz w:val="24"/>
                <w:szCs w:val="24"/>
              </w:rPr>
              <w:t>ak</w:t>
            </w:r>
            <w:r>
              <w:rPr>
                <w:sz w:val="24"/>
                <w:szCs w:val="24"/>
              </w:rPr>
              <w:t>e</w:t>
            </w:r>
            <w:r w:rsidR="001A3C4D" w:rsidRPr="002E3FDB">
              <w:rPr>
                <w:sz w:val="24"/>
                <w:szCs w:val="24"/>
              </w:rPr>
              <w:t xml:space="preserve"> visibility and deposition analyses on the Columbia River Gorge National Scenic Area mandatory if affected by the source.</w:t>
            </w:r>
          </w:p>
        </w:tc>
        <w:tc>
          <w:tcPr>
            <w:tcW w:w="1588" w:type="pct"/>
          </w:tcPr>
          <w:p w:rsidR="001A3C4D" w:rsidRPr="002E3FDB" w:rsidRDefault="001A3C4D" w:rsidP="003F7B68">
            <w:pPr>
              <w:rPr>
                <w:sz w:val="24"/>
                <w:szCs w:val="24"/>
              </w:rPr>
            </w:pPr>
            <w:r w:rsidRPr="002E3FDB">
              <w:rPr>
                <w:bCs/>
                <w:sz w:val="24"/>
                <w:szCs w:val="24"/>
              </w:rPr>
              <w:t xml:space="preserve">The Columbia River Gorge Air Study and Strategy uses the requirements of the federal Regional Haze Program to improve visibility in the Gorge. Therefore, the mandatory visibility and deposition analyses on the Columbia River Gorge are an important part of that strategy. </w:t>
            </w:r>
          </w:p>
        </w:tc>
        <w:tc>
          <w:tcPr>
            <w:tcW w:w="442" w:type="pct"/>
            <w:vAlign w:val="center"/>
          </w:tcPr>
          <w:p w:rsidR="001A3C4D" w:rsidRPr="002E3FDB" w:rsidRDefault="001A3C4D" w:rsidP="00207FC0">
            <w:pPr>
              <w:jc w:val="center"/>
              <w:rPr>
                <w:sz w:val="24"/>
                <w:szCs w:val="24"/>
              </w:rPr>
            </w:pPr>
            <w:r>
              <w:rPr>
                <w:sz w:val="24"/>
                <w:szCs w:val="24"/>
              </w:rPr>
              <w:t>1.26</w:t>
            </w:r>
          </w:p>
        </w:tc>
      </w:tr>
      <w:tr w:rsidR="00C92DAF" w:rsidRPr="001A3C4D" w:rsidTr="00394D2D">
        <w:trPr>
          <w:cantSplit/>
        </w:trPr>
        <w:tc>
          <w:tcPr>
            <w:tcW w:w="5000" w:type="pct"/>
            <w:gridSpan w:val="5"/>
          </w:tcPr>
          <w:p w:rsidR="00C92DAF" w:rsidRPr="001A3C4D" w:rsidRDefault="00C92DAF" w:rsidP="00394D2D">
            <w:pPr>
              <w:spacing w:before="60" w:afterLines="60"/>
              <w:rPr>
                <w:b/>
                <w:sz w:val="24"/>
                <w:szCs w:val="24"/>
                <w:lang w:bidi="en-US"/>
              </w:rPr>
            </w:pPr>
            <w:r>
              <w:rPr>
                <w:b/>
                <w:sz w:val="24"/>
                <w:szCs w:val="24"/>
                <w:lang w:bidi="en-US"/>
              </w:rPr>
              <w:t>Category</w:t>
            </w:r>
            <w:r w:rsidRPr="002E3FDB">
              <w:rPr>
                <w:b/>
                <w:sz w:val="24"/>
                <w:szCs w:val="24"/>
                <w:lang w:bidi="en-US"/>
              </w:rPr>
              <w:t xml:space="preserve"> </w:t>
            </w:r>
            <w:bookmarkStart w:id="4" w:name="topic11"/>
            <w:bookmarkEnd w:id="4"/>
            <w:r w:rsidRPr="002E3FDB">
              <w:rPr>
                <w:b/>
                <w:sz w:val="24"/>
                <w:szCs w:val="24"/>
                <w:lang w:bidi="en-US"/>
              </w:rPr>
              <w:t>11: Other Comments</w:t>
            </w:r>
          </w:p>
        </w:tc>
      </w:tr>
      <w:tr w:rsidR="00C92DAF" w:rsidRPr="002E3FDB" w:rsidTr="00394D2D">
        <w:trPr>
          <w:cantSplit/>
        </w:trPr>
        <w:tc>
          <w:tcPr>
            <w:tcW w:w="648" w:type="pct"/>
          </w:tcPr>
          <w:p w:rsidR="00C92DAF" w:rsidRPr="002E3FDB" w:rsidRDefault="00C92DAF" w:rsidP="00394D2D">
            <w:pPr>
              <w:rPr>
                <w:b/>
                <w:sz w:val="24"/>
                <w:szCs w:val="24"/>
              </w:rPr>
            </w:pPr>
          </w:p>
        </w:tc>
        <w:tc>
          <w:tcPr>
            <w:tcW w:w="703" w:type="pct"/>
          </w:tcPr>
          <w:p w:rsidR="00784B27" w:rsidRDefault="00784B27" w:rsidP="00784B27">
            <w:pPr>
              <w:rPr>
                <w:sz w:val="23"/>
                <w:szCs w:val="23"/>
              </w:rPr>
            </w:pPr>
            <w:r>
              <w:rPr>
                <w:sz w:val="23"/>
                <w:szCs w:val="23"/>
              </w:rPr>
              <w:t xml:space="preserve">Adopt rules for semiconductor industry requiring Best Available Control Technology </w:t>
            </w:r>
          </w:p>
          <w:p w:rsidR="00784B27" w:rsidRDefault="00784B27" w:rsidP="00784B27">
            <w:pPr>
              <w:rPr>
                <w:sz w:val="23"/>
                <w:szCs w:val="23"/>
              </w:rPr>
            </w:pPr>
          </w:p>
          <w:p w:rsidR="00C92DAF" w:rsidRPr="002E3FDB" w:rsidRDefault="00784B27" w:rsidP="00784B27">
            <w:pPr>
              <w:rPr>
                <w:sz w:val="24"/>
                <w:szCs w:val="24"/>
              </w:rPr>
            </w:pPr>
            <w:r>
              <w:rPr>
                <w:sz w:val="23"/>
                <w:szCs w:val="23"/>
              </w:rPr>
              <w:t>Classify Semiconductor Manufacturing as a major source</w:t>
            </w:r>
          </w:p>
        </w:tc>
        <w:tc>
          <w:tcPr>
            <w:tcW w:w="1619" w:type="pct"/>
          </w:tcPr>
          <w:p w:rsidR="00C92DAF" w:rsidRPr="00C92DAF" w:rsidRDefault="00C92DAF" w:rsidP="00784B27">
            <w:pPr>
              <w:pStyle w:val="Default"/>
              <w:rPr>
                <w:sz w:val="23"/>
                <w:szCs w:val="23"/>
              </w:rPr>
            </w:pPr>
          </w:p>
        </w:tc>
        <w:tc>
          <w:tcPr>
            <w:tcW w:w="1588" w:type="pct"/>
          </w:tcPr>
          <w:p w:rsidR="00C92DAF" w:rsidRPr="002E3FDB" w:rsidRDefault="00C92DAF" w:rsidP="00394D2D">
            <w:pPr>
              <w:rPr>
                <w:sz w:val="24"/>
                <w:szCs w:val="24"/>
              </w:rPr>
            </w:pPr>
          </w:p>
        </w:tc>
        <w:tc>
          <w:tcPr>
            <w:tcW w:w="442" w:type="pct"/>
            <w:vAlign w:val="center"/>
          </w:tcPr>
          <w:p w:rsidR="00C92DAF" w:rsidRPr="002E3FDB" w:rsidRDefault="00C92DAF" w:rsidP="00394D2D">
            <w:pPr>
              <w:jc w:val="center"/>
              <w:rPr>
                <w:sz w:val="24"/>
                <w:szCs w:val="24"/>
              </w:rPr>
            </w:pPr>
            <w:r>
              <w:rPr>
                <w:sz w:val="24"/>
                <w:szCs w:val="24"/>
              </w:rPr>
              <w:t>11.6</w:t>
            </w:r>
          </w:p>
        </w:tc>
      </w:tr>
    </w:tbl>
    <w:p w:rsidR="00380571" w:rsidRPr="002E3FDB" w:rsidRDefault="00380571" w:rsidP="00C92DAF">
      <w:pPr>
        <w:rPr>
          <w:b/>
          <w:sz w:val="24"/>
          <w:szCs w:val="24"/>
          <w:lang w:bidi="en-US"/>
        </w:rPr>
      </w:pPr>
    </w:p>
    <w:sectPr w:rsidR="00380571" w:rsidRPr="002E3FDB" w:rsidSect="00E13CD2">
      <w:headerReference w:type="default" r:id="rId11"/>
      <w:footerReference w:type="default" r:id="rId12"/>
      <w:pgSz w:w="15840" w:h="12240" w:orient="landscape" w:code="1"/>
      <w:pgMar w:top="720" w:right="720" w:bottom="576" w:left="72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C2D" w:rsidRDefault="00512C2D" w:rsidP="00A445D3">
      <w:r>
        <w:separator/>
      </w:r>
    </w:p>
  </w:endnote>
  <w:endnote w:type="continuationSeparator" w:id="0">
    <w:p w:rsidR="00512C2D" w:rsidRDefault="00512C2D" w:rsidP="00A44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654"/>
      <w:docPartObj>
        <w:docPartGallery w:val="Page Numbers (Bottom of Page)"/>
        <w:docPartUnique/>
      </w:docPartObj>
    </w:sdtPr>
    <w:sdtContent>
      <w:p w:rsidR="00512C2D" w:rsidRDefault="00715B6C">
        <w:pPr>
          <w:pStyle w:val="Footer"/>
          <w:jc w:val="right"/>
        </w:pPr>
        <w:r>
          <w:fldChar w:fldCharType="begin"/>
        </w:r>
        <w:r w:rsidR="005E6C4F">
          <w:instrText xml:space="preserve"> PAGE   \* MERGEFORMAT </w:instrText>
        </w:r>
        <w:r>
          <w:fldChar w:fldCharType="separate"/>
        </w:r>
        <w:r w:rsidR="00E80ED6">
          <w:rPr>
            <w:noProof/>
          </w:rPr>
          <w:t>2</w:t>
        </w:r>
        <w:r>
          <w:rPr>
            <w:noProof/>
          </w:rPr>
          <w:fldChar w:fldCharType="end"/>
        </w:r>
      </w:p>
    </w:sdtContent>
  </w:sdt>
  <w:p w:rsidR="00512C2D" w:rsidRDefault="00512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C2D" w:rsidRDefault="00512C2D" w:rsidP="00A445D3">
      <w:r>
        <w:separator/>
      </w:r>
    </w:p>
  </w:footnote>
  <w:footnote w:type="continuationSeparator" w:id="0">
    <w:p w:rsidR="00512C2D" w:rsidRDefault="00512C2D" w:rsidP="00A44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5E" w:rsidRDefault="003B435E" w:rsidP="003B435E">
    <w:pPr>
      <w:jc w:val="center"/>
      <w:rPr>
        <w:b/>
        <w:sz w:val="24"/>
        <w:szCs w:val="24"/>
        <w:lang w:bidi="en-US"/>
      </w:rPr>
    </w:pPr>
    <w:r>
      <w:rPr>
        <w:b/>
        <w:sz w:val="24"/>
        <w:szCs w:val="24"/>
        <w:lang w:bidi="en-US"/>
      </w:rPr>
      <w:t>One-on-One EQC Meetings</w:t>
    </w:r>
  </w:p>
  <w:p w:rsidR="003B435E" w:rsidRDefault="003B435E" w:rsidP="003B435E">
    <w:pPr>
      <w:pStyle w:val="Header"/>
      <w:jc w:val="center"/>
    </w:pPr>
    <w:r>
      <w:rPr>
        <w:b/>
        <w:sz w:val="24"/>
        <w:szCs w:val="24"/>
        <w:lang w:bidi="en-US"/>
      </w:rPr>
      <w:t>March/April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55413"/>
    <w:multiLevelType w:val="hybridMultilevel"/>
    <w:tmpl w:val="08F6257A"/>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2C66CF"/>
    <w:multiLevelType w:val="hybridMultilevel"/>
    <w:tmpl w:val="9D9A8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6F4D58"/>
    <w:multiLevelType w:val="hybridMultilevel"/>
    <w:tmpl w:val="F4FAC44E"/>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8">
    <w:nsid w:val="42BE32E5"/>
    <w:multiLevelType w:val="hybridMultilevel"/>
    <w:tmpl w:val="60A4E98E"/>
    <w:lvl w:ilvl="0" w:tplc="7D4C5FAC">
      <w:start w:val="1"/>
      <w:numFmt w:val="bullet"/>
      <w:lvlText w:val="•"/>
      <w:lvlJc w:val="left"/>
      <w:pPr>
        <w:tabs>
          <w:tab w:val="num" w:pos="720"/>
        </w:tabs>
        <w:ind w:left="720" w:hanging="360"/>
      </w:pPr>
      <w:rPr>
        <w:rFonts w:ascii="Arial" w:hAnsi="Arial" w:hint="default"/>
      </w:rPr>
    </w:lvl>
    <w:lvl w:ilvl="1" w:tplc="C6CAD454" w:tentative="1">
      <w:start w:val="1"/>
      <w:numFmt w:val="bullet"/>
      <w:lvlText w:val="•"/>
      <w:lvlJc w:val="left"/>
      <w:pPr>
        <w:tabs>
          <w:tab w:val="num" w:pos="1440"/>
        </w:tabs>
        <w:ind w:left="1440" w:hanging="360"/>
      </w:pPr>
      <w:rPr>
        <w:rFonts w:ascii="Arial" w:hAnsi="Arial" w:hint="default"/>
      </w:rPr>
    </w:lvl>
    <w:lvl w:ilvl="2" w:tplc="26003C1E" w:tentative="1">
      <w:start w:val="1"/>
      <w:numFmt w:val="bullet"/>
      <w:lvlText w:val="•"/>
      <w:lvlJc w:val="left"/>
      <w:pPr>
        <w:tabs>
          <w:tab w:val="num" w:pos="2160"/>
        </w:tabs>
        <w:ind w:left="2160" w:hanging="360"/>
      </w:pPr>
      <w:rPr>
        <w:rFonts w:ascii="Arial" w:hAnsi="Arial" w:hint="default"/>
      </w:rPr>
    </w:lvl>
    <w:lvl w:ilvl="3" w:tplc="99EC8244" w:tentative="1">
      <w:start w:val="1"/>
      <w:numFmt w:val="bullet"/>
      <w:lvlText w:val="•"/>
      <w:lvlJc w:val="left"/>
      <w:pPr>
        <w:tabs>
          <w:tab w:val="num" w:pos="2880"/>
        </w:tabs>
        <w:ind w:left="2880" w:hanging="360"/>
      </w:pPr>
      <w:rPr>
        <w:rFonts w:ascii="Arial" w:hAnsi="Arial" w:hint="default"/>
      </w:rPr>
    </w:lvl>
    <w:lvl w:ilvl="4" w:tplc="DE40C100" w:tentative="1">
      <w:start w:val="1"/>
      <w:numFmt w:val="bullet"/>
      <w:lvlText w:val="•"/>
      <w:lvlJc w:val="left"/>
      <w:pPr>
        <w:tabs>
          <w:tab w:val="num" w:pos="3600"/>
        </w:tabs>
        <w:ind w:left="3600" w:hanging="360"/>
      </w:pPr>
      <w:rPr>
        <w:rFonts w:ascii="Arial" w:hAnsi="Arial" w:hint="default"/>
      </w:rPr>
    </w:lvl>
    <w:lvl w:ilvl="5" w:tplc="8F8C50E8" w:tentative="1">
      <w:start w:val="1"/>
      <w:numFmt w:val="bullet"/>
      <w:lvlText w:val="•"/>
      <w:lvlJc w:val="left"/>
      <w:pPr>
        <w:tabs>
          <w:tab w:val="num" w:pos="4320"/>
        </w:tabs>
        <w:ind w:left="4320" w:hanging="360"/>
      </w:pPr>
      <w:rPr>
        <w:rFonts w:ascii="Arial" w:hAnsi="Arial" w:hint="default"/>
      </w:rPr>
    </w:lvl>
    <w:lvl w:ilvl="6" w:tplc="5CEC5E32" w:tentative="1">
      <w:start w:val="1"/>
      <w:numFmt w:val="bullet"/>
      <w:lvlText w:val="•"/>
      <w:lvlJc w:val="left"/>
      <w:pPr>
        <w:tabs>
          <w:tab w:val="num" w:pos="5040"/>
        </w:tabs>
        <w:ind w:left="5040" w:hanging="360"/>
      </w:pPr>
      <w:rPr>
        <w:rFonts w:ascii="Arial" w:hAnsi="Arial" w:hint="default"/>
      </w:rPr>
    </w:lvl>
    <w:lvl w:ilvl="7" w:tplc="0844926E" w:tentative="1">
      <w:start w:val="1"/>
      <w:numFmt w:val="bullet"/>
      <w:lvlText w:val="•"/>
      <w:lvlJc w:val="left"/>
      <w:pPr>
        <w:tabs>
          <w:tab w:val="num" w:pos="5760"/>
        </w:tabs>
        <w:ind w:left="5760" w:hanging="360"/>
      </w:pPr>
      <w:rPr>
        <w:rFonts w:ascii="Arial" w:hAnsi="Arial" w:hint="default"/>
      </w:rPr>
    </w:lvl>
    <w:lvl w:ilvl="8" w:tplc="29DAF0B0" w:tentative="1">
      <w:start w:val="1"/>
      <w:numFmt w:val="bullet"/>
      <w:lvlText w:val="•"/>
      <w:lvlJc w:val="left"/>
      <w:pPr>
        <w:tabs>
          <w:tab w:val="num" w:pos="6480"/>
        </w:tabs>
        <w:ind w:left="6480" w:hanging="360"/>
      </w:pPr>
      <w:rPr>
        <w:rFonts w:ascii="Arial" w:hAnsi="Arial" w:hint="default"/>
      </w:rPr>
    </w:lvl>
  </w:abstractNum>
  <w:abstractNum w:abstractNumId="9">
    <w:nsid w:val="44384C3F"/>
    <w:multiLevelType w:val="hybridMultilevel"/>
    <w:tmpl w:val="552836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2B0B83"/>
    <w:multiLevelType w:val="hybridMultilevel"/>
    <w:tmpl w:val="A83475B4"/>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11"/>
  </w:num>
  <w:num w:numId="11">
    <w:abstractNumId w:val="12"/>
  </w:num>
  <w:num w:numId="12">
    <w:abstractNumId w:val="1"/>
  </w:num>
  <w:num w:numId="13">
    <w:abstractNumId w:val="4"/>
  </w:num>
  <w:num w:numId="14">
    <w:abstractNumId w:val="2"/>
  </w:num>
  <w:num w:numId="15">
    <w:abstractNumId w:val="8"/>
  </w:num>
  <w:num w:numId="16">
    <w:abstractNumId w:val="0"/>
  </w:num>
  <w:num w:numId="17">
    <w:abstractNumId w:val="10"/>
  </w:num>
  <w:num w:numId="18">
    <w:abstractNumId w:val="3"/>
  </w:num>
  <w:num w:numId="19">
    <w:abstractNumId w:val="6"/>
  </w:num>
  <w:num w:numId="20">
    <w:abstractNumId w:val="13"/>
  </w:num>
  <w:num w:numId="21">
    <w:abstractNumId w:val="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060"/>
    <w:rsid w:val="000050F7"/>
    <w:rsid w:val="00011B02"/>
    <w:rsid w:val="00011F9B"/>
    <w:rsid w:val="00020540"/>
    <w:rsid w:val="0002246C"/>
    <w:rsid w:val="000227D7"/>
    <w:rsid w:val="00027A3C"/>
    <w:rsid w:val="00030B61"/>
    <w:rsid w:val="0003573F"/>
    <w:rsid w:val="00035B4C"/>
    <w:rsid w:val="00035E5F"/>
    <w:rsid w:val="000376A5"/>
    <w:rsid w:val="00043313"/>
    <w:rsid w:val="000459F4"/>
    <w:rsid w:val="000478D6"/>
    <w:rsid w:val="00053A58"/>
    <w:rsid w:val="00054060"/>
    <w:rsid w:val="000551D7"/>
    <w:rsid w:val="000562E1"/>
    <w:rsid w:val="00060120"/>
    <w:rsid w:val="00060806"/>
    <w:rsid w:val="00067040"/>
    <w:rsid w:val="00067569"/>
    <w:rsid w:val="00071A1F"/>
    <w:rsid w:val="00086081"/>
    <w:rsid w:val="000A239E"/>
    <w:rsid w:val="000A4DEF"/>
    <w:rsid w:val="000A7CE7"/>
    <w:rsid w:val="000B4697"/>
    <w:rsid w:val="000B59F2"/>
    <w:rsid w:val="000B5E93"/>
    <w:rsid w:val="000D4F55"/>
    <w:rsid w:val="000D5C02"/>
    <w:rsid w:val="000D69A8"/>
    <w:rsid w:val="000E112C"/>
    <w:rsid w:val="000E5271"/>
    <w:rsid w:val="00104AC6"/>
    <w:rsid w:val="00105A51"/>
    <w:rsid w:val="0012633D"/>
    <w:rsid w:val="0013227F"/>
    <w:rsid w:val="001410B9"/>
    <w:rsid w:val="00146246"/>
    <w:rsid w:val="00146C92"/>
    <w:rsid w:val="00147547"/>
    <w:rsid w:val="00151827"/>
    <w:rsid w:val="001526C9"/>
    <w:rsid w:val="00155446"/>
    <w:rsid w:val="001559E2"/>
    <w:rsid w:val="001571FB"/>
    <w:rsid w:val="00167D29"/>
    <w:rsid w:val="00176EEF"/>
    <w:rsid w:val="001838BD"/>
    <w:rsid w:val="001855BB"/>
    <w:rsid w:val="00195444"/>
    <w:rsid w:val="00195FC2"/>
    <w:rsid w:val="00197570"/>
    <w:rsid w:val="001A2062"/>
    <w:rsid w:val="001A22A5"/>
    <w:rsid w:val="001A3930"/>
    <w:rsid w:val="001A3C4D"/>
    <w:rsid w:val="001A7CDD"/>
    <w:rsid w:val="001B4C01"/>
    <w:rsid w:val="001C0BB0"/>
    <w:rsid w:val="001C5A74"/>
    <w:rsid w:val="001D19AE"/>
    <w:rsid w:val="001D70E9"/>
    <w:rsid w:val="001E45B5"/>
    <w:rsid w:val="001F0DB6"/>
    <w:rsid w:val="001F0F86"/>
    <w:rsid w:val="001F0FD8"/>
    <w:rsid w:val="001F4127"/>
    <w:rsid w:val="001F4426"/>
    <w:rsid w:val="001F6108"/>
    <w:rsid w:val="0020056E"/>
    <w:rsid w:val="0020509F"/>
    <w:rsid w:val="00215C76"/>
    <w:rsid w:val="002262BD"/>
    <w:rsid w:val="0024178B"/>
    <w:rsid w:val="002518F6"/>
    <w:rsid w:val="00254927"/>
    <w:rsid w:val="002606FB"/>
    <w:rsid w:val="002616A5"/>
    <w:rsid w:val="002826A1"/>
    <w:rsid w:val="002855E2"/>
    <w:rsid w:val="00285B02"/>
    <w:rsid w:val="002868E5"/>
    <w:rsid w:val="00292422"/>
    <w:rsid w:val="002927F3"/>
    <w:rsid w:val="00292DBF"/>
    <w:rsid w:val="00293D46"/>
    <w:rsid w:val="002A3E73"/>
    <w:rsid w:val="002A506D"/>
    <w:rsid w:val="002A5272"/>
    <w:rsid w:val="002B240C"/>
    <w:rsid w:val="002C05C9"/>
    <w:rsid w:val="002C28B6"/>
    <w:rsid w:val="002C50D5"/>
    <w:rsid w:val="002C6524"/>
    <w:rsid w:val="002D5E18"/>
    <w:rsid w:val="002D698C"/>
    <w:rsid w:val="002E3FDB"/>
    <w:rsid w:val="0031116B"/>
    <w:rsid w:val="00312201"/>
    <w:rsid w:val="00317059"/>
    <w:rsid w:val="003268E0"/>
    <w:rsid w:val="003313FE"/>
    <w:rsid w:val="0033313B"/>
    <w:rsid w:val="00336DED"/>
    <w:rsid w:val="003407A4"/>
    <w:rsid w:val="00340C2A"/>
    <w:rsid w:val="003419DD"/>
    <w:rsid w:val="0035471E"/>
    <w:rsid w:val="00355303"/>
    <w:rsid w:val="003567F6"/>
    <w:rsid w:val="003654C2"/>
    <w:rsid w:val="00367F30"/>
    <w:rsid w:val="00367F76"/>
    <w:rsid w:val="0037020C"/>
    <w:rsid w:val="00375414"/>
    <w:rsid w:val="00380571"/>
    <w:rsid w:val="00394250"/>
    <w:rsid w:val="0039781C"/>
    <w:rsid w:val="003A1E7B"/>
    <w:rsid w:val="003A2167"/>
    <w:rsid w:val="003A60DE"/>
    <w:rsid w:val="003B11AC"/>
    <w:rsid w:val="003B435E"/>
    <w:rsid w:val="003B54E8"/>
    <w:rsid w:val="003B6FED"/>
    <w:rsid w:val="003C0D7A"/>
    <w:rsid w:val="003C2C6E"/>
    <w:rsid w:val="003D1BB4"/>
    <w:rsid w:val="003D30DE"/>
    <w:rsid w:val="003D37E3"/>
    <w:rsid w:val="003E7AB6"/>
    <w:rsid w:val="003F7B68"/>
    <w:rsid w:val="00400586"/>
    <w:rsid w:val="004042DB"/>
    <w:rsid w:val="00404C18"/>
    <w:rsid w:val="00414F67"/>
    <w:rsid w:val="00423F5E"/>
    <w:rsid w:val="0043117D"/>
    <w:rsid w:val="00432365"/>
    <w:rsid w:val="0043587D"/>
    <w:rsid w:val="00447AE6"/>
    <w:rsid w:val="00450BE3"/>
    <w:rsid w:val="00451F91"/>
    <w:rsid w:val="00455C52"/>
    <w:rsid w:val="00463202"/>
    <w:rsid w:val="00463821"/>
    <w:rsid w:val="00465517"/>
    <w:rsid w:val="00465B66"/>
    <w:rsid w:val="004742DF"/>
    <w:rsid w:val="004A315D"/>
    <w:rsid w:val="004A35C7"/>
    <w:rsid w:val="004A5CB0"/>
    <w:rsid w:val="004A69AF"/>
    <w:rsid w:val="004B2364"/>
    <w:rsid w:val="004C0036"/>
    <w:rsid w:val="004C0F0A"/>
    <w:rsid w:val="004C3DD3"/>
    <w:rsid w:val="004C68CB"/>
    <w:rsid w:val="004C790F"/>
    <w:rsid w:val="004D578D"/>
    <w:rsid w:val="004D64CC"/>
    <w:rsid w:val="004E1951"/>
    <w:rsid w:val="004F506B"/>
    <w:rsid w:val="004F5981"/>
    <w:rsid w:val="004F6962"/>
    <w:rsid w:val="005015D1"/>
    <w:rsid w:val="00512C2D"/>
    <w:rsid w:val="00515305"/>
    <w:rsid w:val="00516616"/>
    <w:rsid w:val="00523944"/>
    <w:rsid w:val="00525D89"/>
    <w:rsid w:val="00526BD8"/>
    <w:rsid w:val="00550EF6"/>
    <w:rsid w:val="00552B91"/>
    <w:rsid w:val="005575A3"/>
    <w:rsid w:val="005616CC"/>
    <w:rsid w:val="005622D1"/>
    <w:rsid w:val="005634AE"/>
    <w:rsid w:val="00565766"/>
    <w:rsid w:val="00576DE5"/>
    <w:rsid w:val="005803FF"/>
    <w:rsid w:val="00583080"/>
    <w:rsid w:val="00586EA2"/>
    <w:rsid w:val="0058737B"/>
    <w:rsid w:val="0058794E"/>
    <w:rsid w:val="005A05C7"/>
    <w:rsid w:val="005A4F7A"/>
    <w:rsid w:val="005A5C21"/>
    <w:rsid w:val="005B3E72"/>
    <w:rsid w:val="005C5C0E"/>
    <w:rsid w:val="005C6D93"/>
    <w:rsid w:val="005D01AC"/>
    <w:rsid w:val="005D4E89"/>
    <w:rsid w:val="005D7215"/>
    <w:rsid w:val="005E6C4F"/>
    <w:rsid w:val="005F1CC9"/>
    <w:rsid w:val="005F2679"/>
    <w:rsid w:val="005F2C89"/>
    <w:rsid w:val="00600138"/>
    <w:rsid w:val="00605E0A"/>
    <w:rsid w:val="006115B7"/>
    <w:rsid w:val="0061632F"/>
    <w:rsid w:val="006210B2"/>
    <w:rsid w:val="00621182"/>
    <w:rsid w:val="00625DE6"/>
    <w:rsid w:val="00627969"/>
    <w:rsid w:val="00644A33"/>
    <w:rsid w:val="006519FE"/>
    <w:rsid w:val="00657F36"/>
    <w:rsid w:val="00661193"/>
    <w:rsid w:val="00663619"/>
    <w:rsid w:val="00665BB2"/>
    <w:rsid w:val="0066636C"/>
    <w:rsid w:val="006779E4"/>
    <w:rsid w:val="00691FFD"/>
    <w:rsid w:val="00696097"/>
    <w:rsid w:val="00696202"/>
    <w:rsid w:val="00696CB7"/>
    <w:rsid w:val="006A1C1A"/>
    <w:rsid w:val="006A72B3"/>
    <w:rsid w:val="006B12FA"/>
    <w:rsid w:val="006B14FB"/>
    <w:rsid w:val="006B4D36"/>
    <w:rsid w:val="006B551B"/>
    <w:rsid w:val="006D616E"/>
    <w:rsid w:val="006E21FA"/>
    <w:rsid w:val="006E23E4"/>
    <w:rsid w:val="006E307C"/>
    <w:rsid w:val="006E4A30"/>
    <w:rsid w:val="006F3699"/>
    <w:rsid w:val="006F4615"/>
    <w:rsid w:val="006F50CB"/>
    <w:rsid w:val="006F6499"/>
    <w:rsid w:val="006F65EA"/>
    <w:rsid w:val="006F6D02"/>
    <w:rsid w:val="00707BA3"/>
    <w:rsid w:val="00713DE4"/>
    <w:rsid w:val="007142DA"/>
    <w:rsid w:val="00715B6C"/>
    <w:rsid w:val="007201BC"/>
    <w:rsid w:val="00720D7D"/>
    <w:rsid w:val="00725B0B"/>
    <w:rsid w:val="007260E4"/>
    <w:rsid w:val="0072678D"/>
    <w:rsid w:val="007270F4"/>
    <w:rsid w:val="00732F05"/>
    <w:rsid w:val="00734469"/>
    <w:rsid w:val="00735C21"/>
    <w:rsid w:val="00743E9E"/>
    <w:rsid w:val="00746642"/>
    <w:rsid w:val="0075116E"/>
    <w:rsid w:val="00751C87"/>
    <w:rsid w:val="007665B5"/>
    <w:rsid w:val="00767362"/>
    <w:rsid w:val="00784B27"/>
    <w:rsid w:val="00785139"/>
    <w:rsid w:val="0078523C"/>
    <w:rsid w:val="00791DB9"/>
    <w:rsid w:val="0079347A"/>
    <w:rsid w:val="00794C4E"/>
    <w:rsid w:val="00795CCE"/>
    <w:rsid w:val="00796081"/>
    <w:rsid w:val="007A03B3"/>
    <w:rsid w:val="007A1F83"/>
    <w:rsid w:val="007A6C68"/>
    <w:rsid w:val="007B07F4"/>
    <w:rsid w:val="007B704E"/>
    <w:rsid w:val="007C3BDB"/>
    <w:rsid w:val="007C644B"/>
    <w:rsid w:val="007D1534"/>
    <w:rsid w:val="007D728A"/>
    <w:rsid w:val="007D7EF6"/>
    <w:rsid w:val="007E2042"/>
    <w:rsid w:val="007E23E1"/>
    <w:rsid w:val="007E73F4"/>
    <w:rsid w:val="007F3064"/>
    <w:rsid w:val="008055E4"/>
    <w:rsid w:val="008114C7"/>
    <w:rsid w:val="00822FC3"/>
    <w:rsid w:val="008276FF"/>
    <w:rsid w:val="00831174"/>
    <w:rsid w:val="008329AF"/>
    <w:rsid w:val="008354A4"/>
    <w:rsid w:val="00840D4A"/>
    <w:rsid w:val="00844B9F"/>
    <w:rsid w:val="00847786"/>
    <w:rsid w:val="00851251"/>
    <w:rsid w:val="00864AFA"/>
    <w:rsid w:val="00867D14"/>
    <w:rsid w:val="00882A13"/>
    <w:rsid w:val="008869E7"/>
    <w:rsid w:val="00887CAC"/>
    <w:rsid w:val="00897F86"/>
    <w:rsid w:val="008A12AC"/>
    <w:rsid w:val="008A1D3D"/>
    <w:rsid w:val="008A5039"/>
    <w:rsid w:val="008A77D4"/>
    <w:rsid w:val="008A7A14"/>
    <w:rsid w:val="008B1505"/>
    <w:rsid w:val="008C5BB7"/>
    <w:rsid w:val="008C774D"/>
    <w:rsid w:val="008D1EE8"/>
    <w:rsid w:val="008D48FD"/>
    <w:rsid w:val="008D4FD1"/>
    <w:rsid w:val="008E0A7D"/>
    <w:rsid w:val="008E1431"/>
    <w:rsid w:val="008E1BC1"/>
    <w:rsid w:val="008E36A8"/>
    <w:rsid w:val="008F2947"/>
    <w:rsid w:val="008F2B7A"/>
    <w:rsid w:val="008F7D26"/>
    <w:rsid w:val="008F7F7D"/>
    <w:rsid w:val="00901561"/>
    <w:rsid w:val="00905CE6"/>
    <w:rsid w:val="00914DBC"/>
    <w:rsid w:val="009206BF"/>
    <w:rsid w:val="00921876"/>
    <w:rsid w:val="00921953"/>
    <w:rsid w:val="00923BE9"/>
    <w:rsid w:val="00926A97"/>
    <w:rsid w:val="00937C10"/>
    <w:rsid w:val="00942A04"/>
    <w:rsid w:val="00945019"/>
    <w:rsid w:val="00946703"/>
    <w:rsid w:val="00952AB9"/>
    <w:rsid w:val="00960279"/>
    <w:rsid w:val="00961A5C"/>
    <w:rsid w:val="00976FAD"/>
    <w:rsid w:val="00983606"/>
    <w:rsid w:val="009837AE"/>
    <w:rsid w:val="0099464A"/>
    <w:rsid w:val="00997CC4"/>
    <w:rsid w:val="00997E45"/>
    <w:rsid w:val="009A304D"/>
    <w:rsid w:val="009A5673"/>
    <w:rsid w:val="009A6DA4"/>
    <w:rsid w:val="009B0CD4"/>
    <w:rsid w:val="009B2C75"/>
    <w:rsid w:val="009B322E"/>
    <w:rsid w:val="009B3E5A"/>
    <w:rsid w:val="009B4D6E"/>
    <w:rsid w:val="009B6D46"/>
    <w:rsid w:val="009C13FC"/>
    <w:rsid w:val="009D7A98"/>
    <w:rsid w:val="009E2632"/>
    <w:rsid w:val="009F1A8C"/>
    <w:rsid w:val="009F2E6A"/>
    <w:rsid w:val="009F5924"/>
    <w:rsid w:val="00A065C1"/>
    <w:rsid w:val="00A141E9"/>
    <w:rsid w:val="00A165B5"/>
    <w:rsid w:val="00A23746"/>
    <w:rsid w:val="00A40BFC"/>
    <w:rsid w:val="00A445D3"/>
    <w:rsid w:val="00A5254F"/>
    <w:rsid w:val="00A52F7E"/>
    <w:rsid w:val="00A60EC3"/>
    <w:rsid w:val="00A62B9D"/>
    <w:rsid w:val="00A6495A"/>
    <w:rsid w:val="00A74511"/>
    <w:rsid w:val="00A75B68"/>
    <w:rsid w:val="00A83CC4"/>
    <w:rsid w:val="00A844D9"/>
    <w:rsid w:val="00A84B2B"/>
    <w:rsid w:val="00A90EAC"/>
    <w:rsid w:val="00A931E0"/>
    <w:rsid w:val="00AA1920"/>
    <w:rsid w:val="00AA253D"/>
    <w:rsid w:val="00AA2DB5"/>
    <w:rsid w:val="00AB27FD"/>
    <w:rsid w:val="00AD2D39"/>
    <w:rsid w:val="00AE1F83"/>
    <w:rsid w:val="00AE630B"/>
    <w:rsid w:val="00B03D23"/>
    <w:rsid w:val="00B041D2"/>
    <w:rsid w:val="00B1618D"/>
    <w:rsid w:val="00B35138"/>
    <w:rsid w:val="00B36D5D"/>
    <w:rsid w:val="00B37329"/>
    <w:rsid w:val="00B40AFA"/>
    <w:rsid w:val="00B45E97"/>
    <w:rsid w:val="00B45EA8"/>
    <w:rsid w:val="00B505DD"/>
    <w:rsid w:val="00B517E5"/>
    <w:rsid w:val="00B54B70"/>
    <w:rsid w:val="00B5555E"/>
    <w:rsid w:val="00B61A8C"/>
    <w:rsid w:val="00B63EEF"/>
    <w:rsid w:val="00B77A49"/>
    <w:rsid w:val="00B80CC8"/>
    <w:rsid w:val="00BA1F52"/>
    <w:rsid w:val="00BA746E"/>
    <w:rsid w:val="00BB2762"/>
    <w:rsid w:val="00BC0527"/>
    <w:rsid w:val="00BC167F"/>
    <w:rsid w:val="00BC4064"/>
    <w:rsid w:val="00BC407B"/>
    <w:rsid w:val="00BD28BC"/>
    <w:rsid w:val="00BD5884"/>
    <w:rsid w:val="00BD76EC"/>
    <w:rsid w:val="00BE1881"/>
    <w:rsid w:val="00BE33CA"/>
    <w:rsid w:val="00BE6087"/>
    <w:rsid w:val="00BF465E"/>
    <w:rsid w:val="00C11796"/>
    <w:rsid w:val="00C12C21"/>
    <w:rsid w:val="00C1423B"/>
    <w:rsid w:val="00C17DFA"/>
    <w:rsid w:val="00C2695F"/>
    <w:rsid w:val="00C34A32"/>
    <w:rsid w:val="00C47403"/>
    <w:rsid w:val="00C623E8"/>
    <w:rsid w:val="00C64DB1"/>
    <w:rsid w:val="00C65501"/>
    <w:rsid w:val="00C72A12"/>
    <w:rsid w:val="00C75249"/>
    <w:rsid w:val="00C85164"/>
    <w:rsid w:val="00C92DAF"/>
    <w:rsid w:val="00CB3E5D"/>
    <w:rsid w:val="00CB5269"/>
    <w:rsid w:val="00CB57AD"/>
    <w:rsid w:val="00CB713C"/>
    <w:rsid w:val="00CB7443"/>
    <w:rsid w:val="00CB75BC"/>
    <w:rsid w:val="00CC772D"/>
    <w:rsid w:val="00CD4381"/>
    <w:rsid w:val="00CF0D39"/>
    <w:rsid w:val="00CF18E6"/>
    <w:rsid w:val="00CF2E54"/>
    <w:rsid w:val="00CF43BB"/>
    <w:rsid w:val="00D01C76"/>
    <w:rsid w:val="00D0326B"/>
    <w:rsid w:val="00D127AE"/>
    <w:rsid w:val="00D21FE0"/>
    <w:rsid w:val="00D3170B"/>
    <w:rsid w:val="00D35A94"/>
    <w:rsid w:val="00D52EBF"/>
    <w:rsid w:val="00D677B1"/>
    <w:rsid w:val="00D71DCC"/>
    <w:rsid w:val="00D77555"/>
    <w:rsid w:val="00D77B58"/>
    <w:rsid w:val="00D8232D"/>
    <w:rsid w:val="00D83263"/>
    <w:rsid w:val="00D866AB"/>
    <w:rsid w:val="00D94BBA"/>
    <w:rsid w:val="00DA0F01"/>
    <w:rsid w:val="00DA3FA9"/>
    <w:rsid w:val="00DB02AF"/>
    <w:rsid w:val="00DD3752"/>
    <w:rsid w:val="00DE5C61"/>
    <w:rsid w:val="00DF05EA"/>
    <w:rsid w:val="00DF66FB"/>
    <w:rsid w:val="00E03E68"/>
    <w:rsid w:val="00E13CD2"/>
    <w:rsid w:val="00E172A9"/>
    <w:rsid w:val="00E21153"/>
    <w:rsid w:val="00E21A48"/>
    <w:rsid w:val="00E251A8"/>
    <w:rsid w:val="00E3052B"/>
    <w:rsid w:val="00E40B56"/>
    <w:rsid w:val="00E422EB"/>
    <w:rsid w:val="00E470A3"/>
    <w:rsid w:val="00E5037C"/>
    <w:rsid w:val="00E5366E"/>
    <w:rsid w:val="00E60434"/>
    <w:rsid w:val="00E608FA"/>
    <w:rsid w:val="00E760B2"/>
    <w:rsid w:val="00E76F23"/>
    <w:rsid w:val="00E80ED6"/>
    <w:rsid w:val="00E81D26"/>
    <w:rsid w:val="00E93776"/>
    <w:rsid w:val="00E939D0"/>
    <w:rsid w:val="00E966A8"/>
    <w:rsid w:val="00EA1896"/>
    <w:rsid w:val="00EA3169"/>
    <w:rsid w:val="00EB4211"/>
    <w:rsid w:val="00EB4A5F"/>
    <w:rsid w:val="00EB739B"/>
    <w:rsid w:val="00EC7C87"/>
    <w:rsid w:val="00ED5A52"/>
    <w:rsid w:val="00EE2D66"/>
    <w:rsid w:val="00EE7408"/>
    <w:rsid w:val="00EE7544"/>
    <w:rsid w:val="00EF15D3"/>
    <w:rsid w:val="00EF19FA"/>
    <w:rsid w:val="00EF1A65"/>
    <w:rsid w:val="00EF382C"/>
    <w:rsid w:val="00EF4C04"/>
    <w:rsid w:val="00F004DB"/>
    <w:rsid w:val="00F00626"/>
    <w:rsid w:val="00F019BB"/>
    <w:rsid w:val="00F032C1"/>
    <w:rsid w:val="00F062C8"/>
    <w:rsid w:val="00F11CA8"/>
    <w:rsid w:val="00F15AF5"/>
    <w:rsid w:val="00F209EC"/>
    <w:rsid w:val="00F21A48"/>
    <w:rsid w:val="00F22DFB"/>
    <w:rsid w:val="00F24902"/>
    <w:rsid w:val="00F367C5"/>
    <w:rsid w:val="00F37F61"/>
    <w:rsid w:val="00F40738"/>
    <w:rsid w:val="00F446EE"/>
    <w:rsid w:val="00F448A1"/>
    <w:rsid w:val="00F469F5"/>
    <w:rsid w:val="00F46E40"/>
    <w:rsid w:val="00F51849"/>
    <w:rsid w:val="00F51B3E"/>
    <w:rsid w:val="00F52E7E"/>
    <w:rsid w:val="00F710F9"/>
    <w:rsid w:val="00F71E32"/>
    <w:rsid w:val="00F7312D"/>
    <w:rsid w:val="00F74672"/>
    <w:rsid w:val="00F76319"/>
    <w:rsid w:val="00F83269"/>
    <w:rsid w:val="00F90560"/>
    <w:rsid w:val="00F963F1"/>
    <w:rsid w:val="00FA0599"/>
    <w:rsid w:val="00FA69E6"/>
    <w:rsid w:val="00FB1204"/>
    <w:rsid w:val="00FB3F17"/>
    <w:rsid w:val="00FB5EA7"/>
    <w:rsid w:val="00FC124D"/>
    <w:rsid w:val="00FC162E"/>
    <w:rsid w:val="00FC1914"/>
    <w:rsid w:val="00FC1EB7"/>
    <w:rsid w:val="00FC6C23"/>
    <w:rsid w:val="00FD0784"/>
    <w:rsid w:val="00FD46DC"/>
    <w:rsid w:val="00FD4C65"/>
    <w:rsid w:val="00FD4FEC"/>
    <w:rsid w:val="00FD6D64"/>
    <w:rsid w:val="00FD7D3F"/>
    <w:rsid w:val="00FE4B85"/>
    <w:rsid w:val="00FE6B5C"/>
    <w:rsid w:val="00FF0210"/>
    <w:rsid w:val="00FF1CA0"/>
    <w:rsid w:val="00FF58A9"/>
    <w:rsid w:val="00FF7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unhideWhenUsed/>
    <w:rsid w:val="00A445D3"/>
    <w:pPr>
      <w:tabs>
        <w:tab w:val="center" w:pos="4680"/>
        <w:tab w:val="right" w:pos="9360"/>
      </w:tabs>
    </w:pPr>
  </w:style>
  <w:style w:type="character" w:customStyle="1" w:styleId="HeaderChar">
    <w:name w:val="Header Char"/>
    <w:basedOn w:val="DefaultParagraphFont"/>
    <w:link w:val="Header"/>
    <w:uiPriority w:val="99"/>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 w:type="paragraph" w:customStyle="1" w:styleId="Default">
    <w:name w:val="Default"/>
    <w:rsid w:val="00C92DA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unhideWhenUsed/>
    <w:rsid w:val="00A445D3"/>
    <w:pPr>
      <w:tabs>
        <w:tab w:val="center" w:pos="4680"/>
        <w:tab w:val="right" w:pos="9360"/>
      </w:tabs>
    </w:pPr>
  </w:style>
  <w:style w:type="character" w:customStyle="1" w:styleId="HeaderChar">
    <w:name w:val="Header Char"/>
    <w:basedOn w:val="DefaultParagraphFont"/>
    <w:link w:val="Header"/>
    <w:uiPriority w:val="99"/>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r="http://schemas.openxmlformats.org/officeDocument/2006/relationships" xmlns:w="http://schemas.openxmlformats.org/wordprocessingml/2006/main">
  <w:divs>
    <w:div w:id="1982423356">
      <w:bodyDiv w:val="1"/>
      <w:marLeft w:val="0"/>
      <w:marRight w:val="0"/>
      <w:marTop w:val="0"/>
      <w:marBottom w:val="0"/>
      <w:divBdr>
        <w:top w:val="none" w:sz="0" w:space="0" w:color="auto"/>
        <w:left w:val="none" w:sz="0" w:space="0" w:color="auto"/>
        <w:bottom w:val="none" w:sz="0" w:space="0" w:color="auto"/>
        <w:right w:val="none" w:sz="0" w:space="0" w:color="auto"/>
      </w:divBdr>
      <w:divsChild>
        <w:div w:id="155390308">
          <w:marLeft w:val="547"/>
          <w:marRight w:val="0"/>
          <w:marTop w:val="154"/>
          <w:marBottom w:val="0"/>
          <w:divBdr>
            <w:top w:val="none" w:sz="0" w:space="0" w:color="auto"/>
            <w:left w:val="none" w:sz="0" w:space="0" w:color="auto"/>
            <w:bottom w:val="none" w:sz="0" w:space="0" w:color="auto"/>
            <w:right w:val="none" w:sz="0" w:space="0" w:color="auto"/>
          </w:divBdr>
        </w:div>
        <w:div w:id="1059934195">
          <w:marLeft w:val="547"/>
          <w:marRight w:val="0"/>
          <w:marTop w:val="154"/>
          <w:marBottom w:val="0"/>
          <w:divBdr>
            <w:top w:val="none" w:sz="0" w:space="0" w:color="auto"/>
            <w:left w:val="none" w:sz="0" w:space="0" w:color="auto"/>
            <w:bottom w:val="none" w:sz="0" w:space="0" w:color="auto"/>
            <w:right w:val="none" w:sz="0" w:space="0" w:color="auto"/>
          </w:divBdr>
        </w:div>
        <w:div w:id="11921103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7A05-F193-4101-8119-6836BCCA9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61ADF-2A48-41BB-AE33-E4B83153C295}">
  <ds:schemaRef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ListId:docs;"/>
    <ds:schemaRef ds:uri="http://www.w3.org/XML/1998/namespace"/>
  </ds:schemaRefs>
</ds:datastoreItem>
</file>

<file path=customXml/itemProps3.xml><?xml version="1.0" encoding="utf-8"?>
<ds:datastoreItem xmlns:ds="http://schemas.openxmlformats.org/officeDocument/2006/customXml" ds:itemID="{57331B26-ACA3-4350-B107-AFA94A44D644}">
  <ds:schemaRefs>
    <ds:schemaRef ds:uri="http://schemas.microsoft.com/sharepoint/v3/contenttype/forms"/>
  </ds:schemaRefs>
</ds:datastoreItem>
</file>

<file path=customXml/itemProps4.xml><?xml version="1.0" encoding="utf-8"?>
<ds:datastoreItem xmlns:ds="http://schemas.openxmlformats.org/officeDocument/2006/customXml" ds:itemID="{2F6C38DE-7177-4FBD-92F1-D8A21DFC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Highlights the most significant rule changes</vt:lpstr>
    </vt:vector>
  </TitlesOfParts>
  <Company>State of Oregon Department of Environmental Quality</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the most significant rule changes</dc:title>
  <dc:creator>jinahar</dc:creator>
  <cp:lastModifiedBy>jinahar</cp:lastModifiedBy>
  <cp:revision>17</cp:revision>
  <cp:lastPrinted>2015-03-24T23:59:00Z</cp:lastPrinted>
  <dcterms:created xsi:type="dcterms:W3CDTF">2015-02-26T17:42:00Z</dcterms:created>
  <dcterms:modified xsi:type="dcterms:W3CDTF">2015-03-25T00:00:00Z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