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w:t>
            </w:r>
            <w:r>
              <w:lastRenderedPageBreak/>
              <w:t>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lastRenderedPageBreak/>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lastRenderedPageBreak/>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lastRenderedPageBreak/>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lastRenderedPageBreak/>
              <w:t>Table 4</w:t>
            </w:r>
          </w:p>
        </w:tc>
        <w:tc>
          <w:tcPr>
            <w:tcW w:w="990" w:type="dxa"/>
          </w:tcPr>
          <w:p w:rsidR="00403E08" w:rsidRPr="00F4437D" w:rsidRDefault="00403E08" w:rsidP="00A65851">
            <w:pPr>
              <w:rPr>
                <w:bCs/>
              </w:rPr>
            </w:pPr>
            <w:r w:rsidRPr="00F4437D">
              <w:rPr>
                <w:bCs/>
              </w:rPr>
              <w:lastRenderedPageBreak/>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lastRenderedPageBreak/>
              <w:t>Clarification</w:t>
            </w:r>
            <w:r>
              <w:t xml:space="preserve">. </w:t>
            </w:r>
            <w:r w:rsidRPr="00F4437D">
              <w:t xml:space="preserve">Tables are hard to find on DEQ </w:t>
            </w:r>
            <w:r w:rsidRPr="00F4437D">
              <w:lastRenderedPageBreak/>
              <w:t>website.</w:t>
            </w:r>
          </w:p>
        </w:tc>
        <w:tc>
          <w:tcPr>
            <w:tcW w:w="787" w:type="dxa"/>
          </w:tcPr>
          <w:p w:rsidR="00403E08" w:rsidRPr="006E233D" w:rsidRDefault="00403E08" w:rsidP="00C32E47">
            <w:pPr>
              <w:jc w:val="center"/>
            </w:pPr>
            <w:r>
              <w:lastRenderedPageBreak/>
              <w:t>SIP</w:t>
            </w:r>
          </w:p>
        </w:tc>
      </w:tr>
      <w:tr w:rsidR="002F7E87" w:rsidRPr="006E233D" w:rsidTr="005C3F33">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lastRenderedPageBreak/>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lastRenderedPageBreak/>
              <w:t xml:space="preserve">This change will make it easier to find the </w:t>
            </w:r>
            <w:r>
              <w:rPr>
                <w:bCs/>
              </w:rPr>
              <w:t xml:space="preserve">defined </w:t>
            </w:r>
            <w:r>
              <w:rPr>
                <w:bCs/>
              </w:rPr>
              <w:lastRenderedPageBreak/>
              <w:t>term and includes all variations of the terms used</w:t>
            </w:r>
            <w:r w:rsidRPr="005A5027">
              <w:rPr>
                <w:bCs/>
              </w:rPr>
              <w:t xml:space="preserve">. </w:t>
            </w:r>
          </w:p>
        </w:tc>
        <w:tc>
          <w:tcPr>
            <w:tcW w:w="787" w:type="dxa"/>
          </w:tcPr>
          <w:p w:rsidR="005C0767" w:rsidRPr="006E233D" w:rsidRDefault="005C0767" w:rsidP="00440F03">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 xml:space="preserve">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w:t>
            </w:r>
            <w:r w:rsidRPr="008A2D89">
              <w:lastRenderedPageBreak/>
              <w:t>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lastRenderedPageBreak/>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w:t>
            </w:r>
            <w:r w:rsidR="002F7E87" w:rsidRPr="0077341A">
              <w:rPr>
                <w:bCs/>
              </w:rPr>
              <w:lastRenderedPageBreak/>
              <w:t xml:space="preserve">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CA7E8D" w:rsidP="00CD5DF9">
            <w:r>
              <w:t>Change to:</w:t>
            </w:r>
          </w:p>
          <w:p w:rsidR="00BC79E9" w:rsidRPr="006E233D" w:rsidRDefault="00CA7E8D"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w:t>
            </w:r>
            <w:r w:rsidRPr="00CA7E8D">
              <w:lastRenderedPageBreak/>
              <w:t xml:space="preserve">subject to division 216, 218, </w:t>
            </w:r>
            <w:r>
              <w:t>and 224 during that time period</w:t>
            </w:r>
            <w:r w:rsidR="00BC79E9" w:rsidRPr="00BC79E9">
              <w:t>.</w:t>
            </w:r>
            <w:r w:rsidR="00BC79E9">
              <w:t>”</w:t>
            </w:r>
          </w:p>
        </w:tc>
        <w:tc>
          <w:tcPr>
            <w:tcW w:w="4320" w:type="dxa"/>
          </w:tcPr>
          <w:p w:rsidR="00BC79E9" w:rsidRDefault="00BC79E9" w:rsidP="00CD5DF9">
            <w:r>
              <w:lastRenderedPageBreak/>
              <w:t xml:space="preserve">EPA’s biomass deferral, the deferral of CO2 emissions from bioenergy and other biogenic sources under the Prevention of Significant Deterioration and Title V programs, ends on July 20, 2014. </w:t>
            </w:r>
          </w:p>
          <w:p w:rsidR="00CA7E8D" w:rsidRDefault="00CA7E8D" w:rsidP="00CD5DF9"/>
          <w:p w:rsidR="00CA7E8D" w:rsidRPr="006E233D" w:rsidRDefault="00CA7E8D" w:rsidP="00CA7E8D">
            <w:r>
              <w:t>I</w:t>
            </w:r>
            <w:r w:rsidRPr="00CA7E8D">
              <w:t xml:space="preserve">f a new or modified biomass GHG source was constructed during the deferral period, and had </w:t>
            </w:r>
            <w:r w:rsidRPr="00CA7E8D">
              <w:lastRenderedPageBreak/>
              <w:t>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BC79E9" w:rsidRPr="006E233D" w:rsidRDefault="00BC79E9" w:rsidP="00CD5DF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 xml:space="preserve">(5) "Indian Governing Body" means the governing body of any tribe, band, or group of Indians subject to the jurisdiction of the United States and recognized by the United States as </w:t>
            </w:r>
            <w:r w:rsidRPr="009414AA">
              <w:lastRenderedPageBreak/>
              <w:t>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r w:rsidR="00F305C6">
              <w:t xml:space="preserve"> and delete parentheses</w:t>
            </w:r>
            <w:r w:rsidR="008477B9">
              <w:t>. Do not capitalize major group</w:t>
            </w:r>
          </w:p>
        </w:tc>
        <w:tc>
          <w:tcPr>
            <w:tcW w:w="4320" w:type="dxa"/>
          </w:tcPr>
          <w:p w:rsidR="002F7E87" w:rsidRPr="006E233D" w:rsidRDefault="002F7E87" w:rsidP="0031145F">
            <w:r>
              <w:t>Simplification</w:t>
            </w:r>
            <w:r w:rsidR="008477B9">
              <w:t xml:space="preserve"> and 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EB7B6A" w:rsidRPr="006E233D" w:rsidTr="00EB7B6A">
        <w:tc>
          <w:tcPr>
            <w:tcW w:w="918" w:type="dxa"/>
          </w:tcPr>
          <w:p w:rsidR="00EB7B6A" w:rsidRPr="00F82E71" w:rsidRDefault="00EB7B6A" w:rsidP="00EB7B6A">
            <w:r w:rsidRPr="00F82E71">
              <w:t>200</w:t>
            </w:r>
          </w:p>
        </w:tc>
        <w:tc>
          <w:tcPr>
            <w:tcW w:w="1350" w:type="dxa"/>
          </w:tcPr>
          <w:p w:rsidR="00EB7B6A" w:rsidRPr="00F82E71" w:rsidRDefault="00EB7B6A" w:rsidP="00EB7B6A">
            <w:r w:rsidRPr="00F82E71">
              <w:t>0020(74)</w:t>
            </w:r>
          </w:p>
        </w:tc>
        <w:tc>
          <w:tcPr>
            <w:tcW w:w="990" w:type="dxa"/>
          </w:tcPr>
          <w:p w:rsidR="00EB7B6A" w:rsidRPr="00F82E71" w:rsidRDefault="00EB7B6A" w:rsidP="00EB7B6A">
            <w:r w:rsidRPr="00F82E71">
              <w:t>200</w:t>
            </w:r>
          </w:p>
        </w:tc>
        <w:tc>
          <w:tcPr>
            <w:tcW w:w="1350" w:type="dxa"/>
          </w:tcPr>
          <w:p w:rsidR="00EB7B6A" w:rsidRPr="00F82E71" w:rsidRDefault="00EB7B6A" w:rsidP="00EB7B6A">
            <w:r>
              <w:t>0020(</w:t>
            </w:r>
            <w:r w:rsidRPr="00F82E71">
              <w:t>9</w:t>
            </w:r>
            <w:r>
              <w:t>3</w:t>
            </w:r>
            <w:r w:rsidRPr="00F82E71">
              <w:t>)</w:t>
            </w:r>
          </w:p>
        </w:tc>
        <w:tc>
          <w:tcPr>
            <w:tcW w:w="4860" w:type="dxa"/>
          </w:tcPr>
          <w:p w:rsidR="00EB7B6A" w:rsidRPr="00F82E71" w:rsidRDefault="00EB7B6A" w:rsidP="00EB7B6A">
            <w:r>
              <w:t>Change “stationary source” to “source or part of a source” throughout the whole definition</w:t>
            </w:r>
          </w:p>
        </w:tc>
        <w:tc>
          <w:tcPr>
            <w:tcW w:w="4320" w:type="dxa"/>
          </w:tcPr>
          <w:p w:rsidR="00EB7B6A" w:rsidRPr="00F82E71" w:rsidRDefault="00EB7B6A" w:rsidP="00EB7B6A">
            <w:r w:rsidRPr="00F82E71">
              <w:t>Clarification</w:t>
            </w:r>
          </w:p>
        </w:tc>
        <w:tc>
          <w:tcPr>
            <w:tcW w:w="787" w:type="dxa"/>
          </w:tcPr>
          <w:p w:rsidR="00EB7B6A" w:rsidRPr="006E233D" w:rsidRDefault="00EB7B6A" w:rsidP="00EB7B6A">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EB7B6A" w:rsidP="009F5171">
            <w:r>
              <w:t>0020(75</w:t>
            </w:r>
            <w:r w:rsidR="00C12617" w:rsidRPr="00F82E71">
              <w:t>)</w:t>
            </w:r>
          </w:p>
        </w:tc>
        <w:tc>
          <w:tcPr>
            <w:tcW w:w="990" w:type="dxa"/>
          </w:tcPr>
          <w:p w:rsidR="00C12617" w:rsidRPr="00F82E71" w:rsidRDefault="00C12617" w:rsidP="009F5171">
            <w:r w:rsidRPr="00F82E71">
              <w:t>200</w:t>
            </w:r>
          </w:p>
        </w:tc>
        <w:tc>
          <w:tcPr>
            <w:tcW w:w="1350" w:type="dxa"/>
          </w:tcPr>
          <w:p w:rsidR="00C12617" w:rsidRPr="00F82E71" w:rsidRDefault="00A75921" w:rsidP="00EB7B6A">
            <w:r>
              <w:t>0020(</w:t>
            </w:r>
            <w:r w:rsidR="00C12617" w:rsidRPr="00F82E71">
              <w:t>9</w:t>
            </w:r>
            <w:r w:rsidR="00EB7B6A">
              <w:t>4</w:t>
            </w:r>
            <w:r w:rsidR="00C12617" w:rsidRPr="00F82E71">
              <w:t>)</w:t>
            </w:r>
          </w:p>
        </w:tc>
        <w:tc>
          <w:tcPr>
            <w:tcW w:w="4860" w:type="dxa"/>
          </w:tcPr>
          <w:p w:rsidR="00C12617" w:rsidRPr="00F82E71" w:rsidRDefault="00EB7B6A" w:rsidP="009F5171">
            <w:r>
              <w:t>Delete parentheses</w:t>
            </w:r>
          </w:p>
        </w:tc>
        <w:tc>
          <w:tcPr>
            <w:tcW w:w="4320" w:type="dxa"/>
          </w:tcPr>
          <w:p w:rsidR="00C12617" w:rsidRPr="00F82E71" w:rsidRDefault="00EB7B6A" w:rsidP="009F5171">
            <w:r>
              <w:t>Correction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 xml:space="preserve">"Natural gas" means a naturally occurring mixture of </w:t>
            </w:r>
            <w:r w:rsidRPr="005B181E">
              <w:lastRenderedPageBreak/>
              <w:t>hydrocarbon and nonhydrocarbon gases found in geologic formations beneath the earth's surface, of which 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lastRenderedPageBreak/>
              <w:t>SIP</w:t>
            </w:r>
          </w:p>
        </w:tc>
      </w:tr>
      <w:tr w:rsidR="00FA1189" w:rsidRPr="006E233D" w:rsidTr="00D66578">
        <w:tc>
          <w:tcPr>
            <w:tcW w:w="918" w:type="dxa"/>
          </w:tcPr>
          <w:p w:rsidR="00FA1189" w:rsidRPr="006E233D" w:rsidRDefault="00FA1189" w:rsidP="00A65851">
            <w:r w:rsidRPr="006E233D">
              <w:lastRenderedPageBreak/>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w:t>
            </w:r>
            <w:r w:rsidRPr="001F097C">
              <w:rPr>
                <w:bCs/>
              </w:rPr>
              <w:lastRenderedPageBreak/>
              <w:t xml:space="preserve">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t>
            </w:r>
            <w:r w:rsidRPr="001F097C">
              <w:lastRenderedPageBreak/>
              <w:t>where not specified by rule, in each individual permit;</w:t>
            </w:r>
            <w:r>
              <w:t>”</w:t>
            </w:r>
          </w:p>
        </w:tc>
        <w:tc>
          <w:tcPr>
            <w:tcW w:w="4320" w:type="dxa"/>
          </w:tcPr>
          <w:p w:rsidR="002F7E87" w:rsidRPr="006E233D" w:rsidRDefault="002F7E87" w:rsidP="00A834E6">
            <w:r w:rsidRPr="006E233D">
              <w:lastRenderedPageBreak/>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 xml:space="preserve">(b) The maximum allowable regulated pollutant emissions taking into consideration any physical or operational limitation, including use of control devices and restrictions on hours of operation or on the type or amount of material combusted, stored, or processed, if </w:t>
            </w:r>
            <w:r w:rsidRPr="00112C55">
              <w:lastRenderedPageBreak/>
              <w:t>the limitation is enforceable by the Administrator.</w:t>
            </w:r>
            <w:r>
              <w:t>”</w:t>
            </w:r>
          </w:p>
        </w:tc>
        <w:tc>
          <w:tcPr>
            <w:tcW w:w="4320" w:type="dxa"/>
          </w:tcPr>
          <w:p w:rsidR="00A97049" w:rsidRDefault="00A97049">
            <w:r w:rsidRPr="005352EC">
              <w:rPr>
                <w:bCs/>
              </w:rPr>
              <w:lastRenderedPageBreak/>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lastRenderedPageBreak/>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t>Move definition of “ppm</w:t>
            </w:r>
            <w:r w:rsidR="004A287A" w:rsidRPr="004A287A">
              <w:t>”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w:t>
            </w:r>
            <w:r w:rsidRPr="00DA0AB7">
              <w:rPr>
                <w:color w:val="000000"/>
              </w:rPr>
              <w:lastRenderedPageBreak/>
              <w:t>for which the area was designated a nonattainment area, but a formal redesignation by EPA has not yet been approved.</w:t>
            </w:r>
          </w:p>
        </w:tc>
        <w:tc>
          <w:tcPr>
            <w:tcW w:w="4320" w:type="dxa"/>
          </w:tcPr>
          <w:p w:rsidR="00E00704" w:rsidRPr="006E233D" w:rsidRDefault="00E00704" w:rsidP="00FA1189">
            <w:r w:rsidRPr="006E233D">
              <w:lastRenderedPageBreak/>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w:t>
            </w:r>
            <w:r w:rsidR="00A97049" w:rsidRPr="00A97049">
              <w:lastRenderedPageBreak/>
              <w:t xml:space="preserve">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lastRenderedPageBreak/>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 xml:space="preserve">ly to </w:t>
            </w:r>
            <w:r>
              <w:rPr>
                <w:bCs/>
              </w:rPr>
              <w:lastRenderedPageBreak/>
              <w:t>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lastRenderedPageBreak/>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w:t>
            </w:r>
            <w:r w:rsidRPr="006E233D">
              <w:lastRenderedPageBreak/>
              <w:t xml:space="preserve">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w:t>
            </w:r>
            <w:r w:rsidRPr="006E233D">
              <w:lastRenderedPageBreak/>
              <w:t xml:space="preserve">addition to or exclusive of steam or natural gas or propane combustion.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FA1189" w:rsidP="00142A0B">
            <w:r>
              <w:t>Add ppm to d</w:t>
            </w:r>
            <w:r w:rsidR="002F7E87" w:rsidRPr="006E233D">
              <w:t>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lastRenderedPageBreak/>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p w:rsidR="00DB4EFC" w:rsidRDefault="00DB4EFC" w:rsidP="00420B36"/>
          <w:p w:rsidR="00DB4EFC" w:rsidRPr="005A5027" w:rsidRDefault="00DB4EFC" w:rsidP="00DB4EFC">
            <w:r>
              <w:lastRenderedPageBreak/>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w:t>
            </w:r>
            <w:r w:rsidRPr="003076FE">
              <w:rPr>
                <w:color w:val="000000"/>
              </w:rPr>
              <w:lastRenderedPageBreak/>
              <w:t>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lastRenderedPageBreak/>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lastRenderedPageBreak/>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63619D" w:rsidRPr="006E233D" w:rsidTr="002462F2">
        <w:tc>
          <w:tcPr>
            <w:tcW w:w="918" w:type="dxa"/>
            <w:tcBorders>
              <w:bottom w:val="double" w:sz="6" w:space="0" w:color="auto"/>
            </w:tcBorders>
          </w:tcPr>
          <w:p w:rsidR="0063619D" w:rsidRDefault="0063619D" w:rsidP="002462F2">
            <w:r>
              <w:t>202</w:t>
            </w:r>
          </w:p>
        </w:tc>
        <w:tc>
          <w:tcPr>
            <w:tcW w:w="1350" w:type="dxa"/>
            <w:tcBorders>
              <w:bottom w:val="double" w:sz="6" w:space="0" w:color="auto"/>
            </w:tcBorders>
          </w:tcPr>
          <w:p w:rsidR="0063619D" w:rsidRDefault="0063619D" w:rsidP="002462F2">
            <w:r>
              <w:t>0050(2)</w:t>
            </w:r>
          </w:p>
        </w:tc>
        <w:tc>
          <w:tcPr>
            <w:tcW w:w="990" w:type="dxa"/>
            <w:tcBorders>
              <w:bottom w:val="double" w:sz="6" w:space="0" w:color="auto"/>
            </w:tcBorders>
          </w:tcPr>
          <w:p w:rsidR="0063619D" w:rsidRDefault="0063619D" w:rsidP="002462F2">
            <w:pPr>
              <w:rPr>
                <w:color w:val="000000"/>
              </w:rPr>
            </w:pPr>
            <w:r>
              <w:rPr>
                <w:color w:val="000000"/>
              </w:rPr>
              <w:t>NA</w:t>
            </w:r>
          </w:p>
        </w:tc>
        <w:tc>
          <w:tcPr>
            <w:tcW w:w="1350" w:type="dxa"/>
            <w:tcBorders>
              <w:bottom w:val="double" w:sz="6" w:space="0" w:color="auto"/>
            </w:tcBorders>
          </w:tcPr>
          <w:p w:rsidR="0063619D" w:rsidRDefault="0063619D" w:rsidP="002462F2">
            <w:pPr>
              <w:rPr>
                <w:color w:val="000000"/>
              </w:rPr>
            </w:pPr>
            <w:r>
              <w:rPr>
                <w:color w:val="000000"/>
              </w:rPr>
              <w:t>NA</w:t>
            </w:r>
          </w:p>
        </w:tc>
        <w:tc>
          <w:tcPr>
            <w:tcW w:w="4860" w:type="dxa"/>
            <w:tcBorders>
              <w:bottom w:val="double" w:sz="6" w:space="0" w:color="auto"/>
            </w:tcBorders>
          </w:tcPr>
          <w:p w:rsidR="0063619D" w:rsidRDefault="0063619D" w:rsidP="002462F2">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63619D" w:rsidRDefault="0063619D" w:rsidP="002462F2">
            <w:r>
              <w:t>Clarification. This language is also being added to division 224.</w:t>
            </w:r>
          </w:p>
        </w:tc>
        <w:tc>
          <w:tcPr>
            <w:tcW w:w="787" w:type="dxa"/>
            <w:tcBorders>
              <w:bottom w:val="double" w:sz="6" w:space="0" w:color="auto"/>
            </w:tcBorders>
          </w:tcPr>
          <w:p w:rsidR="0063619D" w:rsidRPr="006E233D" w:rsidRDefault="0063619D" w:rsidP="002462F2">
            <w:pPr>
              <w:jc w:val="center"/>
            </w:pPr>
            <w:r>
              <w:t>SIP</w:t>
            </w:r>
          </w:p>
        </w:tc>
      </w:tr>
      <w:tr w:rsidR="00D328EB" w:rsidRPr="006E233D" w:rsidTr="002462F2">
        <w:tc>
          <w:tcPr>
            <w:tcW w:w="918" w:type="dxa"/>
            <w:tcBorders>
              <w:bottom w:val="double" w:sz="6" w:space="0" w:color="auto"/>
            </w:tcBorders>
          </w:tcPr>
          <w:p w:rsidR="00D328EB" w:rsidRDefault="00D328EB" w:rsidP="002462F2">
            <w:r>
              <w:t>202</w:t>
            </w:r>
          </w:p>
        </w:tc>
        <w:tc>
          <w:tcPr>
            <w:tcW w:w="1350" w:type="dxa"/>
            <w:tcBorders>
              <w:bottom w:val="double" w:sz="6" w:space="0" w:color="auto"/>
            </w:tcBorders>
          </w:tcPr>
          <w:p w:rsidR="00D328EB" w:rsidRDefault="00D328EB" w:rsidP="002462F2">
            <w:r>
              <w:t>0070</w:t>
            </w:r>
          </w:p>
        </w:tc>
        <w:tc>
          <w:tcPr>
            <w:tcW w:w="990" w:type="dxa"/>
            <w:tcBorders>
              <w:bottom w:val="double" w:sz="6" w:space="0" w:color="auto"/>
            </w:tcBorders>
          </w:tcPr>
          <w:p w:rsidR="00D328EB" w:rsidRDefault="00D328EB" w:rsidP="002462F2">
            <w:pPr>
              <w:rPr>
                <w:color w:val="000000"/>
              </w:rPr>
            </w:pPr>
            <w:r>
              <w:rPr>
                <w:color w:val="000000"/>
              </w:rPr>
              <w:t>NA</w:t>
            </w:r>
          </w:p>
        </w:tc>
        <w:tc>
          <w:tcPr>
            <w:tcW w:w="1350" w:type="dxa"/>
            <w:tcBorders>
              <w:bottom w:val="double" w:sz="6" w:space="0" w:color="auto"/>
            </w:tcBorders>
          </w:tcPr>
          <w:p w:rsidR="00D328EB" w:rsidRDefault="00D328EB" w:rsidP="002462F2">
            <w:pPr>
              <w:rPr>
                <w:color w:val="000000"/>
              </w:rPr>
            </w:pPr>
            <w:r>
              <w:rPr>
                <w:color w:val="000000"/>
              </w:rPr>
              <w:t>NA</w:t>
            </w:r>
          </w:p>
        </w:tc>
        <w:tc>
          <w:tcPr>
            <w:tcW w:w="4860" w:type="dxa"/>
            <w:tcBorders>
              <w:bottom w:val="double" w:sz="6" w:space="0" w:color="auto"/>
            </w:tcBorders>
          </w:tcPr>
          <w:p w:rsidR="00D328EB" w:rsidRDefault="00D328EB" w:rsidP="002462F2">
            <w:r>
              <w:t>Delete “</w:t>
            </w:r>
            <w:r w:rsidRPr="0063619D">
              <w:t>(effective upon EQC adoption October 16, 2013)</w:t>
            </w:r>
            <w:r>
              <w:t>”</w:t>
            </w:r>
          </w:p>
        </w:tc>
        <w:tc>
          <w:tcPr>
            <w:tcW w:w="4320" w:type="dxa"/>
            <w:tcBorders>
              <w:bottom w:val="double" w:sz="6" w:space="0" w:color="auto"/>
            </w:tcBorders>
          </w:tcPr>
          <w:p w:rsidR="00D328EB" w:rsidRDefault="00D328EB" w:rsidP="002462F2">
            <w:r>
              <w:t>Not necessary.  The date of the CFR in effect at the time of rule adoption is in OAR 340-200-0035.</w:t>
            </w:r>
          </w:p>
        </w:tc>
        <w:tc>
          <w:tcPr>
            <w:tcW w:w="787" w:type="dxa"/>
            <w:tcBorders>
              <w:bottom w:val="double" w:sz="6" w:space="0" w:color="auto"/>
            </w:tcBorders>
          </w:tcPr>
          <w:p w:rsidR="00D328EB" w:rsidRPr="006E233D" w:rsidRDefault="00D328EB" w:rsidP="002462F2">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63619D" w:rsidP="00A65851">
            <w:r>
              <w:t>0070</w:t>
            </w:r>
            <w:r w:rsidR="00D328EB">
              <w:t>(4)</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63619D" w:rsidP="00D328EB">
            <w:r>
              <w:t>Delete “</w:t>
            </w:r>
            <w:r w:rsidRPr="0063619D">
              <w:t>(</w:t>
            </w:r>
            <w:r w:rsidR="00D328EB">
              <w:t>as of”</w:t>
            </w:r>
          </w:p>
        </w:tc>
        <w:tc>
          <w:tcPr>
            <w:tcW w:w="4320" w:type="dxa"/>
            <w:tcBorders>
              <w:bottom w:val="double" w:sz="6" w:space="0" w:color="auto"/>
            </w:tcBorders>
          </w:tcPr>
          <w:p w:rsidR="002F7E87" w:rsidRDefault="00D328EB" w:rsidP="00FE68CE">
            <w:r>
              <w:t>Correction</w:t>
            </w:r>
          </w:p>
        </w:tc>
        <w:tc>
          <w:tcPr>
            <w:tcW w:w="787" w:type="dxa"/>
            <w:tcBorders>
              <w:bottom w:val="double" w:sz="6" w:space="0" w:color="auto"/>
            </w:tcBorders>
          </w:tcPr>
          <w:p w:rsidR="002F7E87" w:rsidRPr="006E233D" w:rsidRDefault="002F7E87" w:rsidP="00C32E47">
            <w:pPr>
              <w:jc w:val="center"/>
            </w:pPr>
            <w:r>
              <w:t>SIP</w:t>
            </w:r>
          </w:p>
        </w:tc>
      </w:tr>
      <w:tr w:rsidR="005614B5" w:rsidRPr="006E233D" w:rsidTr="002462F2">
        <w:tc>
          <w:tcPr>
            <w:tcW w:w="918" w:type="dxa"/>
            <w:tcBorders>
              <w:bottom w:val="double" w:sz="6" w:space="0" w:color="auto"/>
            </w:tcBorders>
          </w:tcPr>
          <w:p w:rsidR="005614B5" w:rsidRDefault="005614B5" w:rsidP="002462F2">
            <w:r>
              <w:t>202</w:t>
            </w:r>
          </w:p>
        </w:tc>
        <w:tc>
          <w:tcPr>
            <w:tcW w:w="1350" w:type="dxa"/>
            <w:tcBorders>
              <w:bottom w:val="double" w:sz="6" w:space="0" w:color="auto"/>
            </w:tcBorders>
          </w:tcPr>
          <w:p w:rsidR="005614B5" w:rsidRDefault="005614B5" w:rsidP="002462F2">
            <w:r>
              <w:t>0100</w:t>
            </w:r>
          </w:p>
        </w:tc>
        <w:tc>
          <w:tcPr>
            <w:tcW w:w="990" w:type="dxa"/>
            <w:tcBorders>
              <w:bottom w:val="double" w:sz="6" w:space="0" w:color="auto"/>
            </w:tcBorders>
          </w:tcPr>
          <w:p w:rsidR="005614B5" w:rsidRDefault="005614B5" w:rsidP="002462F2">
            <w:pPr>
              <w:rPr>
                <w:color w:val="000000"/>
              </w:rPr>
            </w:pPr>
            <w:r>
              <w:rPr>
                <w:color w:val="000000"/>
              </w:rPr>
              <w:t>NA</w:t>
            </w:r>
          </w:p>
        </w:tc>
        <w:tc>
          <w:tcPr>
            <w:tcW w:w="1350" w:type="dxa"/>
            <w:tcBorders>
              <w:bottom w:val="double" w:sz="6" w:space="0" w:color="auto"/>
            </w:tcBorders>
          </w:tcPr>
          <w:p w:rsidR="005614B5" w:rsidRDefault="005614B5" w:rsidP="002462F2">
            <w:pPr>
              <w:rPr>
                <w:color w:val="000000"/>
              </w:rPr>
            </w:pPr>
            <w:r>
              <w:rPr>
                <w:color w:val="000000"/>
              </w:rPr>
              <w:t>NA</w:t>
            </w:r>
          </w:p>
        </w:tc>
        <w:tc>
          <w:tcPr>
            <w:tcW w:w="4860" w:type="dxa"/>
            <w:tcBorders>
              <w:bottom w:val="double" w:sz="6" w:space="0" w:color="auto"/>
            </w:tcBorders>
          </w:tcPr>
          <w:p w:rsidR="005614B5" w:rsidRDefault="005614B5" w:rsidP="002462F2">
            <w:r>
              <w:t>Delete “</w:t>
            </w:r>
            <w:r w:rsidRPr="0063619D">
              <w:t>(effective upon EQC adoption October 16, 2013)</w:t>
            </w:r>
            <w:r>
              <w:t>”</w:t>
            </w:r>
          </w:p>
        </w:tc>
        <w:tc>
          <w:tcPr>
            <w:tcW w:w="4320" w:type="dxa"/>
            <w:tcBorders>
              <w:bottom w:val="double" w:sz="6" w:space="0" w:color="auto"/>
            </w:tcBorders>
          </w:tcPr>
          <w:p w:rsidR="005614B5" w:rsidRDefault="005614B5" w:rsidP="002462F2">
            <w:r>
              <w:t>Not necessary.  The date of the CFR in effect at the time of rule adoption is in OAR 340-200-0035.</w:t>
            </w:r>
          </w:p>
        </w:tc>
        <w:tc>
          <w:tcPr>
            <w:tcW w:w="787" w:type="dxa"/>
            <w:tcBorders>
              <w:bottom w:val="double" w:sz="6" w:space="0" w:color="auto"/>
            </w:tcBorders>
          </w:tcPr>
          <w:p w:rsidR="005614B5" w:rsidRPr="006E233D" w:rsidRDefault="005614B5" w:rsidP="002462F2">
            <w:pPr>
              <w:jc w:val="center"/>
            </w:pPr>
            <w:r>
              <w:t>SIP</w:t>
            </w:r>
          </w:p>
        </w:tc>
      </w:tr>
      <w:tr w:rsidR="005614B5" w:rsidRPr="006E233D" w:rsidTr="002462F2">
        <w:tc>
          <w:tcPr>
            <w:tcW w:w="918" w:type="dxa"/>
            <w:tcBorders>
              <w:bottom w:val="double" w:sz="6" w:space="0" w:color="auto"/>
            </w:tcBorders>
          </w:tcPr>
          <w:p w:rsidR="005614B5" w:rsidRDefault="005614B5" w:rsidP="002462F2">
            <w:r>
              <w:t>202</w:t>
            </w:r>
          </w:p>
        </w:tc>
        <w:tc>
          <w:tcPr>
            <w:tcW w:w="1350" w:type="dxa"/>
            <w:tcBorders>
              <w:bottom w:val="double" w:sz="6" w:space="0" w:color="auto"/>
            </w:tcBorders>
          </w:tcPr>
          <w:p w:rsidR="005614B5" w:rsidRDefault="005614B5" w:rsidP="002462F2">
            <w:r>
              <w:t>013</w:t>
            </w:r>
            <w:r>
              <w:t>0</w:t>
            </w:r>
          </w:p>
        </w:tc>
        <w:tc>
          <w:tcPr>
            <w:tcW w:w="990" w:type="dxa"/>
            <w:tcBorders>
              <w:bottom w:val="double" w:sz="6" w:space="0" w:color="auto"/>
            </w:tcBorders>
          </w:tcPr>
          <w:p w:rsidR="005614B5" w:rsidRDefault="005614B5" w:rsidP="002462F2">
            <w:pPr>
              <w:rPr>
                <w:color w:val="000000"/>
              </w:rPr>
            </w:pPr>
            <w:r>
              <w:rPr>
                <w:color w:val="000000"/>
              </w:rPr>
              <w:t>NA</w:t>
            </w:r>
          </w:p>
        </w:tc>
        <w:tc>
          <w:tcPr>
            <w:tcW w:w="1350" w:type="dxa"/>
            <w:tcBorders>
              <w:bottom w:val="double" w:sz="6" w:space="0" w:color="auto"/>
            </w:tcBorders>
          </w:tcPr>
          <w:p w:rsidR="005614B5" w:rsidRDefault="005614B5" w:rsidP="002462F2">
            <w:pPr>
              <w:rPr>
                <w:color w:val="000000"/>
              </w:rPr>
            </w:pPr>
            <w:r>
              <w:rPr>
                <w:color w:val="000000"/>
              </w:rPr>
              <w:t>NA</w:t>
            </w:r>
          </w:p>
        </w:tc>
        <w:tc>
          <w:tcPr>
            <w:tcW w:w="4860" w:type="dxa"/>
            <w:tcBorders>
              <w:bottom w:val="double" w:sz="6" w:space="0" w:color="auto"/>
            </w:tcBorders>
          </w:tcPr>
          <w:p w:rsidR="005614B5" w:rsidRDefault="005614B5" w:rsidP="002462F2">
            <w:r>
              <w:t>Delete “</w:t>
            </w:r>
            <w:r w:rsidRPr="0063619D">
              <w:t>(effective upon EQC adoption October 16, 2013)</w:t>
            </w:r>
            <w:r>
              <w:t>”</w:t>
            </w:r>
          </w:p>
        </w:tc>
        <w:tc>
          <w:tcPr>
            <w:tcW w:w="4320" w:type="dxa"/>
            <w:tcBorders>
              <w:bottom w:val="double" w:sz="6" w:space="0" w:color="auto"/>
            </w:tcBorders>
          </w:tcPr>
          <w:p w:rsidR="005614B5" w:rsidRDefault="005614B5" w:rsidP="002462F2">
            <w:r>
              <w:t>Not necessary.  The date of the CFR in effect at the time of rule adoption is in OAR 340-200-0035.</w:t>
            </w:r>
          </w:p>
        </w:tc>
        <w:tc>
          <w:tcPr>
            <w:tcW w:w="787" w:type="dxa"/>
            <w:tcBorders>
              <w:bottom w:val="double" w:sz="6" w:space="0" w:color="auto"/>
            </w:tcBorders>
          </w:tcPr>
          <w:p w:rsidR="005614B5" w:rsidRPr="006E233D" w:rsidRDefault="005614B5" w:rsidP="002462F2">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lastRenderedPageBreak/>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lastRenderedPageBreak/>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w:t>
            </w:r>
            <w:r w:rsidRPr="00210118">
              <w:lastRenderedPageBreak/>
              <w:t xml:space="preserve">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lastRenderedPageBreak/>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People can call DEQ to find out the status of EPA plan approval and pending redesignations.</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w:t>
            </w:r>
            <w:r w:rsidR="00606572">
              <w:rPr>
                <w:bCs/>
                <w:color w:val="000000"/>
              </w:rPr>
              <w:lastRenderedPageBreak/>
              <w:t>lands within the boundaries of Indian Reservations.</w:t>
            </w:r>
          </w:p>
        </w:tc>
        <w:tc>
          <w:tcPr>
            <w:tcW w:w="4320" w:type="dxa"/>
            <w:shd w:val="clear" w:color="auto" w:fill="auto"/>
          </w:tcPr>
          <w:p w:rsidR="002F7E87" w:rsidRPr="005A5027" w:rsidRDefault="002F7E87" w:rsidP="00344BE5">
            <w:r w:rsidRPr="005A5027">
              <w:lastRenderedPageBreak/>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 xml:space="preserve">The requirement to use oxygenated fuel may be triggered in the future by the contingency plan provisions of one of </w:t>
            </w:r>
            <w:r w:rsidR="00923294">
              <w:rPr>
                <w:color w:val="000000"/>
              </w:rPr>
              <w:t>DEQ</w:t>
            </w:r>
            <w:r w:rsidRPr="00606572">
              <w:rPr>
                <w:color w:val="000000"/>
              </w:rPr>
              <w:t>’s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 xml:space="preserve">Designation of sustainment area does not need to </w:t>
            </w:r>
            <w:r w:rsidRPr="00795CDA">
              <w:lastRenderedPageBreak/>
              <w:t>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lastRenderedPageBreak/>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 xml:space="preserve">dates are </w:t>
            </w:r>
            <w:r w:rsidR="00A55ABD">
              <w:lastRenderedPageBreak/>
              <w:t>included in the rule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6628D3">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 xml:space="preserve">Compliance with a 6 minute average can be determined with 24 readings (6-minute observation period); whereas, compliance with the 3-minute standard may require as many as 240 readings (60 minute observation period). In </w:t>
            </w:r>
            <w:r w:rsidRPr="00557613">
              <w:lastRenderedPageBreak/>
              <w:t>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 xml:space="preserve">(C)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w:t>
            </w:r>
            <w:r w:rsidRPr="006054B0">
              <w:rPr>
                <w:bCs/>
              </w:rPr>
              <w:lastRenderedPageBreak/>
              <w:t>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There is no relaxation to the existing 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lastRenderedPageBreak/>
              <w:t>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3A587E" w:rsidRPr="006E233D" w:rsidTr="002462F2">
        <w:tc>
          <w:tcPr>
            <w:tcW w:w="918" w:type="dxa"/>
          </w:tcPr>
          <w:p w:rsidR="003A587E" w:rsidRPr="005A5027" w:rsidRDefault="003A587E" w:rsidP="002462F2">
            <w:r w:rsidRPr="005A5027">
              <w:t>208</w:t>
            </w:r>
          </w:p>
        </w:tc>
        <w:tc>
          <w:tcPr>
            <w:tcW w:w="1350" w:type="dxa"/>
          </w:tcPr>
          <w:p w:rsidR="003A587E" w:rsidRPr="005A5027" w:rsidRDefault="003A587E" w:rsidP="002462F2">
            <w:r w:rsidRPr="005A5027">
              <w:t>0210(2)(b)</w:t>
            </w:r>
          </w:p>
        </w:tc>
        <w:tc>
          <w:tcPr>
            <w:tcW w:w="990" w:type="dxa"/>
          </w:tcPr>
          <w:p w:rsidR="003A587E" w:rsidRPr="005A5027" w:rsidRDefault="003A587E" w:rsidP="002462F2">
            <w:r w:rsidRPr="005A5027">
              <w:t>208</w:t>
            </w:r>
          </w:p>
        </w:tc>
        <w:tc>
          <w:tcPr>
            <w:tcW w:w="1350" w:type="dxa"/>
          </w:tcPr>
          <w:p w:rsidR="003A587E" w:rsidRPr="005A5027" w:rsidRDefault="003A587E" w:rsidP="002462F2">
            <w:r w:rsidRPr="005A5027">
              <w:t>0210(1)(b)</w:t>
            </w:r>
          </w:p>
        </w:tc>
        <w:tc>
          <w:tcPr>
            <w:tcW w:w="4860" w:type="dxa"/>
          </w:tcPr>
          <w:p w:rsidR="003A587E" w:rsidRPr="005A5027" w:rsidRDefault="003A587E" w:rsidP="003A587E">
            <w:r w:rsidRPr="005A5027">
              <w:t xml:space="preserve">Delete “asphalt, oil,” from </w:t>
            </w:r>
            <w:r>
              <w:t>when full or particial enclosure is needed if the the application of water or suitable chemicals are not sufficient</w:t>
            </w:r>
          </w:p>
        </w:tc>
        <w:tc>
          <w:tcPr>
            <w:tcW w:w="4320" w:type="dxa"/>
          </w:tcPr>
          <w:p w:rsidR="003A587E" w:rsidRPr="005A5027" w:rsidRDefault="003A587E" w:rsidP="003A587E">
            <w:pPr>
              <w:tabs>
                <w:tab w:val="num" w:pos="1440"/>
              </w:tabs>
            </w:pPr>
            <w:r w:rsidRPr="005A5027">
              <w:t>DEQ discourages the use of oil as dust suppressants because of the negative environmental impact on other media.</w:t>
            </w:r>
          </w:p>
        </w:tc>
        <w:tc>
          <w:tcPr>
            <w:tcW w:w="787" w:type="dxa"/>
          </w:tcPr>
          <w:p w:rsidR="003A587E" w:rsidRPr="006E233D" w:rsidRDefault="003A587E" w:rsidP="002462F2">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3A587E" w:rsidP="00DC7AD1">
            <w:r>
              <w:t>0210(2)(c</w:t>
            </w:r>
            <w:r w:rsidR="00D628F4"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3A587E">
            <w:r w:rsidRPr="005A5027">
              <w:t>0210(1)(</w:t>
            </w:r>
            <w:r w:rsidR="003A587E">
              <w:t>c</w:t>
            </w:r>
            <w:r w:rsidRPr="005A5027">
              <w:t>)</w:t>
            </w:r>
          </w:p>
        </w:tc>
        <w:tc>
          <w:tcPr>
            <w:tcW w:w="4860" w:type="dxa"/>
          </w:tcPr>
          <w:p w:rsidR="00D628F4" w:rsidRPr="005A5027" w:rsidRDefault="003A587E" w:rsidP="00DC7AD1">
            <w:r>
              <w:t>Delete oil</w:t>
            </w:r>
            <w:r w:rsidR="00D628F4" w:rsidRPr="005A5027">
              <w:t xml:space="preserve"> from the reasonable precautions to prevent particulate matter from becoming airborne</w:t>
            </w:r>
            <w:r>
              <w:t xml:space="preserve"> and add “other suitable” to chemicals</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 xml:space="preserve">Particulate matter larger than 250 microns is </w:t>
            </w:r>
            <w:r w:rsidRPr="005A5027">
              <w:lastRenderedPageBreak/>
              <w:t>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lastRenderedPageBreak/>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0010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0020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B67388" w:rsidRPr="006E233D" w:rsidTr="002462F2">
        <w:tc>
          <w:tcPr>
            <w:tcW w:w="918" w:type="dxa"/>
            <w:shd w:val="clear" w:color="auto" w:fill="auto"/>
          </w:tcPr>
          <w:p w:rsidR="00B67388" w:rsidRPr="00964FC2" w:rsidRDefault="00B67388" w:rsidP="002462F2">
            <w:r w:rsidRPr="00964FC2">
              <w:t>209</w:t>
            </w:r>
          </w:p>
        </w:tc>
        <w:tc>
          <w:tcPr>
            <w:tcW w:w="1350" w:type="dxa"/>
            <w:shd w:val="clear" w:color="auto" w:fill="auto"/>
          </w:tcPr>
          <w:p w:rsidR="00B67388" w:rsidRPr="00964FC2" w:rsidRDefault="00B67388" w:rsidP="002462F2">
            <w:r>
              <w:t>0030(3)(c)</w:t>
            </w:r>
          </w:p>
        </w:tc>
        <w:tc>
          <w:tcPr>
            <w:tcW w:w="990" w:type="dxa"/>
          </w:tcPr>
          <w:p w:rsidR="00B67388" w:rsidRPr="00964FC2" w:rsidRDefault="00B67388" w:rsidP="002462F2">
            <w:pPr>
              <w:rPr>
                <w:color w:val="000000"/>
              </w:rPr>
            </w:pPr>
            <w:r w:rsidRPr="00964FC2">
              <w:rPr>
                <w:color w:val="000000"/>
              </w:rPr>
              <w:t>NA</w:t>
            </w:r>
          </w:p>
        </w:tc>
        <w:tc>
          <w:tcPr>
            <w:tcW w:w="1350" w:type="dxa"/>
          </w:tcPr>
          <w:p w:rsidR="00B67388" w:rsidRPr="00964FC2" w:rsidRDefault="00B67388" w:rsidP="002462F2">
            <w:pPr>
              <w:rPr>
                <w:color w:val="000000"/>
              </w:rPr>
            </w:pPr>
            <w:r w:rsidRPr="00964FC2">
              <w:rPr>
                <w:color w:val="000000"/>
              </w:rPr>
              <w:t>NA</w:t>
            </w:r>
          </w:p>
        </w:tc>
        <w:tc>
          <w:tcPr>
            <w:tcW w:w="4860" w:type="dxa"/>
            <w:shd w:val="clear" w:color="auto" w:fill="auto"/>
          </w:tcPr>
          <w:p w:rsidR="00B67388" w:rsidRPr="00964FC2" w:rsidRDefault="00B67388"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B67388" w:rsidRPr="00964FC2" w:rsidRDefault="00B67388" w:rsidP="002462F2">
            <w:r w:rsidRPr="00964FC2">
              <w:t>Clarification</w:t>
            </w:r>
          </w:p>
        </w:tc>
        <w:tc>
          <w:tcPr>
            <w:tcW w:w="787" w:type="dxa"/>
            <w:shd w:val="clear" w:color="auto" w:fill="auto"/>
          </w:tcPr>
          <w:p w:rsidR="00B67388" w:rsidRDefault="00B67388" w:rsidP="002462F2">
            <w:pPr>
              <w:jc w:val="center"/>
            </w:pPr>
            <w:r w:rsidRPr="00964FC2">
              <w:t>NA</w:t>
            </w:r>
          </w:p>
        </w:tc>
      </w:tr>
      <w:tr w:rsidR="0092320E" w:rsidRPr="006E233D" w:rsidTr="002462F2">
        <w:tc>
          <w:tcPr>
            <w:tcW w:w="918" w:type="dxa"/>
            <w:shd w:val="clear" w:color="auto" w:fill="auto"/>
          </w:tcPr>
          <w:p w:rsidR="0092320E" w:rsidRPr="00964FC2" w:rsidRDefault="0092320E" w:rsidP="002462F2">
            <w:r w:rsidRPr="00964FC2">
              <w:t>209</w:t>
            </w:r>
          </w:p>
        </w:tc>
        <w:tc>
          <w:tcPr>
            <w:tcW w:w="1350" w:type="dxa"/>
            <w:shd w:val="clear" w:color="auto" w:fill="auto"/>
          </w:tcPr>
          <w:p w:rsidR="0092320E" w:rsidRPr="00964FC2" w:rsidRDefault="0092320E" w:rsidP="002462F2">
            <w:r w:rsidRPr="00964FC2">
              <w:t>0030(3)(d)(B)</w:t>
            </w:r>
          </w:p>
        </w:tc>
        <w:tc>
          <w:tcPr>
            <w:tcW w:w="990" w:type="dxa"/>
          </w:tcPr>
          <w:p w:rsidR="0092320E" w:rsidRPr="00964FC2" w:rsidRDefault="0092320E" w:rsidP="002462F2">
            <w:pPr>
              <w:rPr>
                <w:color w:val="000000"/>
              </w:rPr>
            </w:pPr>
            <w:r w:rsidRPr="00964FC2">
              <w:rPr>
                <w:color w:val="000000"/>
              </w:rPr>
              <w:t>NA</w:t>
            </w:r>
          </w:p>
        </w:tc>
        <w:tc>
          <w:tcPr>
            <w:tcW w:w="1350" w:type="dxa"/>
          </w:tcPr>
          <w:p w:rsidR="0092320E" w:rsidRPr="00964FC2" w:rsidRDefault="0092320E" w:rsidP="002462F2">
            <w:pPr>
              <w:rPr>
                <w:color w:val="000000"/>
              </w:rPr>
            </w:pPr>
            <w:r w:rsidRPr="00964FC2">
              <w:rPr>
                <w:color w:val="000000"/>
              </w:rPr>
              <w:t>NA</w:t>
            </w:r>
          </w:p>
        </w:tc>
        <w:tc>
          <w:tcPr>
            <w:tcW w:w="4860" w:type="dxa"/>
            <w:shd w:val="clear" w:color="auto" w:fill="auto"/>
          </w:tcPr>
          <w:p w:rsidR="0092320E" w:rsidRPr="00964FC2" w:rsidRDefault="0092320E" w:rsidP="002462F2">
            <w:pPr>
              <w:rPr>
                <w:color w:val="000000"/>
              </w:rPr>
            </w:pPr>
            <w:r w:rsidRPr="00964FC2">
              <w:rPr>
                <w:color w:val="000000"/>
              </w:rPr>
              <w:t>Add “DEQ will consider any information gathered in this process in its drafting of the proposed permit;”</w:t>
            </w:r>
          </w:p>
        </w:tc>
        <w:tc>
          <w:tcPr>
            <w:tcW w:w="4320" w:type="dxa"/>
            <w:shd w:val="clear" w:color="auto" w:fill="auto"/>
          </w:tcPr>
          <w:p w:rsidR="0092320E" w:rsidRPr="00964FC2" w:rsidRDefault="0092320E" w:rsidP="002462F2">
            <w:r w:rsidRPr="00964FC2">
              <w:t>Clarification</w:t>
            </w:r>
          </w:p>
        </w:tc>
        <w:tc>
          <w:tcPr>
            <w:tcW w:w="787" w:type="dxa"/>
            <w:shd w:val="clear" w:color="auto" w:fill="auto"/>
          </w:tcPr>
          <w:p w:rsidR="0092320E" w:rsidRDefault="0092320E" w:rsidP="002462F2">
            <w:pPr>
              <w:jc w:val="center"/>
            </w:pPr>
            <w:r w:rsidRPr="00964FC2">
              <w:t>NA</w:t>
            </w:r>
          </w:p>
        </w:tc>
      </w:tr>
      <w:tr w:rsidR="00685198" w:rsidRPr="006E233D" w:rsidTr="002462F2">
        <w:tc>
          <w:tcPr>
            <w:tcW w:w="918" w:type="dxa"/>
            <w:shd w:val="clear" w:color="auto" w:fill="auto"/>
          </w:tcPr>
          <w:p w:rsidR="00685198" w:rsidRPr="006E233D" w:rsidRDefault="00685198" w:rsidP="002462F2">
            <w:r>
              <w:t>209</w:t>
            </w:r>
          </w:p>
        </w:tc>
        <w:tc>
          <w:tcPr>
            <w:tcW w:w="1350" w:type="dxa"/>
            <w:shd w:val="clear" w:color="auto" w:fill="auto"/>
          </w:tcPr>
          <w:p w:rsidR="00685198" w:rsidRPr="006E233D" w:rsidRDefault="00685198" w:rsidP="002462F2">
            <w:r>
              <w:t>0030(4)</w:t>
            </w:r>
          </w:p>
        </w:tc>
        <w:tc>
          <w:tcPr>
            <w:tcW w:w="990" w:type="dxa"/>
          </w:tcPr>
          <w:p w:rsidR="00685198" w:rsidRPr="006E233D" w:rsidRDefault="00685198" w:rsidP="002462F2">
            <w:pPr>
              <w:rPr>
                <w:color w:val="000000"/>
              </w:rPr>
            </w:pPr>
            <w:r>
              <w:rPr>
                <w:color w:val="000000"/>
              </w:rPr>
              <w:t>NA</w:t>
            </w:r>
          </w:p>
        </w:tc>
        <w:tc>
          <w:tcPr>
            <w:tcW w:w="1350" w:type="dxa"/>
          </w:tcPr>
          <w:p w:rsidR="00685198" w:rsidRPr="006E233D" w:rsidRDefault="00685198" w:rsidP="002462F2">
            <w:pPr>
              <w:rPr>
                <w:color w:val="000000"/>
              </w:rPr>
            </w:pPr>
            <w:r>
              <w:rPr>
                <w:color w:val="000000"/>
              </w:rPr>
              <w:t>NA</w:t>
            </w:r>
          </w:p>
        </w:tc>
        <w:tc>
          <w:tcPr>
            <w:tcW w:w="4860" w:type="dxa"/>
            <w:shd w:val="clear" w:color="auto" w:fill="auto"/>
          </w:tcPr>
          <w:p w:rsidR="00685198" w:rsidRPr="006E233D" w:rsidRDefault="00685198" w:rsidP="002462F2">
            <w:pPr>
              <w:rPr>
                <w:color w:val="000000"/>
              </w:rPr>
            </w:pPr>
            <w:r>
              <w:rPr>
                <w:color w:val="000000"/>
              </w:rPr>
              <w:t>Capitalize Title</w:t>
            </w:r>
          </w:p>
        </w:tc>
        <w:tc>
          <w:tcPr>
            <w:tcW w:w="4320" w:type="dxa"/>
            <w:shd w:val="clear" w:color="auto" w:fill="auto"/>
          </w:tcPr>
          <w:p w:rsidR="00685198" w:rsidRPr="006E233D" w:rsidRDefault="00685198" w:rsidP="002462F2">
            <w:r>
              <w:t>Correction</w:t>
            </w:r>
          </w:p>
        </w:tc>
        <w:tc>
          <w:tcPr>
            <w:tcW w:w="787" w:type="dxa"/>
            <w:shd w:val="clear" w:color="auto" w:fill="auto"/>
          </w:tcPr>
          <w:p w:rsidR="00685198" w:rsidRDefault="00685198" w:rsidP="002462F2">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0030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0040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C013F3" w:rsidRPr="005A5027" w:rsidRDefault="00C013F3" w:rsidP="008E15AE">
            <w:r>
              <w:lastRenderedPageBreak/>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25532">
        <w:tc>
          <w:tcPr>
            <w:tcW w:w="918" w:type="dxa"/>
            <w:shd w:val="clear" w:color="auto" w:fill="auto"/>
          </w:tcPr>
          <w:p w:rsidR="00AB1325" w:rsidRPr="006E233D" w:rsidRDefault="00AB1325" w:rsidP="00925532">
            <w:r w:rsidRPr="006E233D">
              <w:lastRenderedPageBreak/>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0050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0060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203319" w:rsidRPr="005A5027" w:rsidTr="002462F2">
        <w:tc>
          <w:tcPr>
            <w:tcW w:w="918" w:type="dxa"/>
            <w:tcBorders>
              <w:bottom w:val="double" w:sz="6" w:space="0" w:color="auto"/>
            </w:tcBorders>
          </w:tcPr>
          <w:p w:rsidR="00203319" w:rsidRPr="005A5027" w:rsidRDefault="00203319" w:rsidP="002462F2">
            <w:r>
              <w:t>209</w:t>
            </w:r>
          </w:p>
        </w:tc>
        <w:tc>
          <w:tcPr>
            <w:tcW w:w="1350" w:type="dxa"/>
            <w:tcBorders>
              <w:bottom w:val="double" w:sz="6" w:space="0" w:color="auto"/>
            </w:tcBorders>
          </w:tcPr>
          <w:p w:rsidR="00203319" w:rsidRPr="005A5027" w:rsidRDefault="00203319" w:rsidP="002462F2">
            <w:r>
              <w:t>0080</w:t>
            </w:r>
            <w:r>
              <w:t>(2)</w:t>
            </w:r>
          </w:p>
        </w:tc>
        <w:tc>
          <w:tcPr>
            <w:tcW w:w="990" w:type="dxa"/>
            <w:tcBorders>
              <w:bottom w:val="double" w:sz="6" w:space="0" w:color="auto"/>
            </w:tcBorders>
          </w:tcPr>
          <w:p w:rsidR="00203319" w:rsidRPr="005A5027" w:rsidRDefault="00203319" w:rsidP="002462F2">
            <w:pPr>
              <w:rPr>
                <w:bCs/>
                <w:color w:val="000000"/>
              </w:rPr>
            </w:pPr>
            <w:r>
              <w:rPr>
                <w:bCs/>
                <w:color w:val="000000"/>
              </w:rPr>
              <w:t>NA</w:t>
            </w:r>
          </w:p>
        </w:tc>
        <w:tc>
          <w:tcPr>
            <w:tcW w:w="1350" w:type="dxa"/>
            <w:tcBorders>
              <w:bottom w:val="double" w:sz="6" w:space="0" w:color="auto"/>
            </w:tcBorders>
          </w:tcPr>
          <w:p w:rsidR="00203319" w:rsidRPr="005A5027" w:rsidRDefault="00203319" w:rsidP="002462F2">
            <w:pPr>
              <w:rPr>
                <w:bCs/>
                <w:color w:val="000000"/>
              </w:rPr>
            </w:pPr>
            <w:r>
              <w:rPr>
                <w:bCs/>
                <w:color w:val="000000"/>
              </w:rPr>
              <w:t>NA</w:t>
            </w:r>
          </w:p>
        </w:tc>
        <w:tc>
          <w:tcPr>
            <w:tcW w:w="4860" w:type="dxa"/>
            <w:tcBorders>
              <w:bottom w:val="double" w:sz="6" w:space="0" w:color="auto"/>
            </w:tcBorders>
          </w:tcPr>
          <w:p w:rsidR="00203319" w:rsidRPr="00203319" w:rsidRDefault="00203319" w:rsidP="002462F2">
            <w:pPr>
              <w:rPr>
                <w:u w:val="single"/>
              </w:rPr>
            </w:pPr>
            <w:r>
              <w:t>Change “in the location(s) listed in OAR 340-209-0040” to “at the DEQ office processing the permit”</w:t>
            </w:r>
          </w:p>
        </w:tc>
        <w:tc>
          <w:tcPr>
            <w:tcW w:w="4320" w:type="dxa"/>
            <w:tcBorders>
              <w:bottom w:val="double" w:sz="6" w:space="0" w:color="auto"/>
            </w:tcBorders>
          </w:tcPr>
          <w:p w:rsidR="00203319" w:rsidRPr="005A5027" w:rsidRDefault="00203319" w:rsidP="002462F2">
            <w:r>
              <w:t>Clarification</w:t>
            </w:r>
          </w:p>
        </w:tc>
        <w:tc>
          <w:tcPr>
            <w:tcW w:w="787" w:type="dxa"/>
            <w:tcBorders>
              <w:bottom w:val="double" w:sz="6" w:space="0" w:color="auto"/>
            </w:tcBorders>
          </w:tcPr>
          <w:p w:rsidR="00203319" w:rsidRDefault="00203319" w:rsidP="002462F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0080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w:t>
            </w:r>
            <w:r w:rsidRPr="00D96F6F">
              <w:lastRenderedPageBreak/>
              <w:t>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lastRenderedPageBreak/>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lastRenderedPageBreak/>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 xml:space="preserve">(d) Portable sources, except modifications of portable </w:t>
            </w:r>
            <w:r w:rsidRPr="00D96F6F">
              <w:lastRenderedPageBreak/>
              <w:t>sources that have permits under OAR 340 division 216 or 218.</w:t>
            </w:r>
            <w:r>
              <w:t>”</w:t>
            </w:r>
          </w:p>
        </w:tc>
        <w:tc>
          <w:tcPr>
            <w:tcW w:w="4320" w:type="dxa"/>
          </w:tcPr>
          <w:p w:rsidR="00AB1325" w:rsidRPr="006E233D" w:rsidRDefault="00AB1325" w:rsidP="00620965">
            <w:r w:rsidRPr="006E233D">
              <w:lastRenderedPageBreak/>
              <w:t>Correction</w:t>
            </w:r>
            <w:r>
              <w:t xml:space="preserve">. Add portable sources to the list of sources that are exempt from the Notice of </w:t>
            </w:r>
            <w:r>
              <w:lastRenderedPageBreak/>
              <w:t xml:space="preserve">Construction rules unless the portable source is required to obtain a permit under division 216 or 218. </w:t>
            </w:r>
          </w:p>
        </w:tc>
        <w:tc>
          <w:tcPr>
            <w:tcW w:w="787" w:type="dxa"/>
          </w:tcPr>
          <w:p w:rsidR="00AB1325" w:rsidRPr="006E233D" w:rsidRDefault="00AB1325" w:rsidP="0066018C">
            <w:pPr>
              <w:jc w:val="center"/>
            </w:pPr>
            <w:r>
              <w:lastRenderedPageBreak/>
              <w:t>SIP</w:t>
            </w:r>
          </w:p>
        </w:tc>
      </w:tr>
      <w:tr w:rsidR="00AB1325" w:rsidRPr="006E233D" w:rsidTr="00D66578">
        <w:trPr>
          <w:trHeight w:val="198"/>
        </w:trPr>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t>Clarification</w:t>
            </w:r>
            <w:r w:rsidR="004504DD">
              <w:t xml:space="preserve">. </w:t>
            </w:r>
            <w:r w:rsidR="004504DD" w:rsidRPr="004504DD">
              <w:t xml:space="preserve">Emissions from the source </w:t>
            </w:r>
            <w:r w:rsidR="005D17AD">
              <w:t>are compared</w:t>
            </w:r>
            <w:r w:rsidR="004504DD" w:rsidRPr="004504DD">
              <w:t xml:space="preserve">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 xml:space="preserve">(c) Would not increase emissions from any new, modified, or replaced emission device, activity or process, or any combination of emission devices, activities or processes at the source by more than or equal </w:t>
            </w:r>
            <w:r w:rsidRPr="009E4270">
              <w:lastRenderedPageBreak/>
              <w:t>to the SER</w:t>
            </w:r>
            <w:r>
              <w:t>;”</w:t>
            </w:r>
          </w:p>
        </w:tc>
        <w:tc>
          <w:tcPr>
            <w:tcW w:w="4320" w:type="dxa"/>
          </w:tcPr>
          <w:p w:rsidR="00AB1325" w:rsidRPr="005A5027" w:rsidRDefault="00AB1325" w:rsidP="004504DD">
            <w:r w:rsidRPr="005A5027">
              <w:lastRenderedPageBreak/>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lastRenderedPageBreak/>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8E15AE" w:rsidRPr="006E233D" w:rsidTr="008E15AE">
        <w:trPr>
          <w:trHeight w:val="198"/>
        </w:trPr>
        <w:tc>
          <w:tcPr>
            <w:tcW w:w="918" w:type="dxa"/>
          </w:tcPr>
          <w:p w:rsidR="008E15AE" w:rsidRPr="006E233D" w:rsidRDefault="008E15AE" w:rsidP="008E15AE">
            <w:r w:rsidRPr="006E233D">
              <w:t>212</w:t>
            </w:r>
          </w:p>
        </w:tc>
        <w:tc>
          <w:tcPr>
            <w:tcW w:w="1350" w:type="dxa"/>
          </w:tcPr>
          <w:p w:rsidR="008E15AE" w:rsidRPr="006E233D" w:rsidRDefault="008E15AE" w:rsidP="008E15AE">
            <w:r w:rsidRPr="006E233D">
              <w:t>0010</w:t>
            </w:r>
          </w:p>
        </w:tc>
        <w:tc>
          <w:tcPr>
            <w:tcW w:w="990" w:type="dxa"/>
          </w:tcPr>
          <w:p w:rsidR="008E15AE" w:rsidRPr="006E233D" w:rsidRDefault="008E15AE" w:rsidP="008E15AE">
            <w:r w:rsidRPr="006E233D">
              <w:t>NA</w:t>
            </w:r>
          </w:p>
        </w:tc>
        <w:tc>
          <w:tcPr>
            <w:tcW w:w="1350" w:type="dxa"/>
          </w:tcPr>
          <w:p w:rsidR="008E15AE" w:rsidRPr="006E233D" w:rsidRDefault="008E15AE" w:rsidP="008E15AE">
            <w:r w:rsidRPr="006E233D">
              <w:t>NA</w:t>
            </w:r>
          </w:p>
        </w:tc>
        <w:tc>
          <w:tcPr>
            <w:tcW w:w="4860" w:type="dxa"/>
          </w:tcPr>
          <w:p w:rsidR="008E15AE" w:rsidRPr="006E233D" w:rsidRDefault="008E15AE" w:rsidP="008E15AE">
            <w:r w:rsidRPr="006E233D">
              <w:t>Add division 204 as another division that has definitions that would apply to this division</w:t>
            </w:r>
          </w:p>
        </w:tc>
        <w:tc>
          <w:tcPr>
            <w:tcW w:w="4320" w:type="dxa"/>
          </w:tcPr>
          <w:p w:rsidR="008E15AE" w:rsidRPr="006E233D" w:rsidRDefault="008E15AE" w:rsidP="008E15AE">
            <w:r w:rsidRPr="006E233D">
              <w:t>Add reference to division 204 definitions</w:t>
            </w:r>
          </w:p>
        </w:tc>
        <w:tc>
          <w:tcPr>
            <w:tcW w:w="787" w:type="dxa"/>
          </w:tcPr>
          <w:p w:rsidR="008E15AE" w:rsidRPr="006E233D" w:rsidRDefault="008E15AE" w:rsidP="008E15AE">
            <w:pPr>
              <w:jc w:val="center"/>
            </w:pPr>
            <w:r>
              <w:t>SIP</w:t>
            </w:r>
          </w:p>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8E15AE" w:rsidP="00A65851">
            <w:r>
              <w:t>01</w:t>
            </w:r>
            <w:r w:rsidR="00AB1325" w:rsidRPr="006E233D">
              <w:t>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8E15AE" w:rsidP="00644785">
            <w:r>
              <w:t>Change to:</w:t>
            </w:r>
          </w:p>
          <w:p w:rsidR="008E15AE" w:rsidRPr="008E15AE" w:rsidRDefault="008E15AE"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AB1325" w:rsidRPr="008E15AE" w:rsidRDefault="008E15AE" w:rsidP="00644785">
            <w:r w:rsidRPr="008E15AE">
              <w:t>Correction.  There is no OAR 340-212-0160. DEQ permits some portable sources so all requirements apply to stationary sources and the permitted portable sources.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 xml:space="preserve">The Source Sampling Manual (1992) and the Continuous Monitoring Manual (1992) have been </w:t>
            </w:r>
            <w:r w:rsidRPr="006E233D">
              <w:rPr>
                <w:rFonts w:ascii="Times New Roman" w:hAnsi="Times New Roman" w:cs="Times New Roman"/>
                <w:sz w:val="20"/>
                <w:szCs w:val="20"/>
              </w:rPr>
              <w:lastRenderedPageBreak/>
              <w:t>updated to reflect current methods and procedures.</w:t>
            </w:r>
          </w:p>
        </w:tc>
        <w:tc>
          <w:tcPr>
            <w:tcW w:w="787" w:type="dxa"/>
          </w:tcPr>
          <w:p w:rsidR="00AB1325" w:rsidRPr="006E233D" w:rsidRDefault="00AB1325" w:rsidP="00C21B5D">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 xml:space="preserve">(1) "Large source", as used in OAR 340-214-0300 through 340-214-0350, means any stationary source </w:t>
            </w:r>
            <w:r w:rsidRPr="00930E65">
              <w:lastRenderedPageBreak/>
              <w:t>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lastRenderedPageBreak/>
              <w:t>Delete “</w:t>
            </w:r>
            <w:r w:rsidRPr="00525BA1">
              <w:t xml:space="preserve">, or which is subject to a National Emissions Standard for Hazardous Air Pollutants (NESHAP). Where PSELs have been incorporated </w:t>
            </w:r>
            <w:r w:rsidRPr="00525BA1">
              <w:lastRenderedPageBreak/>
              <w:t>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lastRenderedPageBreak/>
              <w:t>SIP</w:t>
            </w:r>
          </w:p>
        </w:tc>
      </w:tr>
      <w:tr w:rsidR="00AB1325" w:rsidRPr="006E233D" w:rsidTr="000D5FA8">
        <w:tc>
          <w:tcPr>
            <w:tcW w:w="918" w:type="dxa"/>
            <w:tcBorders>
              <w:bottom w:val="double" w:sz="6" w:space="0" w:color="auto"/>
            </w:tcBorders>
          </w:tcPr>
          <w:p w:rsidR="00AB1325" w:rsidRPr="006E233D" w:rsidRDefault="00AB1325" w:rsidP="000D5FA8">
            <w:r w:rsidRPr="006E233D">
              <w:lastRenderedPageBreak/>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C3CEE" w:rsidRPr="006E233D" w:rsidTr="00F305C6">
        <w:trPr>
          <w:trHeight w:val="198"/>
        </w:trPr>
        <w:tc>
          <w:tcPr>
            <w:tcW w:w="918" w:type="dxa"/>
          </w:tcPr>
          <w:p w:rsidR="00AC3CEE" w:rsidRPr="006E233D" w:rsidRDefault="00AC3CEE" w:rsidP="00F305C6">
            <w:r>
              <w:t>214</w:t>
            </w:r>
          </w:p>
        </w:tc>
        <w:tc>
          <w:tcPr>
            <w:tcW w:w="1350" w:type="dxa"/>
          </w:tcPr>
          <w:p w:rsidR="00AC3CEE" w:rsidRPr="006E233D" w:rsidRDefault="00AC3CEE" w:rsidP="00AC3CEE">
            <w:r>
              <w:t>010</w:t>
            </w:r>
            <w:r w:rsidRPr="006E233D">
              <w:t>0</w:t>
            </w:r>
          </w:p>
        </w:tc>
        <w:tc>
          <w:tcPr>
            <w:tcW w:w="990" w:type="dxa"/>
          </w:tcPr>
          <w:p w:rsidR="00AC3CEE" w:rsidRPr="006E233D" w:rsidRDefault="00AC3CEE" w:rsidP="00F305C6">
            <w:r w:rsidRPr="006E233D">
              <w:t>NA</w:t>
            </w:r>
          </w:p>
        </w:tc>
        <w:tc>
          <w:tcPr>
            <w:tcW w:w="1350" w:type="dxa"/>
          </w:tcPr>
          <w:p w:rsidR="00AC3CEE" w:rsidRPr="006E233D" w:rsidRDefault="00AC3CEE" w:rsidP="00F305C6">
            <w:r w:rsidRPr="006E233D">
              <w:t>NA</w:t>
            </w:r>
          </w:p>
        </w:tc>
        <w:tc>
          <w:tcPr>
            <w:tcW w:w="4860" w:type="dxa"/>
          </w:tcPr>
          <w:p w:rsidR="00AC3CEE" w:rsidRDefault="00AC3CEE" w:rsidP="00F305C6">
            <w:r>
              <w:t>Change to:</w:t>
            </w:r>
          </w:p>
          <w:p w:rsidR="00AC3CEE" w:rsidRPr="008E15AE" w:rsidRDefault="00AC3CEE"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AC3CEE" w:rsidRPr="008E15AE" w:rsidRDefault="00AC3CEE" w:rsidP="00F305C6">
            <w:r w:rsidRPr="008E15AE">
              <w:t>DEQ permits some portable sources so all requirements apply to stationary sources and the permitted portable sources.</w:t>
            </w:r>
          </w:p>
        </w:tc>
        <w:tc>
          <w:tcPr>
            <w:tcW w:w="787" w:type="dxa"/>
          </w:tcPr>
          <w:p w:rsidR="00AC3CEE" w:rsidRPr="006E233D" w:rsidRDefault="00AC3CEE" w:rsidP="00F305C6">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lastRenderedPageBreak/>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lastRenderedPageBreak/>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lastRenderedPageBreak/>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 xml:space="preserve">0020(1)(a) &amp; </w:t>
            </w:r>
            <w:r w:rsidRPr="006E233D">
              <w:lastRenderedPageBreak/>
              <w:t>(b)</w:t>
            </w:r>
          </w:p>
        </w:tc>
        <w:tc>
          <w:tcPr>
            <w:tcW w:w="990" w:type="dxa"/>
          </w:tcPr>
          <w:p w:rsidR="00AB1325" w:rsidRPr="006E233D" w:rsidRDefault="00D02355" w:rsidP="00140A96">
            <w:r>
              <w:lastRenderedPageBreak/>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lastRenderedPageBreak/>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 xml:space="preserve">DEQ may determine that a source is ineligible for a Simple ACDP and must obtain a Standard ACDP based upon, but not limited to, the </w:t>
            </w:r>
            <w:r w:rsidRPr="00C62A1A">
              <w:lastRenderedPageBreak/>
              <w:t>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 xml:space="preserve">When preparing an application, the applicant should also consider the timelines provided in paragraph (2)(b), as </w:t>
            </w:r>
            <w:r w:rsidRPr="005A5027">
              <w:lastRenderedPageBreak/>
              <w:t>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lastRenderedPageBreak/>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w:t>
            </w:r>
            <w:r w:rsidRPr="00127CCF">
              <w:lastRenderedPageBreak/>
              <w:t xml:space="preserve">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D66578">
        <w:tc>
          <w:tcPr>
            <w:tcW w:w="918" w:type="dxa"/>
            <w:tcBorders>
              <w:bottom w:val="double" w:sz="6" w:space="0" w:color="auto"/>
            </w:tcBorders>
          </w:tcPr>
          <w:p w:rsidR="00C013F3" w:rsidRPr="005A5027" w:rsidRDefault="00C013F3" w:rsidP="00A65851">
            <w:r>
              <w:t>216</w:t>
            </w:r>
          </w:p>
        </w:tc>
        <w:tc>
          <w:tcPr>
            <w:tcW w:w="1350" w:type="dxa"/>
            <w:tcBorders>
              <w:bottom w:val="double" w:sz="6" w:space="0" w:color="auto"/>
            </w:tcBorders>
          </w:tcPr>
          <w:p w:rsidR="00C013F3" w:rsidRPr="005A5027" w:rsidRDefault="00C013F3" w:rsidP="00A65851">
            <w:r>
              <w:t>0052</w:t>
            </w:r>
          </w:p>
        </w:tc>
        <w:tc>
          <w:tcPr>
            <w:tcW w:w="990" w:type="dxa"/>
            <w:tcBorders>
              <w:bottom w:val="double" w:sz="6" w:space="0" w:color="auto"/>
            </w:tcBorders>
          </w:tcPr>
          <w:p w:rsidR="00C013F3" w:rsidRPr="005A5027" w:rsidRDefault="00C013F3" w:rsidP="00A65851">
            <w:pPr>
              <w:rPr>
                <w:bCs/>
                <w:color w:val="000000"/>
              </w:rPr>
            </w:pPr>
            <w:r>
              <w:rPr>
                <w:bCs/>
                <w:color w:val="000000"/>
              </w:rPr>
              <w:t>NA</w:t>
            </w:r>
          </w:p>
        </w:tc>
        <w:tc>
          <w:tcPr>
            <w:tcW w:w="1350" w:type="dxa"/>
            <w:tcBorders>
              <w:bottom w:val="double" w:sz="6" w:space="0" w:color="auto"/>
            </w:tcBorders>
          </w:tcPr>
          <w:p w:rsidR="00C013F3" w:rsidRPr="005A5027" w:rsidRDefault="00C013F3" w:rsidP="00A6585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 on 01/22/03. The note was inadvertently omitted from the rule.</w:t>
            </w:r>
          </w:p>
        </w:tc>
        <w:tc>
          <w:tcPr>
            <w:tcW w:w="787" w:type="dxa"/>
            <w:tcBorders>
              <w:bottom w:val="double" w:sz="6" w:space="0" w:color="auto"/>
            </w:tcBorders>
          </w:tcPr>
          <w:p w:rsidR="00C013F3" w:rsidRDefault="00C013F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 xml:space="preserve">(a) A Short Term Activity ACDP must include </w:t>
            </w:r>
            <w:r w:rsidRPr="00581C93">
              <w:lastRenderedPageBreak/>
              <w:t>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lastRenderedPageBreak/>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0054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6403F0">
        <w:tc>
          <w:tcPr>
            <w:tcW w:w="918" w:type="dxa"/>
            <w:tcBorders>
              <w:bottom w:val="double" w:sz="6" w:space="0" w:color="auto"/>
            </w:tcBorders>
          </w:tcPr>
          <w:p w:rsidR="00C013F3" w:rsidRPr="005A5027" w:rsidRDefault="00C013F3" w:rsidP="006403F0">
            <w:r>
              <w:t>216</w:t>
            </w:r>
          </w:p>
        </w:tc>
        <w:tc>
          <w:tcPr>
            <w:tcW w:w="1350" w:type="dxa"/>
            <w:tcBorders>
              <w:bottom w:val="double" w:sz="6" w:space="0" w:color="auto"/>
            </w:tcBorders>
          </w:tcPr>
          <w:p w:rsidR="00C013F3" w:rsidRPr="005A5027" w:rsidRDefault="00C013F3" w:rsidP="006403F0">
            <w:r>
              <w:t>0056</w:t>
            </w:r>
          </w:p>
        </w:tc>
        <w:tc>
          <w:tcPr>
            <w:tcW w:w="990" w:type="dxa"/>
            <w:tcBorders>
              <w:bottom w:val="double" w:sz="6" w:space="0" w:color="auto"/>
            </w:tcBorders>
          </w:tcPr>
          <w:p w:rsidR="00C013F3" w:rsidRPr="005A5027" w:rsidRDefault="00C013F3" w:rsidP="006403F0">
            <w:pPr>
              <w:rPr>
                <w:bCs/>
                <w:color w:val="000000"/>
              </w:rPr>
            </w:pPr>
            <w:r>
              <w:rPr>
                <w:bCs/>
                <w:color w:val="000000"/>
              </w:rPr>
              <w:t>NA</w:t>
            </w:r>
          </w:p>
        </w:tc>
        <w:tc>
          <w:tcPr>
            <w:tcW w:w="1350" w:type="dxa"/>
            <w:tcBorders>
              <w:bottom w:val="double" w:sz="6" w:space="0" w:color="auto"/>
            </w:tcBorders>
          </w:tcPr>
          <w:p w:rsidR="00C013F3" w:rsidRPr="005A5027" w:rsidRDefault="00C013F3" w:rsidP="006403F0">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C013F3" w:rsidRDefault="00C013F3"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lastRenderedPageBreak/>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lastRenderedPageBreak/>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lastRenderedPageBreak/>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366B60">
        <w:trPr>
          <w:trHeight w:val="1782"/>
        </w:trPr>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366B60" w:rsidRPr="006E233D" w:rsidTr="002462F2">
        <w:tc>
          <w:tcPr>
            <w:tcW w:w="918" w:type="dxa"/>
            <w:tcBorders>
              <w:bottom w:val="double" w:sz="6" w:space="0" w:color="auto"/>
            </w:tcBorders>
          </w:tcPr>
          <w:p w:rsidR="00366B60" w:rsidRPr="00D064E0" w:rsidRDefault="00366B60" w:rsidP="002462F2">
            <w:r w:rsidRPr="00D064E0">
              <w:t>216</w:t>
            </w:r>
          </w:p>
        </w:tc>
        <w:tc>
          <w:tcPr>
            <w:tcW w:w="1350" w:type="dxa"/>
            <w:tcBorders>
              <w:bottom w:val="double" w:sz="6" w:space="0" w:color="auto"/>
            </w:tcBorders>
          </w:tcPr>
          <w:p w:rsidR="00366B60" w:rsidRPr="00D064E0" w:rsidRDefault="00366B60" w:rsidP="002462F2">
            <w:r w:rsidRPr="00D064E0">
              <w:t>0064(3)</w:t>
            </w:r>
            <w:r>
              <w:t>(a)</w:t>
            </w:r>
          </w:p>
        </w:tc>
        <w:tc>
          <w:tcPr>
            <w:tcW w:w="990" w:type="dxa"/>
            <w:tcBorders>
              <w:bottom w:val="double" w:sz="6" w:space="0" w:color="auto"/>
            </w:tcBorders>
          </w:tcPr>
          <w:p w:rsidR="00366B60" w:rsidRPr="005A5027" w:rsidRDefault="00366B60" w:rsidP="002462F2">
            <w:r w:rsidRPr="005A5027">
              <w:t>216</w:t>
            </w:r>
          </w:p>
        </w:tc>
        <w:tc>
          <w:tcPr>
            <w:tcW w:w="1350" w:type="dxa"/>
            <w:tcBorders>
              <w:bottom w:val="double" w:sz="6" w:space="0" w:color="auto"/>
            </w:tcBorders>
          </w:tcPr>
          <w:p w:rsidR="00366B60" w:rsidRPr="005A5027" w:rsidRDefault="00366B60" w:rsidP="002462F2">
            <w:r>
              <w:t>0064(2)(a)</w:t>
            </w:r>
          </w:p>
        </w:tc>
        <w:tc>
          <w:tcPr>
            <w:tcW w:w="4860" w:type="dxa"/>
            <w:tcBorders>
              <w:bottom w:val="double" w:sz="6" w:space="0" w:color="auto"/>
            </w:tcBorders>
          </w:tcPr>
          <w:p w:rsidR="00366B60" w:rsidRPr="00D064E0" w:rsidRDefault="00366B60" w:rsidP="00366B60">
            <w:r>
              <w:t xml:space="preserve">Do not capitalize “source” or “low fee” </w:t>
            </w:r>
          </w:p>
        </w:tc>
        <w:tc>
          <w:tcPr>
            <w:tcW w:w="4320" w:type="dxa"/>
            <w:tcBorders>
              <w:bottom w:val="double" w:sz="6" w:space="0" w:color="auto"/>
            </w:tcBorders>
          </w:tcPr>
          <w:p w:rsidR="00366B60" w:rsidRPr="005A5027" w:rsidRDefault="00366B60" w:rsidP="002462F2">
            <w:r>
              <w:t>Correction</w:t>
            </w:r>
          </w:p>
        </w:tc>
        <w:tc>
          <w:tcPr>
            <w:tcW w:w="787" w:type="dxa"/>
            <w:tcBorders>
              <w:bottom w:val="double" w:sz="6" w:space="0" w:color="auto"/>
            </w:tcBorders>
          </w:tcPr>
          <w:p w:rsidR="00366B60" w:rsidRPr="00D064E0" w:rsidRDefault="00366B60" w:rsidP="002462F2">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001D1626">
              <w:t>A) T</w:t>
            </w:r>
            <w:r w:rsidRPr="008D357A">
              <w: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 xml:space="preserve">The current rule wording is unclear as to their categorization and due to this wording </w:t>
            </w:r>
            <w:r w:rsidRPr="005A5027">
              <w:lastRenderedPageBreak/>
              <w:t>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lastRenderedPageBreak/>
              <w:t>SIP</w:t>
            </w:r>
          </w:p>
        </w:tc>
      </w:tr>
      <w:tr w:rsidR="00D74223" w:rsidRPr="006E233D" w:rsidTr="008B1F3B">
        <w:tc>
          <w:tcPr>
            <w:tcW w:w="918" w:type="dxa"/>
            <w:tcBorders>
              <w:bottom w:val="double" w:sz="6" w:space="0" w:color="auto"/>
            </w:tcBorders>
          </w:tcPr>
          <w:p w:rsidR="00D74223" w:rsidRPr="00D064E0" w:rsidRDefault="00D74223" w:rsidP="008B1F3B">
            <w:r w:rsidRPr="00D064E0">
              <w:lastRenderedPageBreak/>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C77CEE" w:rsidRPr="006E233D" w:rsidTr="002462F2">
        <w:tc>
          <w:tcPr>
            <w:tcW w:w="918" w:type="dxa"/>
            <w:tcBorders>
              <w:bottom w:val="double" w:sz="6" w:space="0" w:color="auto"/>
            </w:tcBorders>
          </w:tcPr>
          <w:p w:rsidR="00C77CEE" w:rsidRPr="00A10E18" w:rsidRDefault="00C77CEE" w:rsidP="002462F2">
            <w:r w:rsidRPr="00A10E18">
              <w:t>216</w:t>
            </w:r>
          </w:p>
        </w:tc>
        <w:tc>
          <w:tcPr>
            <w:tcW w:w="1350" w:type="dxa"/>
            <w:tcBorders>
              <w:bottom w:val="double" w:sz="6" w:space="0" w:color="auto"/>
            </w:tcBorders>
          </w:tcPr>
          <w:p w:rsidR="00C77CEE" w:rsidRPr="00A10E18" w:rsidRDefault="00C77CEE" w:rsidP="002462F2">
            <w:r>
              <w:t>0064(3)(a)(C</w:t>
            </w:r>
            <w:r w:rsidRPr="00A10E18">
              <w:t>)</w:t>
            </w:r>
          </w:p>
        </w:tc>
        <w:tc>
          <w:tcPr>
            <w:tcW w:w="990" w:type="dxa"/>
            <w:tcBorders>
              <w:bottom w:val="double" w:sz="6" w:space="0" w:color="auto"/>
            </w:tcBorders>
          </w:tcPr>
          <w:p w:rsidR="00C77CEE" w:rsidRPr="00A10E18" w:rsidRDefault="00C77CEE" w:rsidP="002462F2">
            <w:r w:rsidRPr="00A10E18">
              <w:t>216</w:t>
            </w:r>
          </w:p>
        </w:tc>
        <w:tc>
          <w:tcPr>
            <w:tcW w:w="1350" w:type="dxa"/>
            <w:tcBorders>
              <w:bottom w:val="double" w:sz="6" w:space="0" w:color="auto"/>
            </w:tcBorders>
          </w:tcPr>
          <w:p w:rsidR="00C77CEE" w:rsidRPr="00A10E18" w:rsidRDefault="00C77CEE" w:rsidP="002462F2">
            <w:r>
              <w:t>0064(2)(a)(C</w:t>
            </w:r>
            <w:r w:rsidRPr="00A10E18">
              <w:t>)</w:t>
            </w:r>
          </w:p>
        </w:tc>
        <w:tc>
          <w:tcPr>
            <w:tcW w:w="4860" w:type="dxa"/>
            <w:tcBorders>
              <w:bottom w:val="double" w:sz="6" w:space="0" w:color="auto"/>
            </w:tcBorders>
          </w:tcPr>
          <w:p w:rsidR="00C77CEE" w:rsidRDefault="00C77CEE" w:rsidP="002462F2">
            <w:r>
              <w:t>Change to:</w:t>
            </w:r>
          </w:p>
          <w:p w:rsidR="00C77CEE" w:rsidRPr="00A10E18" w:rsidRDefault="00C77CEE" w:rsidP="002462F2">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C77CEE" w:rsidRPr="00A10E18" w:rsidRDefault="00C77CEE" w:rsidP="002462F2">
            <w:r>
              <w:t>Delete “an air quality problem” since it is not defined. Just refer to “creating a nuisance”</w:t>
            </w:r>
          </w:p>
        </w:tc>
        <w:tc>
          <w:tcPr>
            <w:tcW w:w="787" w:type="dxa"/>
            <w:tcBorders>
              <w:bottom w:val="double" w:sz="6" w:space="0" w:color="auto"/>
            </w:tcBorders>
          </w:tcPr>
          <w:p w:rsidR="00C77CEE" w:rsidRPr="006E233D" w:rsidRDefault="00C77CEE" w:rsidP="002462F2">
            <w:pPr>
              <w:jc w:val="center"/>
            </w:pPr>
            <w:r w:rsidRPr="00A10E18">
              <w:t>SIP</w:t>
            </w:r>
          </w:p>
        </w:tc>
      </w:tr>
      <w:tr w:rsidR="00C77CEE" w:rsidRPr="006E233D" w:rsidTr="002462F2">
        <w:tc>
          <w:tcPr>
            <w:tcW w:w="918" w:type="dxa"/>
            <w:tcBorders>
              <w:bottom w:val="double" w:sz="6" w:space="0" w:color="auto"/>
            </w:tcBorders>
          </w:tcPr>
          <w:p w:rsidR="00C77CEE" w:rsidRPr="00A10E18" w:rsidRDefault="00C77CEE" w:rsidP="002462F2">
            <w:r w:rsidRPr="00A10E18">
              <w:t>216</w:t>
            </w:r>
          </w:p>
        </w:tc>
        <w:tc>
          <w:tcPr>
            <w:tcW w:w="1350" w:type="dxa"/>
            <w:tcBorders>
              <w:bottom w:val="double" w:sz="6" w:space="0" w:color="auto"/>
            </w:tcBorders>
          </w:tcPr>
          <w:p w:rsidR="00C77CEE" w:rsidRPr="00A10E18" w:rsidRDefault="00C77CEE" w:rsidP="002462F2">
            <w:r>
              <w:t>0064(3)(b)</w:t>
            </w:r>
          </w:p>
        </w:tc>
        <w:tc>
          <w:tcPr>
            <w:tcW w:w="990" w:type="dxa"/>
            <w:tcBorders>
              <w:bottom w:val="double" w:sz="6" w:space="0" w:color="auto"/>
            </w:tcBorders>
          </w:tcPr>
          <w:p w:rsidR="00C77CEE" w:rsidRPr="00A10E18" w:rsidRDefault="00C77CEE" w:rsidP="002462F2">
            <w:r w:rsidRPr="00A10E18">
              <w:t>216</w:t>
            </w:r>
          </w:p>
        </w:tc>
        <w:tc>
          <w:tcPr>
            <w:tcW w:w="1350" w:type="dxa"/>
            <w:tcBorders>
              <w:bottom w:val="double" w:sz="6" w:space="0" w:color="auto"/>
            </w:tcBorders>
          </w:tcPr>
          <w:p w:rsidR="00C77CEE" w:rsidRPr="00A10E18" w:rsidRDefault="00C77CEE" w:rsidP="002462F2">
            <w:r>
              <w:t>0064(2)(b)</w:t>
            </w:r>
          </w:p>
        </w:tc>
        <w:tc>
          <w:tcPr>
            <w:tcW w:w="4860" w:type="dxa"/>
            <w:tcBorders>
              <w:bottom w:val="double" w:sz="6" w:space="0" w:color="auto"/>
            </w:tcBorders>
          </w:tcPr>
          <w:p w:rsidR="00C77CEE" w:rsidRPr="00A10E18" w:rsidRDefault="00C77CEE" w:rsidP="002462F2">
            <w:r>
              <w:t xml:space="preserve"> Do not capitalize </w:t>
            </w:r>
            <w:r>
              <w:t xml:space="preserve">“low annual fee,” </w:t>
            </w:r>
            <w:r>
              <w:t>“high fee” or “low fee”</w:t>
            </w:r>
          </w:p>
        </w:tc>
        <w:tc>
          <w:tcPr>
            <w:tcW w:w="4320" w:type="dxa"/>
            <w:tcBorders>
              <w:bottom w:val="double" w:sz="6" w:space="0" w:color="auto"/>
            </w:tcBorders>
          </w:tcPr>
          <w:p w:rsidR="00C77CEE" w:rsidRPr="00A10E18" w:rsidRDefault="00C77CEE" w:rsidP="002462F2">
            <w:r>
              <w:t>Correction</w:t>
            </w:r>
          </w:p>
        </w:tc>
        <w:tc>
          <w:tcPr>
            <w:tcW w:w="787" w:type="dxa"/>
            <w:tcBorders>
              <w:bottom w:val="double" w:sz="6" w:space="0" w:color="auto"/>
            </w:tcBorders>
          </w:tcPr>
          <w:p w:rsidR="00C77CEE" w:rsidRPr="006E233D" w:rsidRDefault="00C77CEE" w:rsidP="002462F2">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C77CEE" w:rsidP="00140A96">
            <w:r>
              <w:t>0064(3)(c</w:t>
            </w:r>
            <w:r w:rsidR="00D74223">
              <w:t>)</w:t>
            </w:r>
            <w:r>
              <w:t xml:space="preserve"> &amp; (d)</w:t>
            </w:r>
            <w:bookmarkStart w:id="10" w:name="_GoBack"/>
            <w:bookmarkEnd w:id="10"/>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C77CEE" w:rsidP="00C77CEE">
            <w:r>
              <w:t>0064(2)(c) &amp; (d)</w:t>
            </w:r>
          </w:p>
        </w:tc>
        <w:tc>
          <w:tcPr>
            <w:tcW w:w="4860" w:type="dxa"/>
            <w:tcBorders>
              <w:bottom w:val="double" w:sz="6" w:space="0" w:color="auto"/>
            </w:tcBorders>
          </w:tcPr>
          <w:p w:rsidR="00D74223" w:rsidRPr="00A10E18" w:rsidRDefault="00C77CEE" w:rsidP="00140A96">
            <w:r>
              <w:t xml:space="preserve"> Do not capitalize “high fee” or “low fee”</w:t>
            </w:r>
          </w:p>
        </w:tc>
        <w:tc>
          <w:tcPr>
            <w:tcW w:w="4320" w:type="dxa"/>
            <w:tcBorders>
              <w:bottom w:val="double" w:sz="6" w:space="0" w:color="auto"/>
            </w:tcBorders>
          </w:tcPr>
          <w:p w:rsidR="00D74223" w:rsidRPr="00A10E18" w:rsidRDefault="00C77CEE" w:rsidP="00310BB9">
            <w:r>
              <w:t>Correction</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 xml:space="preserve">(a) Issuance of a new or renewed Simple ACDP requires </w:t>
            </w:r>
            <w:r w:rsidRPr="00492AB5">
              <w:lastRenderedPageBreak/>
              <w:t>public notice as a Category II permit action under OAR 340 division 209</w:t>
            </w:r>
            <w:r>
              <w:t>.”</w:t>
            </w:r>
          </w:p>
        </w:tc>
        <w:tc>
          <w:tcPr>
            <w:tcW w:w="4320" w:type="dxa"/>
            <w:tcBorders>
              <w:bottom w:val="double" w:sz="6" w:space="0" w:color="auto"/>
            </w:tcBorders>
          </w:tcPr>
          <w:p w:rsidR="001C2014" w:rsidRPr="005A5027" w:rsidRDefault="001C2014" w:rsidP="007B226B">
            <w:r>
              <w:lastRenderedPageBreak/>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lastRenderedPageBreak/>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w:t>
            </w:r>
            <w:r w:rsidRPr="00435248">
              <w:lastRenderedPageBreak/>
              <w:t xml:space="preserve">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lastRenderedPageBreak/>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0066</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 xml:space="preserve">(1) Purpose. This rule allows DEQ to add new requirements to existing Simple or Standard ACDPs by assigning the source to an ACDP Attachment issued </w:t>
            </w:r>
            <w:r w:rsidRPr="00F84C80">
              <w:lastRenderedPageBreak/>
              <w:t>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0082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w:t>
            </w:r>
            <w:r w:rsidRPr="00B07579">
              <w:lastRenderedPageBreak/>
              <w:t>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lastRenderedPageBreak/>
              <w:t>216</w:t>
            </w:r>
          </w:p>
        </w:tc>
        <w:tc>
          <w:tcPr>
            <w:tcW w:w="1350" w:type="dxa"/>
            <w:tcBorders>
              <w:bottom w:val="double" w:sz="6" w:space="0" w:color="auto"/>
            </w:tcBorders>
          </w:tcPr>
          <w:p w:rsidR="00C013F3" w:rsidRPr="005A5027" w:rsidRDefault="00C013F3" w:rsidP="009119E1">
            <w:r>
              <w:t>0084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C013F3" w:rsidRPr="005A5027" w:rsidTr="00D93A09">
        <w:tc>
          <w:tcPr>
            <w:tcW w:w="918" w:type="dxa"/>
            <w:tcBorders>
              <w:bottom w:val="double" w:sz="6" w:space="0" w:color="auto"/>
            </w:tcBorders>
          </w:tcPr>
          <w:p w:rsidR="00C013F3" w:rsidRPr="005A5027" w:rsidRDefault="00C013F3" w:rsidP="00D93A09">
            <w:r>
              <w:t>216</w:t>
            </w:r>
          </w:p>
        </w:tc>
        <w:tc>
          <w:tcPr>
            <w:tcW w:w="1350" w:type="dxa"/>
            <w:tcBorders>
              <w:bottom w:val="double" w:sz="6" w:space="0" w:color="auto"/>
            </w:tcBorders>
          </w:tcPr>
          <w:p w:rsidR="00C013F3" w:rsidRPr="005A5027" w:rsidRDefault="00C013F3" w:rsidP="00D93A09">
            <w:r>
              <w:t>0094</w:t>
            </w:r>
          </w:p>
        </w:tc>
        <w:tc>
          <w:tcPr>
            <w:tcW w:w="990" w:type="dxa"/>
            <w:tcBorders>
              <w:bottom w:val="double" w:sz="6" w:space="0" w:color="auto"/>
            </w:tcBorders>
          </w:tcPr>
          <w:p w:rsidR="00C013F3" w:rsidRPr="005A5027" w:rsidRDefault="00C013F3" w:rsidP="00D93A09">
            <w:pPr>
              <w:rPr>
                <w:bCs/>
                <w:color w:val="000000"/>
              </w:rPr>
            </w:pPr>
            <w:r>
              <w:rPr>
                <w:bCs/>
                <w:color w:val="000000"/>
              </w:rPr>
              <w:t>NA</w:t>
            </w:r>
          </w:p>
        </w:tc>
        <w:tc>
          <w:tcPr>
            <w:tcW w:w="1350" w:type="dxa"/>
            <w:tcBorders>
              <w:bottom w:val="double" w:sz="6" w:space="0" w:color="auto"/>
            </w:tcBorders>
          </w:tcPr>
          <w:p w:rsidR="00C013F3" w:rsidRPr="005A5027" w:rsidRDefault="00C013F3" w:rsidP="00D93A09">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01/22/03. The note was inadvertently omitted from the rule.</w:t>
            </w:r>
          </w:p>
        </w:tc>
        <w:tc>
          <w:tcPr>
            <w:tcW w:w="787" w:type="dxa"/>
            <w:tcBorders>
              <w:bottom w:val="double" w:sz="6" w:space="0" w:color="auto"/>
            </w:tcBorders>
          </w:tcPr>
          <w:p w:rsidR="00C013F3" w:rsidRDefault="00C013F3"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 xml:space="preserve">Table 1 Parts </w:t>
            </w:r>
            <w:r>
              <w:lastRenderedPageBreak/>
              <w:t>A and B</w:t>
            </w:r>
          </w:p>
        </w:tc>
        <w:tc>
          <w:tcPr>
            <w:tcW w:w="990" w:type="dxa"/>
          </w:tcPr>
          <w:p w:rsidR="006403F0" w:rsidRPr="006E233D" w:rsidRDefault="006403F0" w:rsidP="006403F0">
            <w:r w:rsidRPr="006E233D">
              <w:lastRenderedPageBreak/>
              <w:t>216</w:t>
            </w:r>
          </w:p>
        </w:tc>
        <w:tc>
          <w:tcPr>
            <w:tcW w:w="1350" w:type="dxa"/>
          </w:tcPr>
          <w:p w:rsidR="006403F0" w:rsidRPr="006E233D" w:rsidRDefault="006403F0" w:rsidP="006403F0">
            <w:r>
              <w:t xml:space="preserve">8005 </w:t>
            </w:r>
            <w:r w:rsidRPr="006E233D">
              <w:t xml:space="preserve">Table 1 </w:t>
            </w:r>
            <w:r w:rsidRPr="006E233D">
              <w:lastRenderedPageBreak/>
              <w:t>Part</w:t>
            </w:r>
            <w:r>
              <w:t>s</w:t>
            </w:r>
            <w:r w:rsidRPr="006E233D">
              <w:t xml:space="preserve"> </w:t>
            </w:r>
            <w:r>
              <w:t xml:space="preserve">A and </w:t>
            </w:r>
            <w:r w:rsidRPr="006E233D">
              <w:t>B</w:t>
            </w:r>
          </w:p>
        </w:tc>
        <w:tc>
          <w:tcPr>
            <w:tcW w:w="4860" w:type="dxa"/>
          </w:tcPr>
          <w:p w:rsidR="006403F0" w:rsidRPr="005A5027" w:rsidRDefault="006403F0" w:rsidP="00E21446">
            <w:r>
              <w:lastRenderedPageBreak/>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lastRenderedPageBreak/>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lastRenderedPageBreak/>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lastRenderedPageBreak/>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t>Sources have a netting basis based on the baseline emission rate so “baseline emission rate” is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lastRenderedPageBreak/>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lastRenderedPageBreak/>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lastRenderedPageBreak/>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lastRenderedPageBreak/>
              <w:t xml:space="preserve">Tables 2 and 3 in Division 244 are being removed </w:t>
            </w:r>
            <w:r w:rsidRPr="006E233D">
              <w:rPr>
                <w:color w:val="000000"/>
              </w:rPr>
              <w:lastRenderedPageBreak/>
              <w:t>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lastRenderedPageBreak/>
              <w:t>SIP</w:t>
            </w:r>
          </w:p>
        </w:tc>
      </w:tr>
      <w:tr w:rsidR="00D74223" w:rsidRPr="006E233D" w:rsidTr="00D66578">
        <w:trPr>
          <w:trHeight w:val="198"/>
        </w:trPr>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 xml:space="preserve">Sources with permits in effect on May 1, 2011 get an initial PM2.5 PSEL based on the PM2.5 fraction of the PM10 PSEL are not required to do any modeling or go through NSR/PSD as required in OAR 340-222-0041(4) if the PM2.5 PSEL is </w:t>
            </w:r>
            <w:r w:rsidRPr="00B45419">
              <w:lastRenderedPageBreak/>
              <w:t>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lastRenderedPageBreak/>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lastRenderedPageBreak/>
              <w:t xml:space="preserve">[INSERT SOS FILING DATE OF RULES] </w:t>
            </w:r>
            <w:r w:rsidRPr="002463A4">
              <w:rPr>
                <w:color w:val="000000"/>
              </w:rPr>
              <w:t xml:space="preserve">and which were previously considered categorically insignificant 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lastRenderedPageBreak/>
              <w:t>The RICE NESHAP has requirements for emergency generators that were previously considered categorically insignificant activities</w:t>
            </w:r>
            <w:r w:rsidR="00AF264D">
              <w:rPr>
                <w:bCs/>
              </w:rPr>
              <w:t xml:space="preserve">. </w:t>
            </w:r>
            <w:r>
              <w:rPr>
                <w:bCs/>
              </w:rPr>
              <w:lastRenderedPageBreak/>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0041</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xml:space="preserve">, PSELs are required on a short term basis </w:t>
            </w:r>
            <w:r w:rsidRPr="004737A5">
              <w:lastRenderedPageBreak/>
              <w:t>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lastRenderedPageBreak/>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lastRenderedPageBreak/>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 xml:space="preserve">(C) For carbon monoxide, demonstrate that the source or </w:t>
            </w:r>
            <w:r w:rsidRPr="00B9596D">
              <w:lastRenderedPageBreak/>
              <w:t>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lastRenderedPageBreak/>
              <w:t xml:space="preserve">Not necessary. These are significant impact levels for CO and are contained in the definitions in </w:t>
            </w:r>
            <w:r>
              <w:rPr>
                <w:bCs/>
              </w:rPr>
              <w:lastRenderedPageBreak/>
              <w:t xml:space="preserve">division 200.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lastRenderedPageBreak/>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 xml:space="preserve">(B) Any regulated pollutant that has a generic PSEL in a </w:t>
            </w:r>
            <w:r w:rsidRPr="00731A16">
              <w:lastRenderedPageBreak/>
              <w:t>permit;</w:t>
            </w:r>
            <w:r>
              <w:t xml:space="preserve"> or”</w:t>
            </w:r>
          </w:p>
        </w:tc>
        <w:tc>
          <w:tcPr>
            <w:tcW w:w="4320" w:type="dxa"/>
          </w:tcPr>
          <w:p w:rsidR="00D74223" w:rsidRPr="006E233D" w:rsidRDefault="0041785A" w:rsidP="00731A16">
            <w:r w:rsidRPr="006E233D">
              <w:lastRenderedPageBreak/>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(i)</w:t>
            </w:r>
          </w:p>
        </w:tc>
        <w:tc>
          <w:tcPr>
            <w:tcW w:w="4860" w:type="dxa"/>
          </w:tcPr>
          <w:p w:rsidR="00D74223" w:rsidRDefault="00D74223" w:rsidP="00EC1D48">
            <w:r>
              <w:t>Add:</w:t>
            </w:r>
          </w:p>
          <w:p w:rsidR="00D74223" w:rsidRPr="006E233D" w:rsidRDefault="00D74223"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 xml:space="preserve">Emission reductions for the affected devices or emissions units will be determined consistent with the approach used to determine the netting basis prior to the </w:t>
            </w:r>
            <w:r w:rsidRPr="006E233D">
              <w:lastRenderedPageBreak/>
              <w:t>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lastRenderedPageBreak/>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w:t>
            </w:r>
            <w:r w:rsidRPr="00AD47F7">
              <w:lastRenderedPageBreak/>
              <w:t xml:space="preserve">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lastRenderedPageBreak/>
              <w:t>The RICE NESHAP has requirements for emergency generators that were previously considered categorically insignificant activities</w:t>
            </w:r>
            <w:r w:rsidR="00AF264D">
              <w:rPr>
                <w:bCs/>
              </w:rPr>
              <w:t xml:space="preserve">. </w:t>
            </w:r>
            <w:r>
              <w:rPr>
                <w:bCs/>
              </w:rPr>
              <w:lastRenderedPageBreak/>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Pr>
          <w:p w:rsidR="00D74223" w:rsidRPr="005A5027" w:rsidRDefault="00BD6859" w:rsidP="00A17895">
            <w:r>
              <w:lastRenderedPageBreak/>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lastRenderedPageBreak/>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lastRenderedPageBreak/>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lastRenderedPageBreak/>
              <w:t xml:space="preserve">Only the GHG baseline emission rate will be reset. </w:t>
            </w:r>
            <w:r w:rsidRPr="005A5027">
              <w:lastRenderedPageBreak/>
              <w:t>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 xml:space="preserve">(A) Any source or part of a source that had not begun normal operations during the applicable baseline period </w:t>
            </w:r>
            <w:r w:rsidRPr="002C63E7">
              <w:lastRenderedPageBreak/>
              <w:t>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lastRenderedPageBreak/>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lastRenderedPageBreak/>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t xml:space="preserve">. EPA encourages use of combined heat and power facilities.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lastRenderedPageBreak/>
              <w:t>(c) PSEL increases equal to or greater than any SER that 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lastRenderedPageBreak/>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2C5A7A" w:rsidP="00D63F78">
            <w:r>
              <w:t xml:space="preserve">Clarification. </w:t>
            </w:r>
            <w:r w:rsidR="00ED1934"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w:t>
            </w:r>
            <w:r w:rsidRPr="002F58E2">
              <w:rPr>
                <w:color w:val="000000"/>
              </w:rPr>
              <w:lastRenderedPageBreak/>
              <w:t>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lastRenderedPageBreak/>
              <w:t xml:space="preserve">The definition of major modification only applies to this division and explains how to determine if a major modification takes place. This procedural requirement does not belong in the definitions of </w:t>
            </w:r>
            <w:r w:rsidRPr="009119E1">
              <w:lastRenderedPageBreak/>
              <w:t>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lastRenderedPageBreak/>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as applicable for each pollutant, subtract the unit’s portion of the netting basis from its post-change potential to emit taking into consideration any federally enforceable limits on potential to emit</w:t>
            </w:r>
            <w:r w:rsidR="00AF264D">
              <w:t xml:space="preserve">. </w:t>
            </w:r>
            <w:r w:rsidRPr="002F58E2">
              <w:t xml:space="preserve">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lastRenderedPageBreak/>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lastRenderedPageBreak/>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2C5A7A" w:rsidRPr="006E233D" w:rsidRDefault="002C5A7A" w:rsidP="0066018C">
            <w:pPr>
              <w:jc w:val="center"/>
            </w:pPr>
            <w:r>
              <w:t>SIP</w:t>
            </w:r>
          </w:p>
        </w:tc>
      </w:tr>
      <w:tr w:rsidR="002C5A7A" w:rsidRPr="006E233D" w:rsidTr="00361B15">
        <w:tc>
          <w:tcPr>
            <w:tcW w:w="918" w:type="dxa"/>
          </w:tcPr>
          <w:p w:rsidR="002C5A7A" w:rsidRPr="005A5027" w:rsidRDefault="002C5A7A" w:rsidP="00361B15">
            <w:r w:rsidRPr="005A5027">
              <w:t>224</w:t>
            </w:r>
          </w:p>
        </w:tc>
        <w:tc>
          <w:tcPr>
            <w:tcW w:w="1350" w:type="dxa"/>
          </w:tcPr>
          <w:p w:rsidR="002C5A7A" w:rsidRPr="005A5027" w:rsidRDefault="002C5A7A" w:rsidP="00361B15">
            <w:r w:rsidRPr="005A5027">
              <w:t>0030</w:t>
            </w:r>
          </w:p>
        </w:tc>
        <w:tc>
          <w:tcPr>
            <w:tcW w:w="990" w:type="dxa"/>
          </w:tcPr>
          <w:p w:rsidR="002C5A7A" w:rsidRPr="005A5027" w:rsidRDefault="002C5A7A" w:rsidP="00361B15">
            <w:pPr>
              <w:rPr>
                <w:color w:val="000000"/>
              </w:rPr>
            </w:pPr>
            <w:r w:rsidRPr="005A5027">
              <w:rPr>
                <w:color w:val="000000"/>
              </w:rPr>
              <w:t>NA</w:t>
            </w:r>
          </w:p>
        </w:tc>
        <w:tc>
          <w:tcPr>
            <w:tcW w:w="1350" w:type="dxa"/>
          </w:tcPr>
          <w:p w:rsidR="002C5A7A" w:rsidRPr="005A5027" w:rsidRDefault="002C5A7A" w:rsidP="00361B15">
            <w:pPr>
              <w:rPr>
                <w:color w:val="000000"/>
              </w:rPr>
            </w:pPr>
            <w:r w:rsidRPr="005A5027">
              <w:rPr>
                <w:color w:val="000000"/>
              </w:rPr>
              <w:t>NA</w:t>
            </w:r>
          </w:p>
        </w:tc>
        <w:tc>
          <w:tcPr>
            <w:tcW w:w="4860" w:type="dxa"/>
          </w:tcPr>
          <w:p w:rsidR="002C5A7A" w:rsidRPr="005A5027" w:rsidRDefault="002C5A7A" w:rsidP="00361B15">
            <w:pPr>
              <w:rPr>
                <w:color w:val="000000"/>
              </w:rPr>
            </w:pPr>
            <w:r w:rsidRPr="005A5027">
              <w:rPr>
                <w:color w:val="000000"/>
              </w:rPr>
              <w:t>Add “federal” to major source</w:t>
            </w:r>
          </w:p>
        </w:tc>
        <w:tc>
          <w:tcPr>
            <w:tcW w:w="4320" w:type="dxa"/>
          </w:tcPr>
          <w:p w:rsidR="002C5A7A" w:rsidRPr="005A5027" w:rsidRDefault="002C5A7A" w:rsidP="00361B15">
            <w:r w:rsidRPr="005A5027">
              <w:t xml:space="preserve">DEQ has changed the definition of major source to federal major source to accommodate the State </w:t>
            </w:r>
            <w:r w:rsidRPr="005A5027">
              <w:lastRenderedPageBreak/>
              <w:t>New Source Review program for non-federal major sources and changes that are not major modifications.</w:t>
            </w:r>
          </w:p>
        </w:tc>
        <w:tc>
          <w:tcPr>
            <w:tcW w:w="787" w:type="dxa"/>
          </w:tcPr>
          <w:p w:rsidR="002C5A7A" w:rsidRPr="006E233D" w:rsidRDefault="002C5A7A" w:rsidP="00361B15">
            <w:pPr>
              <w:jc w:val="center"/>
            </w:pPr>
            <w:r>
              <w:lastRenderedPageBreak/>
              <w:t>SIP</w:t>
            </w:r>
          </w:p>
        </w:tc>
      </w:tr>
      <w:tr w:rsidR="002C5A7A" w:rsidRPr="006E233D"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0C356F">
            <w:pPr>
              <w:rPr>
                <w:color w:val="000000"/>
              </w:rPr>
            </w:pPr>
            <w:r>
              <w:rPr>
                <w:color w:val="000000"/>
              </w:rPr>
              <w:t>Add “or approved”  to the forms</w:t>
            </w:r>
          </w:p>
        </w:tc>
        <w:tc>
          <w:tcPr>
            <w:tcW w:w="4320" w:type="dxa"/>
          </w:tcPr>
          <w:p w:rsidR="002C5A7A" w:rsidRPr="005A5027" w:rsidRDefault="002C5A7A" w:rsidP="00FE6D9A">
            <w:r>
              <w:t>DEQ may accept application information on forms other than those supplied by DEQ, especially spreadsheets for calculating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Default="002C5A7A" w:rsidP="00A65851">
            <w:r>
              <w:t>224</w:t>
            </w:r>
          </w:p>
        </w:tc>
        <w:tc>
          <w:tcPr>
            <w:tcW w:w="1350" w:type="dxa"/>
          </w:tcPr>
          <w:p w:rsidR="002C5A7A" w:rsidRDefault="002C5A7A" w:rsidP="00A65851">
            <w:r>
              <w:t>0020(3)(b)</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0030(2)(b)</w:t>
            </w:r>
          </w:p>
        </w:tc>
        <w:tc>
          <w:tcPr>
            <w:tcW w:w="4860" w:type="dxa"/>
          </w:tcPr>
          <w:p w:rsidR="002C5A7A" w:rsidRDefault="002C5A7A" w:rsidP="0086348F">
            <w:pPr>
              <w:rPr>
                <w:color w:val="000000"/>
              </w:rPr>
            </w:pPr>
            <w:r>
              <w:rPr>
                <w:color w:val="000000"/>
              </w:rPr>
              <w:t>Change to:</w:t>
            </w:r>
          </w:p>
          <w:p w:rsidR="002C5A7A" w:rsidRDefault="002C5A7A"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2C5A7A" w:rsidRDefault="002C5A7A" w:rsidP="00D872AB">
            <w:r>
              <w:t xml:space="preserve">Clarification and simplification. Division 218 is for Title V permits and not New Source Review permits. </w:t>
            </w:r>
            <w:r>
              <w:rPr>
                <w:color w:val="000000"/>
              </w:rPr>
              <w:t xml:space="preserve">Change the time when DEQ will make a final determination on the application from six months to twelve months. </w:t>
            </w:r>
            <w:r>
              <w:t>Past practice for DEQ to make a final determination on an application has been at least 12 months, if not longer. The rule changes reflect the reality of Major NSR application processing. The Category IV public participation procedures will be used for Major NSR/PSD permit applications and are explained in division 209.</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Default="002C5A7A" w:rsidP="00DC02B9">
            <w:pPr>
              <w:rPr>
                <w:color w:val="000000"/>
              </w:rPr>
            </w:pPr>
            <w:r>
              <w:rPr>
                <w:color w:val="000000"/>
              </w:rPr>
              <w:t>Delete “Other Obligations” and change to:</w:t>
            </w:r>
          </w:p>
          <w:p w:rsidR="002C5A7A" w:rsidRPr="005A5027" w:rsidRDefault="002C5A7A"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2C5A7A" w:rsidRPr="005A5027" w:rsidRDefault="002C5A7A" w:rsidP="003D0D80">
            <w:r w:rsidRPr="005A5027">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2C5A7A" w:rsidRPr="00DC02B9" w:rsidRDefault="002C5A7A"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2C5A7A" w:rsidRPr="005A5027" w:rsidRDefault="002C5A7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lastRenderedPageBreak/>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2C5A7A" w:rsidRPr="00DC02B9" w:rsidRDefault="002C5A7A"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2C5A7A" w:rsidRPr="00DC02B9" w:rsidRDefault="002C5A7A"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2C5A7A" w:rsidRPr="005A5027" w:rsidRDefault="002C5A7A"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2C5A7A" w:rsidRPr="005A5027" w:rsidRDefault="002C5A7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436F41" w:rsidRDefault="002C5A7A" w:rsidP="00A65851">
            <w:r w:rsidRPr="00436F41">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436F41" w:rsidRDefault="002C5A7A" w:rsidP="000457F6">
            <w:pPr>
              <w:rPr>
                <w:color w:val="000000"/>
              </w:rPr>
            </w:pPr>
            <w:r>
              <w:rPr>
                <w:color w:val="000000"/>
              </w:rPr>
              <w:t>Add:</w:t>
            </w:r>
          </w:p>
          <w:p w:rsidR="002C5A7A" w:rsidRPr="00184F3D" w:rsidRDefault="002C5A7A"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2C5A7A" w:rsidRPr="00184F3D" w:rsidRDefault="002C5A7A"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2C5A7A" w:rsidRPr="00184F3D" w:rsidRDefault="002C5A7A" w:rsidP="00184F3D">
            <w:pPr>
              <w:rPr>
                <w:color w:val="000000"/>
              </w:rPr>
            </w:pPr>
            <w:r w:rsidRPr="00184F3D">
              <w:rPr>
                <w:color w:val="000000"/>
              </w:rPr>
              <w:t>(B) A review of the air quality analysis to address any of the following:</w:t>
            </w:r>
          </w:p>
          <w:p w:rsidR="002C5A7A" w:rsidRPr="00184F3D" w:rsidRDefault="002C5A7A"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2C5A7A" w:rsidRPr="00184F3D" w:rsidRDefault="002C5A7A"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2C5A7A" w:rsidRPr="00184F3D" w:rsidRDefault="002C5A7A"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2C5A7A" w:rsidRPr="00184F3D" w:rsidRDefault="002C5A7A" w:rsidP="00184F3D">
            <w:pPr>
              <w:rPr>
                <w:color w:val="000000"/>
              </w:rPr>
            </w:pPr>
            <w:r w:rsidRPr="00184F3D">
              <w:rPr>
                <w:color w:val="000000"/>
              </w:rPr>
              <w:t xml:space="preserve">(iv) any changes to EPA approved models that would affect modeling results since the original application was submitted; and </w:t>
            </w:r>
          </w:p>
          <w:p w:rsidR="002C5A7A" w:rsidRDefault="002C5A7A"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2C5A7A" w:rsidRPr="00D872AB" w:rsidRDefault="002C5A7A" w:rsidP="00D872AB">
            <w:pPr>
              <w:rPr>
                <w:color w:val="000000"/>
              </w:rPr>
            </w:pPr>
            <w:r w:rsidRPr="00D872AB">
              <w:rPr>
                <w:color w:val="000000"/>
              </w:rPr>
              <w:t>(D) If during the first 36 months of the original permit, the area impacted by the source is subject to any of the following redesignations, the permit will be terminated.</w:t>
            </w:r>
          </w:p>
          <w:p w:rsidR="002C5A7A" w:rsidRPr="00D872AB" w:rsidRDefault="002C5A7A" w:rsidP="00D872AB">
            <w:pPr>
              <w:rPr>
                <w:color w:val="000000"/>
              </w:rPr>
            </w:pPr>
            <w:r w:rsidRPr="00D872AB">
              <w:rPr>
                <w:color w:val="000000"/>
              </w:rPr>
              <w:t>(i)  The area is redesignated from attainment to sustainment or nonattainment;</w:t>
            </w:r>
          </w:p>
          <w:p w:rsidR="002C5A7A" w:rsidRPr="00436F41" w:rsidRDefault="002C5A7A" w:rsidP="00A77520">
            <w:pPr>
              <w:rPr>
                <w:color w:val="000000"/>
              </w:rPr>
            </w:pPr>
            <w:r w:rsidRPr="00D872AB">
              <w:rPr>
                <w:color w:val="000000"/>
              </w:rPr>
              <w:t>(ii) The area is redesig</w:t>
            </w:r>
            <w:r w:rsidR="004D1FEA">
              <w:rPr>
                <w:color w:val="000000"/>
              </w:rPr>
              <w:t>n</w:t>
            </w:r>
            <w:r w:rsidRPr="00D872AB">
              <w:rPr>
                <w:color w:val="000000"/>
              </w:rPr>
              <w:t>ated fro</w:t>
            </w:r>
            <w:r w:rsidR="004D1FEA">
              <w:rPr>
                <w:color w:val="000000"/>
              </w:rPr>
              <w:t>m sustainment to nonattainment</w:t>
            </w:r>
            <w:r>
              <w:rPr>
                <w:color w:val="000000"/>
              </w:rPr>
              <w:t>.</w:t>
            </w:r>
            <w:r w:rsidRPr="00436F41">
              <w:rPr>
                <w:color w:val="000000"/>
              </w:rPr>
              <w:t>”</w:t>
            </w:r>
          </w:p>
        </w:tc>
        <w:tc>
          <w:tcPr>
            <w:tcW w:w="4320" w:type="dxa"/>
          </w:tcPr>
          <w:p w:rsidR="002C5A7A" w:rsidRPr="00436F41" w:rsidRDefault="002C5A7A" w:rsidP="003629DB">
            <w:r w:rsidRPr="00436F41">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5A5027" w:rsidRDefault="002C5A7A" w:rsidP="00841A4D">
            <w:pPr>
              <w:rPr>
                <w:color w:val="000000"/>
              </w:rPr>
            </w:pPr>
            <w:r w:rsidRPr="005A5027">
              <w:rPr>
                <w:color w:val="000000"/>
              </w:rPr>
              <w:t xml:space="preserve">Add: </w:t>
            </w:r>
          </w:p>
          <w:p w:rsidR="002C5A7A" w:rsidRPr="005A5027" w:rsidRDefault="002C5A7A" w:rsidP="00B9695B">
            <w:pPr>
              <w:rPr>
                <w:color w:val="000000"/>
              </w:rPr>
            </w:pPr>
            <w:r>
              <w:rPr>
                <w:color w:val="000000"/>
              </w:rPr>
              <w:lastRenderedPageBreak/>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2C5A7A" w:rsidRPr="005A5027" w:rsidRDefault="002C5A7A" w:rsidP="005F0609">
            <w:r w:rsidRPr="005A5027">
              <w:lastRenderedPageBreak/>
              <w:t>Clarification</w:t>
            </w:r>
            <w:r>
              <w:t xml:space="preserve">. </w:t>
            </w:r>
            <w:r w:rsidRPr="005A5027">
              <w:t>DEQ will not grant third extensions</w:t>
            </w:r>
            <w:r>
              <w:t xml:space="preserve">. </w:t>
            </w:r>
            <w:r>
              <w:lastRenderedPageBreak/>
              <w:t xml:space="preserve">The owner or operator must apply for a new NSR permit. </w:t>
            </w:r>
          </w:p>
        </w:tc>
        <w:tc>
          <w:tcPr>
            <w:tcW w:w="787" w:type="dxa"/>
          </w:tcPr>
          <w:p w:rsidR="002C5A7A" w:rsidRPr="006E233D" w:rsidRDefault="002C5A7A" w:rsidP="0066018C">
            <w:pPr>
              <w:jc w:val="center"/>
            </w:pPr>
            <w:r>
              <w:lastRenderedPageBreak/>
              <w:t>SIP</w:t>
            </w:r>
          </w:p>
        </w:tc>
      </w:tr>
      <w:tr w:rsidR="002C5A7A" w:rsidRPr="005A5027" w:rsidTr="008B1F3B">
        <w:tc>
          <w:tcPr>
            <w:tcW w:w="918" w:type="dxa"/>
          </w:tcPr>
          <w:p w:rsidR="002C5A7A" w:rsidRPr="005A5027" w:rsidRDefault="002C5A7A" w:rsidP="008B1F3B">
            <w:r w:rsidRPr="005A5027">
              <w:lastRenderedPageBreak/>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5A5027" w:rsidRDefault="002C5A7A" w:rsidP="008B1F3B">
            <w:pPr>
              <w:rPr>
                <w:color w:val="000000"/>
              </w:rPr>
            </w:pPr>
            <w:r w:rsidRPr="005A5027">
              <w:rPr>
                <w:color w:val="000000"/>
              </w:rPr>
              <w:t>Add:</w:t>
            </w:r>
          </w:p>
          <w:p w:rsidR="002C5A7A" w:rsidRPr="005A5027" w:rsidRDefault="002C5A7A"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2C5A7A" w:rsidRPr="005A5027" w:rsidRDefault="002C5A7A" w:rsidP="008B1F3B">
            <w:r w:rsidRPr="005A5027">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5A5027" w:rsidRDefault="002C5A7A" w:rsidP="00FE68CE">
            <w:pPr>
              <w:rPr>
                <w:color w:val="000000"/>
              </w:rPr>
            </w:pPr>
            <w:r w:rsidRPr="005A5027">
              <w:rPr>
                <w:color w:val="000000"/>
              </w:rPr>
              <w:t>Add:</w:t>
            </w:r>
          </w:p>
          <w:p w:rsidR="002C5A7A" w:rsidRPr="005A5027" w:rsidRDefault="002C5A7A"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)(A)</w:t>
            </w:r>
          </w:p>
        </w:tc>
        <w:tc>
          <w:tcPr>
            <w:tcW w:w="4860" w:type="dxa"/>
          </w:tcPr>
          <w:p w:rsidR="002C5A7A" w:rsidRPr="005A5027" w:rsidRDefault="002C5A7A" w:rsidP="004E2E88">
            <w:pPr>
              <w:rPr>
                <w:color w:val="000000"/>
              </w:rPr>
            </w:pPr>
            <w:r w:rsidRPr="005A5027">
              <w:rPr>
                <w:color w:val="000000"/>
              </w:rPr>
              <w:t xml:space="preserve">Add: </w:t>
            </w:r>
          </w:p>
          <w:p w:rsidR="002C5A7A" w:rsidRPr="005A5027" w:rsidRDefault="002C5A7A"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5A5027" w:rsidRDefault="002C5A7A" w:rsidP="00355A1A">
            <w:pPr>
              <w:rPr>
                <w:color w:val="000000"/>
              </w:rPr>
            </w:pPr>
            <w:r>
              <w:rPr>
                <w:color w:val="000000"/>
              </w:rPr>
              <w:t>0030(5)(e</w:t>
            </w:r>
            <w:r w:rsidRPr="005A5027">
              <w:rPr>
                <w:color w:val="000000"/>
              </w:rPr>
              <w:t>)(B)</w:t>
            </w:r>
          </w:p>
        </w:tc>
        <w:tc>
          <w:tcPr>
            <w:tcW w:w="4860" w:type="dxa"/>
          </w:tcPr>
          <w:p w:rsidR="002C5A7A" w:rsidRPr="005A5027" w:rsidRDefault="002C5A7A" w:rsidP="00355A1A">
            <w:pPr>
              <w:rPr>
                <w:color w:val="000000"/>
              </w:rPr>
            </w:pPr>
            <w:r w:rsidRPr="005A5027">
              <w:rPr>
                <w:color w:val="000000"/>
              </w:rPr>
              <w:t xml:space="preserve">Add: </w:t>
            </w:r>
          </w:p>
          <w:p w:rsidR="002C5A7A" w:rsidRPr="00A77520" w:rsidRDefault="002C5A7A" w:rsidP="00355A1A">
            <w:pPr>
              <w:rPr>
                <w:color w:val="000000"/>
              </w:rPr>
            </w:pPr>
            <w:r>
              <w:rPr>
                <w:color w:val="000000"/>
              </w:rPr>
              <w:t>“</w:t>
            </w:r>
            <w:r w:rsidRPr="00A77520">
              <w:rPr>
                <w:color w:val="000000"/>
              </w:rPr>
              <w:t>(B) DEQ will make a proposed permit modification available using the following public participation procedures:</w:t>
            </w:r>
          </w:p>
          <w:p w:rsidR="002C5A7A" w:rsidRPr="00A77520" w:rsidRDefault="002C5A7A" w:rsidP="00355A1A">
            <w:pPr>
              <w:rPr>
                <w:color w:val="000000"/>
              </w:rPr>
            </w:pPr>
            <w:r w:rsidRPr="00A77520">
              <w:rPr>
                <w:color w:val="000000"/>
              </w:rPr>
              <w:t>(i) Category II for an extension that does not require an air quality analysis; or</w:t>
            </w:r>
          </w:p>
          <w:p w:rsidR="002C5A7A" w:rsidRPr="005A5027" w:rsidRDefault="002C5A7A"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2C5A7A" w:rsidRPr="005A5027" w:rsidRDefault="002C5A7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C5A7A" w:rsidRPr="006E233D" w:rsidRDefault="002C5A7A" w:rsidP="00355A1A">
            <w:pPr>
              <w:jc w:val="center"/>
            </w:pPr>
            <w:r>
              <w:t>SIP</w:t>
            </w:r>
          </w:p>
        </w:tc>
      </w:tr>
      <w:tr w:rsidR="002C5A7A" w:rsidRPr="006E233D" w:rsidTr="00762C2C">
        <w:tc>
          <w:tcPr>
            <w:tcW w:w="918" w:type="dxa"/>
          </w:tcPr>
          <w:p w:rsidR="002C5A7A" w:rsidRPr="00A77520" w:rsidRDefault="002C5A7A" w:rsidP="00762C2C">
            <w:r w:rsidRPr="00A77520">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77520" w:rsidRDefault="002C5A7A" w:rsidP="00762C2C">
            <w:pPr>
              <w:rPr>
                <w:color w:val="000000"/>
              </w:rPr>
            </w:pPr>
            <w:r>
              <w:rPr>
                <w:color w:val="000000"/>
              </w:rPr>
              <w:t>0030(5)(e</w:t>
            </w:r>
            <w:r w:rsidRPr="00A77520">
              <w:rPr>
                <w:color w:val="000000"/>
              </w:rPr>
              <w:t>)(C)</w:t>
            </w:r>
          </w:p>
        </w:tc>
        <w:tc>
          <w:tcPr>
            <w:tcW w:w="4860" w:type="dxa"/>
          </w:tcPr>
          <w:p w:rsidR="002C5A7A" w:rsidRPr="00A77520" w:rsidRDefault="002C5A7A" w:rsidP="00762C2C">
            <w:pPr>
              <w:rPr>
                <w:color w:val="000000"/>
              </w:rPr>
            </w:pPr>
            <w:r w:rsidRPr="00A77520">
              <w:rPr>
                <w:color w:val="000000"/>
              </w:rPr>
              <w:t>Add:</w:t>
            </w:r>
          </w:p>
          <w:p w:rsidR="002C5A7A" w:rsidRPr="00A77520" w:rsidRDefault="002C5A7A"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2C5A7A" w:rsidRPr="00A77520" w:rsidRDefault="002C5A7A" w:rsidP="00762C2C">
            <w:r w:rsidRPr="00A77520">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2C5A7A" w:rsidRPr="005A5027" w:rsidRDefault="002C5A7A"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2C5A7A" w:rsidRPr="005A5027" w:rsidRDefault="002C5A7A" w:rsidP="00396B05">
            <w:r w:rsidRPr="005A5027">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B57E2">
        <w:tc>
          <w:tcPr>
            <w:tcW w:w="918" w:type="dxa"/>
          </w:tcPr>
          <w:p w:rsidR="002C5A7A" w:rsidRPr="005A5027" w:rsidRDefault="002C5A7A" w:rsidP="00BB57E2">
            <w:r w:rsidRPr="005A5027">
              <w:t>224</w:t>
            </w:r>
          </w:p>
        </w:tc>
        <w:tc>
          <w:tcPr>
            <w:tcW w:w="1350" w:type="dxa"/>
          </w:tcPr>
          <w:p w:rsidR="002C5A7A" w:rsidRPr="005A5027" w:rsidRDefault="002C5A7A" w:rsidP="00BB57E2">
            <w:r w:rsidRPr="005A5027">
              <w:t>0030(2)(c)</w:t>
            </w:r>
            <w:r>
              <w:t>(A)</w:t>
            </w:r>
          </w:p>
        </w:tc>
        <w:tc>
          <w:tcPr>
            <w:tcW w:w="990" w:type="dxa"/>
          </w:tcPr>
          <w:p w:rsidR="002C5A7A" w:rsidRPr="005A5027" w:rsidRDefault="002C5A7A" w:rsidP="00BB57E2">
            <w:pPr>
              <w:rPr>
                <w:color w:val="000000"/>
              </w:rPr>
            </w:pPr>
            <w:r w:rsidRPr="005A5027">
              <w:rPr>
                <w:color w:val="000000"/>
              </w:rPr>
              <w:t>224</w:t>
            </w:r>
          </w:p>
        </w:tc>
        <w:tc>
          <w:tcPr>
            <w:tcW w:w="1350" w:type="dxa"/>
          </w:tcPr>
          <w:p w:rsidR="002C5A7A" w:rsidRPr="005A5027" w:rsidRDefault="002C5A7A" w:rsidP="00BB57E2">
            <w:pPr>
              <w:rPr>
                <w:color w:val="000000"/>
              </w:rPr>
            </w:pPr>
            <w:r w:rsidRPr="005A5027">
              <w:rPr>
                <w:color w:val="000000"/>
              </w:rPr>
              <w:t>0030(7)(a)</w:t>
            </w:r>
          </w:p>
        </w:tc>
        <w:tc>
          <w:tcPr>
            <w:tcW w:w="4860" w:type="dxa"/>
          </w:tcPr>
          <w:p w:rsidR="002C5A7A" w:rsidRPr="005A5027" w:rsidRDefault="002C5A7A" w:rsidP="00BB57E2">
            <w:pPr>
              <w:rPr>
                <w:color w:val="000000"/>
              </w:rPr>
            </w:pPr>
            <w:r w:rsidRPr="005A5027">
              <w:rPr>
                <w:color w:val="000000"/>
              </w:rPr>
              <w:t>Add “federal” to major source</w:t>
            </w:r>
          </w:p>
        </w:tc>
        <w:tc>
          <w:tcPr>
            <w:tcW w:w="4320" w:type="dxa"/>
          </w:tcPr>
          <w:p w:rsidR="002C5A7A" w:rsidRPr="005A5027" w:rsidRDefault="002C5A7A" w:rsidP="00BB57E2">
            <w:r w:rsidRPr="005A5027">
              <w:t xml:space="preserve">DEQ has changed the definition of major source to </w:t>
            </w:r>
            <w:r w:rsidRPr="005A5027">
              <w:lastRenderedPageBreak/>
              <w:t>federal major source to accommodate the State New Source Review program for non-federal major sources and changes that are not major modifications.</w:t>
            </w:r>
          </w:p>
        </w:tc>
        <w:tc>
          <w:tcPr>
            <w:tcW w:w="787" w:type="dxa"/>
          </w:tcPr>
          <w:p w:rsidR="002C5A7A" w:rsidRPr="006E233D" w:rsidRDefault="002C5A7A" w:rsidP="00BB57E2">
            <w:pPr>
              <w:jc w:val="center"/>
            </w:pPr>
            <w:r>
              <w:lastRenderedPageBreak/>
              <w:t>SIP</w:t>
            </w:r>
          </w:p>
        </w:tc>
      </w:tr>
      <w:tr w:rsidR="002C5A7A" w:rsidRPr="006E233D" w:rsidTr="00BC062C">
        <w:tc>
          <w:tcPr>
            <w:tcW w:w="918" w:type="dxa"/>
          </w:tcPr>
          <w:p w:rsidR="002C5A7A" w:rsidRPr="005A5027" w:rsidRDefault="002C5A7A" w:rsidP="00BC062C">
            <w:r w:rsidRPr="005A5027">
              <w:lastRenderedPageBreak/>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Pr="005A5027" w:rsidRDefault="002C5A7A"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Default="002C5A7A" w:rsidP="00903F07">
            <w:pPr>
              <w:rPr>
                <w:bCs/>
                <w:color w:val="000000"/>
              </w:rPr>
            </w:pPr>
            <w:r w:rsidRPr="005A5027">
              <w:rPr>
                <w:bCs/>
                <w:color w:val="000000"/>
              </w:rPr>
              <w:t xml:space="preserve">Move “Exemptions” and </w:t>
            </w:r>
            <w:r>
              <w:rPr>
                <w:bCs/>
                <w:color w:val="000000"/>
              </w:rPr>
              <w:t>change to:</w:t>
            </w:r>
          </w:p>
          <w:p w:rsidR="002C5A7A" w:rsidRPr="005A5027" w:rsidRDefault="002C5A7A"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2C5A7A" w:rsidRPr="005A5027" w:rsidRDefault="002C5A7A" w:rsidP="00903F07">
            <w:r w:rsidRPr="005A5027">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2C5A7A" w:rsidRPr="005A5027" w:rsidRDefault="002C5A7A" w:rsidP="00022E9F">
            <w:r>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5A5027" w:rsidRDefault="002C5A7A" w:rsidP="00BC062C">
            <w:pPr>
              <w:rPr>
                <w:bCs/>
                <w:color w:val="000000"/>
              </w:rPr>
            </w:pPr>
            <w:r w:rsidRPr="005A5027">
              <w:rPr>
                <w:bCs/>
                <w:color w:val="000000"/>
              </w:rPr>
              <w:t>Change to:</w:t>
            </w:r>
          </w:p>
          <w:p w:rsidR="002C5A7A" w:rsidRPr="005A5027" w:rsidRDefault="002C5A7A"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6E233D" w:rsidRDefault="002C5A7A" w:rsidP="00E60911">
            <w:pPr>
              <w:rPr>
                <w:bCs/>
                <w:color w:val="000000"/>
              </w:rPr>
            </w:pPr>
            <w:r>
              <w:rPr>
                <w:bCs/>
                <w:color w:val="000000"/>
              </w:rPr>
              <w:t>A</w:t>
            </w:r>
            <w:r w:rsidRPr="006E233D">
              <w:rPr>
                <w:bCs/>
                <w:color w:val="000000"/>
              </w:rPr>
              <w:t>dd “federal” and “at a federal major source”</w:t>
            </w:r>
          </w:p>
        </w:tc>
        <w:tc>
          <w:tcPr>
            <w:tcW w:w="4320" w:type="dxa"/>
          </w:tcPr>
          <w:p w:rsidR="002C5A7A" w:rsidRPr="006E233D" w:rsidRDefault="002C5A7A" w:rsidP="001551F2">
            <w:r>
              <w:t>DEQ</w:t>
            </w:r>
            <w:r w:rsidRPr="006E233D">
              <w:t xml:space="preserve">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lastRenderedPageBreak/>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2C5A7A" w:rsidRPr="000F7A00" w:rsidRDefault="002C5A7A"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2C5A7A" w:rsidRPr="000F7A00" w:rsidRDefault="002C5A7A" w:rsidP="000F7A00">
            <w:r w:rsidRPr="000F7A00">
              <w:t>(1) OAR 340-224-0070; and</w:t>
            </w:r>
          </w:p>
          <w:p w:rsidR="002C5A7A" w:rsidRPr="00EF5278" w:rsidRDefault="002C5A7A"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2C5A7A" w:rsidRPr="00EF5278" w:rsidRDefault="002C5A7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2C5A7A" w:rsidRPr="006E233D" w:rsidRDefault="002C5A7A" w:rsidP="0066018C">
            <w:pPr>
              <w:jc w:val="center"/>
            </w:pPr>
            <w:r w:rsidRPr="00EF5278">
              <w:t>SIP</w:t>
            </w:r>
          </w:p>
        </w:tc>
      </w:tr>
      <w:tr w:rsidR="002C5A7A" w:rsidRPr="006E233D" w:rsidTr="00D63F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63F78">
            <w:pPr>
              <w:rPr>
                <w:bCs/>
                <w:color w:val="000000"/>
              </w:rPr>
            </w:pPr>
            <w:r w:rsidRPr="005A5027">
              <w:rPr>
                <w:bCs/>
                <w:color w:val="000000"/>
              </w:rPr>
              <w:t>Add “federal” and “at a federal major</w:t>
            </w:r>
            <w:r>
              <w:rPr>
                <w:bCs/>
                <w:color w:val="000000"/>
              </w:rPr>
              <w:t xml:space="preserve"> source” and switch the order of</w:t>
            </w:r>
            <w:r w:rsidRPr="005A5027">
              <w:rPr>
                <w:bCs/>
                <w:color w:val="000000"/>
              </w:rPr>
              <w:t xml:space="preserve"> SO2 or NOx</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2C5A7A" w:rsidRPr="006E233D" w:rsidRDefault="002C5A7A" w:rsidP="00022E9F">
            <w:r w:rsidRPr="006E233D">
              <w:t>Correction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2C5A7A" w:rsidRPr="006E233D" w:rsidRDefault="002C5A7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2C5A7A" w:rsidRPr="0047723A" w:rsidRDefault="002C5A7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lastRenderedPageBreak/>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2C5A7A" w:rsidRPr="00724485" w:rsidRDefault="002C5A7A" w:rsidP="00724485">
            <w:pPr>
              <w:rPr>
                <w:bCs/>
                <w:color w:val="000000"/>
              </w:rPr>
            </w:pPr>
            <w:r w:rsidRPr="00724485">
              <w:rPr>
                <w:bCs/>
                <w:color w:val="000000"/>
              </w:rPr>
              <w:t xml:space="preserve">“(2) Air Quality Protection:  </w:t>
            </w:r>
          </w:p>
          <w:p w:rsidR="002C5A7A" w:rsidRPr="00724485" w:rsidRDefault="002C5A7A"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2C5A7A" w:rsidRPr="00724485" w:rsidRDefault="002C5A7A"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2C5A7A" w:rsidRPr="00190EB8" w:rsidRDefault="002C5A7A" w:rsidP="00022E9F">
            <w:r w:rsidRPr="00190EB8">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2C5A7A" w:rsidRPr="00EB74AF" w:rsidRDefault="002C5A7A"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2C5A7A" w:rsidRPr="00EB74AF" w:rsidRDefault="002C5A7A" w:rsidP="00022E9F">
            <w:r w:rsidRPr="00EB74AF">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0050(4)(a)</w:t>
            </w:r>
          </w:p>
        </w:tc>
        <w:tc>
          <w:tcPr>
            <w:tcW w:w="4860" w:type="dxa"/>
          </w:tcPr>
          <w:p w:rsidR="002C5A7A" w:rsidRDefault="002C5A7A" w:rsidP="007B64D8">
            <w:pPr>
              <w:rPr>
                <w:color w:val="000000"/>
              </w:rPr>
            </w:pPr>
            <w:r>
              <w:rPr>
                <w:color w:val="000000"/>
              </w:rPr>
              <w:t>Change to:</w:t>
            </w:r>
          </w:p>
          <w:p w:rsidR="002C5A7A" w:rsidRPr="005A5027" w:rsidRDefault="002C5A7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2C5A7A" w:rsidRPr="005A5027" w:rsidRDefault="002C5A7A" w:rsidP="00142A0B">
            <w:r w:rsidRPr="005A5027">
              <w:t>340-224-0050 applies to federal major sources, which are defined as 100 tpy sources in nonattainment areas. This language</w:t>
            </w:r>
            <w:r w:rsidR="00470E69">
              <w:t xml:space="preserve"> “</w:t>
            </w:r>
            <w:r w:rsidR="00470E69" w:rsidRPr="00470E69">
              <w:t>that emits or has the potential to emit 100 tons per year or more of any regulated pollutant</w:t>
            </w:r>
            <w:r w:rsidR="00470E69">
              <w:t>”</w:t>
            </w:r>
            <w:r w:rsidRPr="005A5027">
              <w:t xml:space="preserve"> is not necessary. </w:t>
            </w:r>
          </w:p>
        </w:tc>
        <w:tc>
          <w:tcPr>
            <w:tcW w:w="787" w:type="dxa"/>
          </w:tcPr>
          <w:p w:rsidR="002C5A7A" w:rsidRPr="006E233D" w:rsidRDefault="002C5A7A" w:rsidP="0066018C">
            <w:pPr>
              <w:jc w:val="center"/>
            </w:pPr>
            <w:r>
              <w:t>SIP</w:t>
            </w:r>
          </w:p>
        </w:tc>
      </w:tr>
      <w:tr w:rsidR="002C5A7A" w:rsidRPr="005A5027" w:rsidTr="00BC062C">
        <w:tc>
          <w:tcPr>
            <w:tcW w:w="918" w:type="dxa"/>
          </w:tcPr>
          <w:p w:rsidR="002C5A7A" w:rsidRPr="009845B0" w:rsidRDefault="002C5A7A" w:rsidP="00BC062C">
            <w:r w:rsidRPr="009845B0">
              <w:t>224</w:t>
            </w:r>
          </w:p>
        </w:tc>
        <w:tc>
          <w:tcPr>
            <w:tcW w:w="1350" w:type="dxa"/>
          </w:tcPr>
          <w:p w:rsidR="002C5A7A" w:rsidRPr="009845B0" w:rsidRDefault="002C5A7A" w:rsidP="00BC062C">
            <w:r w:rsidRPr="009845B0">
              <w:t>0050(3)(a)</w:t>
            </w:r>
          </w:p>
        </w:tc>
        <w:tc>
          <w:tcPr>
            <w:tcW w:w="990" w:type="dxa"/>
          </w:tcPr>
          <w:p w:rsidR="002C5A7A" w:rsidRPr="009845B0" w:rsidRDefault="002C5A7A" w:rsidP="00BC062C">
            <w:pPr>
              <w:rPr>
                <w:color w:val="000000"/>
              </w:rPr>
            </w:pPr>
            <w:r w:rsidRPr="009845B0">
              <w:rPr>
                <w:color w:val="000000"/>
              </w:rPr>
              <w:t>224</w:t>
            </w:r>
          </w:p>
        </w:tc>
        <w:tc>
          <w:tcPr>
            <w:tcW w:w="1350" w:type="dxa"/>
          </w:tcPr>
          <w:p w:rsidR="002C5A7A" w:rsidRPr="009845B0" w:rsidRDefault="002C5A7A" w:rsidP="00BC062C">
            <w:pPr>
              <w:rPr>
                <w:color w:val="000000"/>
              </w:rPr>
            </w:pPr>
            <w:r w:rsidRPr="009845B0">
              <w:rPr>
                <w:color w:val="000000"/>
              </w:rPr>
              <w:t>0050(4)(b)</w:t>
            </w:r>
          </w:p>
        </w:tc>
        <w:tc>
          <w:tcPr>
            <w:tcW w:w="4860" w:type="dxa"/>
          </w:tcPr>
          <w:p w:rsidR="002C5A7A" w:rsidRDefault="002C5A7A" w:rsidP="007B64D8">
            <w:pPr>
              <w:rPr>
                <w:color w:val="000000"/>
              </w:rPr>
            </w:pPr>
            <w:r>
              <w:rPr>
                <w:color w:val="000000"/>
              </w:rPr>
              <w:t>Change to:</w:t>
            </w:r>
          </w:p>
          <w:p w:rsidR="002C5A7A" w:rsidRPr="009845B0" w:rsidRDefault="002C5A7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2C5A7A" w:rsidRPr="009845B0" w:rsidRDefault="002C5A7A" w:rsidP="00BC062C">
            <w:r w:rsidRPr="009845B0">
              <w:t xml:space="preserve">340-224-0050 applies to federal major sources, which are defined as 100 tpy sources in nonattainment areas. This language </w:t>
            </w:r>
            <w:r w:rsidR="00470E69">
              <w:t>“</w:t>
            </w:r>
            <w:r w:rsidR="00470E69" w:rsidRPr="00470E69">
              <w:t>that emits or has the potential to emit 100 tons per year or more of any regulated pollutant</w:t>
            </w:r>
            <w:r w:rsidR="00470E69">
              <w:t>”</w:t>
            </w:r>
            <w:r w:rsidR="00470E69" w:rsidRPr="00470E69">
              <w:t xml:space="preserve"> </w:t>
            </w:r>
            <w:r w:rsidRPr="009845B0">
              <w:t xml:space="preserve">is not necessary. </w:t>
            </w:r>
          </w:p>
        </w:tc>
        <w:tc>
          <w:tcPr>
            <w:tcW w:w="787" w:type="dxa"/>
          </w:tcPr>
          <w:p w:rsidR="002C5A7A" w:rsidRPr="006E233D" w:rsidRDefault="002C5A7A" w:rsidP="0066018C">
            <w:pPr>
              <w:jc w:val="center"/>
            </w:pPr>
            <w:r w:rsidRPr="009845B0">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2C5A7A" w:rsidRPr="003B09BE" w:rsidRDefault="002C5A7A" w:rsidP="003B09BE">
            <w:pPr>
              <w:rPr>
                <w:bCs/>
              </w:rPr>
            </w:pPr>
            <w:r w:rsidRPr="005A5027">
              <w:rPr>
                <w:bCs/>
                <w:sz w:val="24"/>
                <w:szCs w:val="24"/>
              </w:rPr>
              <w:t>“</w:t>
            </w:r>
            <w:r w:rsidRPr="003B09BE">
              <w:rPr>
                <w:bCs/>
              </w:rPr>
              <w:t xml:space="preserve">Within a designated reattainment area, proposed federal major sources and major modifications at federal major </w:t>
            </w:r>
            <w:r w:rsidRPr="003B09BE">
              <w:rPr>
                <w:bCs/>
              </w:rPr>
              <w:lastRenderedPageBreak/>
              <w:t xml:space="preserve">sources of a reattainment pollutant, including VOC or NOx in a designated ozone area and NOx or SO2 in a designated PM2.5 area, must meet the requirements listed below:  </w:t>
            </w:r>
          </w:p>
          <w:p w:rsidR="002C5A7A" w:rsidRPr="003B09BE" w:rsidRDefault="002C5A7A" w:rsidP="003B09BE">
            <w:pPr>
              <w:rPr>
                <w:bCs/>
              </w:rPr>
            </w:pPr>
            <w:r w:rsidRPr="003B09BE">
              <w:rPr>
                <w:bCs/>
              </w:rPr>
              <w:t xml:space="preserve">(1) OAR 340-224-0050;  </w:t>
            </w:r>
          </w:p>
          <w:p w:rsidR="002C5A7A" w:rsidRPr="003B09BE" w:rsidRDefault="002C5A7A" w:rsidP="003B09BE">
            <w:pPr>
              <w:rPr>
                <w:bCs/>
              </w:rPr>
            </w:pPr>
            <w:r w:rsidRPr="003B09BE">
              <w:rPr>
                <w:bCs/>
              </w:rPr>
              <w:t>(2) Additional impacts analysis in OAR 340-225-0050(3); and</w:t>
            </w:r>
          </w:p>
          <w:p w:rsidR="002C5A7A" w:rsidRPr="005A5027" w:rsidRDefault="002C5A7A"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2C5A7A" w:rsidRPr="005A5027" w:rsidRDefault="002C5A7A"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w:t>
            </w:r>
            <w:r w:rsidRPr="005A5027">
              <w:lastRenderedPageBreak/>
              <w:t>NAAQS but before the maintenance plan can be 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before the area is redesignated as maintenance</w:t>
            </w:r>
            <w:r>
              <w:t xml:space="preserve">.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2C5A7A" w:rsidP="00EF1C7F">
            <w:r>
              <w:t>Simplification</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t>0060(2</w:t>
            </w:r>
            <w:r w:rsidRPr="005A5027">
              <w:t>)</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0060(1) &amp; (2)</w:t>
            </w:r>
          </w:p>
        </w:tc>
        <w:tc>
          <w:tcPr>
            <w:tcW w:w="4860" w:type="dxa"/>
            <w:tcBorders>
              <w:bottom w:val="double" w:sz="6" w:space="0" w:color="auto"/>
            </w:tcBorders>
          </w:tcPr>
          <w:p w:rsidR="002C5A7A" w:rsidRPr="005A5027" w:rsidRDefault="002C5A7A" w:rsidP="006F2F6D">
            <w:pPr>
              <w:rPr>
                <w:color w:val="000000"/>
              </w:rPr>
            </w:pPr>
            <w:r w:rsidRPr="005A5027">
              <w:rPr>
                <w:color w:val="000000"/>
              </w:rPr>
              <w:t>Replace existing requirements with:</w:t>
            </w:r>
          </w:p>
          <w:p w:rsidR="002C5A7A" w:rsidRPr="007A4981" w:rsidRDefault="002C5A7A"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2C5A7A" w:rsidRPr="007A4981" w:rsidRDefault="002C5A7A"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2C5A7A" w:rsidRPr="007A4981" w:rsidRDefault="002C5A7A"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2C5A7A" w:rsidRPr="007A4981" w:rsidRDefault="002C5A7A"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2C5A7A" w:rsidRPr="007A4981" w:rsidRDefault="002C5A7A"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2C5A7A" w:rsidRPr="005A5027" w:rsidRDefault="002C5A7A"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2C5A7A" w:rsidRPr="005A5027" w:rsidRDefault="002C5A7A" w:rsidP="00546A1A">
            <w:r w:rsidRPr="005A5027">
              <w:t>DEQ is redefining Net Air Quality Benefit for all sources in all areas</w:t>
            </w:r>
            <w:r>
              <w:t>. See “New Source Review Program Supplemental Discussion.”</w:t>
            </w:r>
          </w:p>
          <w:p w:rsidR="002C5A7A" w:rsidRPr="005A5027" w:rsidRDefault="002C5A7A" w:rsidP="00546A1A"/>
        </w:tc>
        <w:tc>
          <w:tcPr>
            <w:tcW w:w="787" w:type="dxa"/>
            <w:tcBorders>
              <w:bottom w:val="double" w:sz="6" w:space="0" w:color="auto"/>
            </w:tcBorders>
          </w:tcPr>
          <w:p w:rsidR="002C5A7A" w:rsidRPr="006E233D" w:rsidRDefault="002C5A7A" w:rsidP="0066018C">
            <w:pPr>
              <w:jc w:val="center"/>
            </w:pPr>
            <w:r>
              <w:t>SIP</w:t>
            </w:r>
          </w:p>
        </w:tc>
      </w:tr>
      <w:tr w:rsidR="002C5A7A" w:rsidRPr="005A5027" w:rsidTr="00BC5F1F">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0090(1)(d) &amp; (e)</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BC5F1F">
            <w:pPr>
              <w:rPr>
                <w:color w:val="000000"/>
              </w:rPr>
            </w:pPr>
            <w:r w:rsidRPr="005A5027">
              <w:rPr>
                <w:color w:val="000000"/>
              </w:rPr>
              <w:t>0060(2)(a)(A)  &amp; (B)</w:t>
            </w:r>
          </w:p>
        </w:tc>
        <w:tc>
          <w:tcPr>
            <w:tcW w:w="4860" w:type="dxa"/>
            <w:tcBorders>
              <w:bottom w:val="double" w:sz="6" w:space="0" w:color="auto"/>
            </w:tcBorders>
          </w:tcPr>
          <w:p w:rsidR="002C5A7A" w:rsidRPr="005A5027" w:rsidRDefault="002C5A7A"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2C5A7A" w:rsidRPr="005A5027" w:rsidRDefault="002C5A7A" w:rsidP="00BC5F1F">
            <w:pPr>
              <w:pStyle w:val="CommentText"/>
            </w:pPr>
            <w:r w:rsidRPr="005A5027">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Borders>
              <w:bottom w:val="double" w:sz="6" w:space="0" w:color="auto"/>
            </w:tcBorders>
          </w:tcPr>
          <w:p w:rsidR="002C5A7A" w:rsidRPr="006E233D" w:rsidRDefault="002C5A7A" w:rsidP="00BC5F1F">
            <w:r w:rsidRPr="006E233D">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 xml:space="preserve">(c) Obtain an allocation from a growth allowance. The requirements of this section may be met in whole or in part in an ozone or carbon monoxide maintenance area with an allocation by DEQ from a growth allowance, if </w:t>
            </w:r>
            <w:r w:rsidRPr="00E3098A">
              <w:rPr>
                <w:bCs/>
                <w:color w:val="000000"/>
              </w:rPr>
              <w:lastRenderedPageBreak/>
              <w:t>available, under the applicable maintenance plan in the 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0060(2)(e)</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Pr="006E233D" w:rsidRDefault="002C5A7A" w:rsidP="0025391C">
            <w:r w:rsidRPr="006E233D">
              <w:t>0060(2)(</w:t>
            </w:r>
            <w:r>
              <w:t>a</w:t>
            </w:r>
            <w:r w:rsidRPr="006E233D">
              <w:t>)</w:t>
            </w:r>
            <w:r>
              <w:t>(B)</w:t>
            </w:r>
          </w:p>
        </w:tc>
        <w:tc>
          <w:tcPr>
            <w:tcW w:w="4860" w:type="dxa"/>
            <w:tcBorders>
              <w:bottom w:val="double" w:sz="6" w:space="0" w:color="auto"/>
            </w:tcBorders>
          </w:tcPr>
          <w:p w:rsidR="002C5A7A" w:rsidRPr="006E233D" w:rsidRDefault="002C5A7A"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C5A7A" w:rsidRPr="006E233D" w:rsidRDefault="002C5A7A" w:rsidP="0025391C">
            <w:r>
              <w:t xml:space="preserve">Renumbered to </w:t>
            </w:r>
            <w:r w:rsidRPr="006E233D">
              <w:t>OAR 340-224-0060(2)(</w:t>
            </w:r>
            <w:r>
              <w:t>a</w:t>
            </w:r>
            <w:r w:rsidRPr="006E233D">
              <w:t>)</w:t>
            </w:r>
            <w:r>
              <w:t>(B)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2C5A7A" w:rsidRPr="000174E9" w:rsidRDefault="002C5A7A"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2C5A7A" w:rsidRPr="006E233D" w:rsidRDefault="002C5A7A" w:rsidP="00546A1A">
            <w:pPr>
              <w:rPr>
                <w:highlight w:val="magenta"/>
              </w:rPr>
            </w:pP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2C5A7A" w:rsidRPr="005A5027" w:rsidRDefault="002C5A7A"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2C5A7A" w:rsidRPr="005A5027" w:rsidRDefault="002C5A7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2C5A7A" w:rsidRPr="005A5027" w:rsidRDefault="002C5A7A" w:rsidP="00C62E0C">
            <w:pPr>
              <w:rPr>
                <w:color w:val="000000"/>
              </w:rPr>
            </w:pPr>
            <w:r>
              <w:rPr>
                <w:color w:val="000000"/>
              </w:rPr>
              <w:t>Add “at federal major sources” to “major modifications:</w:t>
            </w:r>
          </w:p>
        </w:tc>
        <w:tc>
          <w:tcPr>
            <w:tcW w:w="4320" w:type="dxa"/>
            <w:tcBorders>
              <w:bottom w:val="double" w:sz="6" w:space="0" w:color="auto"/>
            </w:tcBorders>
          </w:tcPr>
          <w:p w:rsidR="002C5A7A" w:rsidRPr="005A5027" w:rsidRDefault="002C5A7A" w:rsidP="00662B54">
            <w:r w:rsidRPr="005A5027">
              <w:t>C</w:t>
            </w:r>
            <w:r>
              <w:t>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Pr="00F47B39" w:rsidRDefault="002C5A7A"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2C5A7A" w:rsidRPr="005A5027" w:rsidRDefault="002C5A7A" w:rsidP="00C62E0C">
            <w:pPr>
              <w:rPr>
                <w:color w:val="000000"/>
              </w:rPr>
            </w:pP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2C5A7A" w:rsidRPr="0099426C" w:rsidRDefault="002C5A7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094DBC">
        <w:tc>
          <w:tcPr>
            <w:tcW w:w="918" w:type="dxa"/>
          </w:tcPr>
          <w:p w:rsidR="002C5A7A" w:rsidRDefault="002C5A7A" w:rsidP="00A65851">
            <w:r>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2C5A7A"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2C5A7A" w:rsidP="00C408C7">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2C5A7A" w:rsidP="004076B8">
            <w:pPr>
              <w:rPr>
                <w:color w:val="000000"/>
              </w:rPr>
            </w:pPr>
            <w:r>
              <w:rPr>
                <w:color w:val="000000"/>
              </w:rPr>
              <w:t>“</w:t>
            </w:r>
            <w:r w:rsidRPr="005338D2">
              <w:rPr>
                <w:color w:val="000000"/>
              </w:rPr>
              <w:t xml:space="preserve">(iii) </w:t>
            </w:r>
            <w:r w:rsidRPr="00E640C8">
              <w:rPr>
                <w:color w:val="000000"/>
              </w:rPr>
              <w:t xml:space="preserve">DEQ may allow the owner or operator to </w:t>
            </w:r>
            <w:r w:rsidRPr="00E640C8">
              <w:rPr>
                <w:color w:val="000000"/>
              </w:rPr>
              <w:lastRenderedPageBreak/>
              <w:t xml:space="preserve">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2C5A7A" w:rsidRPr="005A5027" w:rsidRDefault="002C5A7A" w:rsidP="004076B8">
            <w:r w:rsidRPr="005A5027">
              <w:lastRenderedPageBreak/>
              <w:t>Clarification</w:t>
            </w:r>
          </w:p>
        </w:tc>
        <w:tc>
          <w:tcPr>
            <w:tcW w:w="787" w:type="dxa"/>
            <w:tcBorders>
              <w:bottom w:val="double" w:sz="6" w:space="0" w:color="auto"/>
            </w:tcBorders>
          </w:tcPr>
          <w:p w:rsidR="002C5A7A" w:rsidRPr="006E233D" w:rsidRDefault="002C5A7A" w:rsidP="004076B8">
            <w:pPr>
              <w:jc w:val="center"/>
            </w:pPr>
            <w:r>
              <w:t>SIP</w:t>
            </w:r>
          </w:p>
        </w:tc>
      </w:tr>
      <w:tr w:rsidR="002C5A7A" w:rsidRPr="005A5027" w:rsidTr="00142A0B">
        <w:tc>
          <w:tcPr>
            <w:tcW w:w="918" w:type="dxa"/>
            <w:tcBorders>
              <w:bottom w:val="double" w:sz="6" w:space="0" w:color="auto"/>
            </w:tcBorders>
          </w:tcPr>
          <w:p w:rsidR="002C5A7A" w:rsidRPr="00FE294C" w:rsidRDefault="002C5A7A" w:rsidP="00142A0B">
            <w:r>
              <w:lastRenderedPageBreak/>
              <w:t>225</w:t>
            </w:r>
          </w:p>
        </w:tc>
        <w:tc>
          <w:tcPr>
            <w:tcW w:w="1350" w:type="dxa"/>
            <w:tcBorders>
              <w:bottom w:val="double" w:sz="6" w:space="0" w:color="auto"/>
            </w:tcBorders>
          </w:tcPr>
          <w:p w:rsidR="002C5A7A" w:rsidRPr="00FE294C" w:rsidRDefault="002C5A7A" w:rsidP="0079611E">
            <w:r>
              <w:t>0050(4)(a)(E)</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2C5A7A" w:rsidP="00142A0B">
            <w:r>
              <w:t>0070(1)(a)(A)(iv</w:t>
            </w:r>
            <w:r w:rsidRPr="00FE294C">
              <w:t>)</w:t>
            </w:r>
          </w:p>
        </w:tc>
        <w:tc>
          <w:tcPr>
            <w:tcW w:w="4860" w:type="dxa"/>
            <w:tcBorders>
              <w:bottom w:val="double" w:sz="6" w:space="0" w:color="auto"/>
            </w:tcBorders>
          </w:tcPr>
          <w:p w:rsidR="002C5A7A" w:rsidRPr="00FE294C" w:rsidRDefault="002C5A7A"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2C5A7A" w:rsidRPr="00FE294C" w:rsidRDefault="002C5A7A" w:rsidP="00E640C8">
            <w:r>
              <w:t>Restructure</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2C5A7A" w:rsidRPr="005A5027" w:rsidTr="00782B92">
        <w:tc>
          <w:tcPr>
            <w:tcW w:w="918" w:type="dxa"/>
            <w:tcBorders>
              <w:bottom w:val="double" w:sz="6" w:space="0" w:color="auto"/>
            </w:tcBorders>
          </w:tcPr>
          <w:p w:rsidR="002C5A7A" w:rsidRPr="005A5027" w:rsidRDefault="002C5A7A" w:rsidP="00782B92">
            <w:r>
              <w:t>NA</w:t>
            </w:r>
          </w:p>
        </w:tc>
        <w:tc>
          <w:tcPr>
            <w:tcW w:w="1350" w:type="dxa"/>
            <w:tcBorders>
              <w:bottom w:val="double" w:sz="6" w:space="0" w:color="auto"/>
            </w:tcBorders>
          </w:tcPr>
          <w:p w:rsidR="002C5A7A" w:rsidRPr="005A5027" w:rsidRDefault="002C5A7A" w:rsidP="00E857C9">
            <w:r>
              <w:t>NA</w:t>
            </w:r>
          </w:p>
        </w:tc>
        <w:tc>
          <w:tcPr>
            <w:tcW w:w="990" w:type="dxa"/>
            <w:tcBorders>
              <w:bottom w:val="double" w:sz="6" w:space="0" w:color="auto"/>
            </w:tcBorders>
          </w:tcPr>
          <w:p w:rsidR="002C5A7A" w:rsidRPr="005A5027" w:rsidRDefault="002C5A7A" w:rsidP="00782B92">
            <w:pPr>
              <w:rPr>
                <w:color w:val="000000"/>
              </w:rPr>
            </w:pPr>
            <w:r w:rsidRPr="005A5027">
              <w:rPr>
                <w:color w:val="000000"/>
              </w:rPr>
              <w:t>224</w:t>
            </w:r>
          </w:p>
        </w:tc>
        <w:tc>
          <w:tcPr>
            <w:tcW w:w="1350" w:type="dxa"/>
            <w:tcBorders>
              <w:bottom w:val="double" w:sz="6" w:space="0" w:color="auto"/>
            </w:tcBorders>
          </w:tcPr>
          <w:p w:rsidR="002C5A7A" w:rsidRPr="005A5027" w:rsidRDefault="002C5A7A"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2C5A7A" w:rsidRDefault="002C5A7A" w:rsidP="00782B92">
            <w:r>
              <w:t>Add:</w:t>
            </w:r>
          </w:p>
          <w:p w:rsidR="002C5A7A" w:rsidRPr="005A5027" w:rsidRDefault="002C5A7A"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2C5A7A" w:rsidRPr="005A5027" w:rsidRDefault="002C5A7A" w:rsidP="00782B92">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76F7B">
        <w:tc>
          <w:tcPr>
            <w:tcW w:w="918" w:type="dxa"/>
            <w:tcBorders>
              <w:bottom w:val="double" w:sz="6" w:space="0" w:color="auto"/>
            </w:tcBorders>
          </w:tcPr>
          <w:p w:rsidR="002C5A7A" w:rsidRPr="005A5027" w:rsidRDefault="002C5A7A" w:rsidP="00076F7B">
            <w:r w:rsidRPr="005A5027">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2C5A7A" w:rsidRPr="005A5027" w:rsidRDefault="002C5A7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2C5A7A" w:rsidRPr="005A5027" w:rsidTr="003E093C">
        <w:tc>
          <w:tcPr>
            <w:tcW w:w="918" w:type="dxa"/>
            <w:tcBorders>
              <w:bottom w:val="double" w:sz="6" w:space="0" w:color="auto"/>
            </w:tcBorders>
          </w:tcPr>
          <w:p w:rsidR="002C5A7A" w:rsidRPr="005A5027" w:rsidRDefault="002C5A7A" w:rsidP="003E093C">
            <w:r w:rsidRPr="005A5027">
              <w:t>225</w:t>
            </w:r>
          </w:p>
        </w:tc>
        <w:tc>
          <w:tcPr>
            <w:tcW w:w="1350" w:type="dxa"/>
            <w:tcBorders>
              <w:bottom w:val="double" w:sz="6" w:space="0" w:color="auto"/>
            </w:tcBorders>
          </w:tcPr>
          <w:p w:rsidR="002C5A7A" w:rsidRPr="005A5027" w:rsidRDefault="002C5A7A" w:rsidP="003E093C">
            <w:r w:rsidRPr="005A5027">
              <w:t>0050(4)</w:t>
            </w:r>
            <w:r>
              <w:t>(a)(C)(iv)</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2C5A7A" w:rsidP="00C4407F">
            <w:pPr>
              <w:rPr>
                <w:color w:val="000000"/>
              </w:rPr>
            </w:pPr>
            <w:r>
              <w:rPr>
                <w:color w:val="000000"/>
              </w:rPr>
              <w:t>0070(1)(a)(B)(iv)</w:t>
            </w:r>
          </w:p>
        </w:tc>
        <w:tc>
          <w:tcPr>
            <w:tcW w:w="4860" w:type="dxa"/>
            <w:tcBorders>
              <w:bottom w:val="double" w:sz="6" w:space="0" w:color="auto"/>
            </w:tcBorders>
          </w:tcPr>
          <w:p w:rsidR="002C5A7A" w:rsidRPr="005A5027" w:rsidRDefault="002C5A7A" w:rsidP="003E093C">
            <w:pPr>
              <w:rPr>
                <w:color w:val="000000"/>
              </w:rPr>
            </w:pPr>
            <w:r>
              <w:rPr>
                <w:color w:val="000000"/>
              </w:rPr>
              <w:t>Change the PM2.5 significant monitoring concentration from 4 ug/m3 to 0 ug/m3</w:t>
            </w:r>
          </w:p>
        </w:tc>
        <w:tc>
          <w:tcPr>
            <w:tcW w:w="4320" w:type="dxa"/>
            <w:tcBorders>
              <w:bottom w:val="double" w:sz="6" w:space="0" w:color="auto"/>
            </w:tcBorders>
          </w:tcPr>
          <w:p w:rsidR="002C5A7A" w:rsidRDefault="002C5A7A"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2C5A7A" w:rsidRDefault="002C5A7A" w:rsidP="0091343F">
            <w:pPr>
              <w:shd w:val="clear" w:color="auto" w:fill="FFFFFF"/>
            </w:pPr>
          </w:p>
          <w:p w:rsidR="002C5A7A" w:rsidRPr="00C4407F" w:rsidRDefault="002C5A7A"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2C5A7A" w:rsidRPr="00C4407F" w:rsidRDefault="002C5A7A" w:rsidP="00C4407F">
            <w:pPr>
              <w:shd w:val="clear" w:color="auto" w:fill="FFFFFF"/>
            </w:pPr>
            <w:r w:rsidRPr="00C4407F">
              <w:t>permits that contradict the holding of</w:t>
            </w:r>
            <w:r>
              <w:t xml:space="preserve"> </w:t>
            </w:r>
            <w:r w:rsidRPr="00C4407F">
              <w:t xml:space="preserve">the Court as </w:t>
            </w:r>
            <w:r w:rsidRPr="00C4407F">
              <w:lastRenderedPageBreak/>
              <w:t>to the statutory monitoring</w:t>
            </w:r>
            <w:r>
              <w:t xml:space="preserve"> </w:t>
            </w:r>
            <w:r w:rsidRPr="00C4407F">
              <w:t>requirements. Both sections</w:t>
            </w:r>
            <w:r>
              <w:t xml:space="preserve"> </w:t>
            </w:r>
            <w:r w:rsidRPr="00C4407F">
              <w:t>51.166(i)(5)(iii) and 52.21(i)(5)(iii)</w:t>
            </w:r>
          </w:p>
          <w:p w:rsidR="002C5A7A" w:rsidRPr="00C4407F" w:rsidRDefault="002C5A7A"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2C5A7A" w:rsidRPr="00C4407F" w:rsidRDefault="002C5A7A" w:rsidP="00C4407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2C5A7A" w:rsidRPr="00C4407F" w:rsidRDefault="002C5A7A" w:rsidP="00C4407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2C5A7A" w:rsidRPr="00C4407F" w:rsidRDefault="002C5A7A" w:rsidP="00C4407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2C5A7A" w:rsidRPr="00C4407F" w:rsidRDefault="002C5A7A" w:rsidP="00C4407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2C5A7A" w:rsidRPr="005A5027" w:rsidRDefault="002C5A7A" w:rsidP="00C4407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C966A6">
        <w:tc>
          <w:tcPr>
            <w:tcW w:w="918" w:type="dxa"/>
            <w:tcBorders>
              <w:bottom w:val="double" w:sz="6" w:space="0" w:color="auto"/>
            </w:tcBorders>
          </w:tcPr>
          <w:p w:rsidR="002C5A7A" w:rsidRPr="005A5027" w:rsidRDefault="002C5A7A" w:rsidP="00C966A6">
            <w:r w:rsidRPr="005A5027">
              <w:lastRenderedPageBreak/>
              <w:t>225</w:t>
            </w:r>
          </w:p>
        </w:tc>
        <w:tc>
          <w:tcPr>
            <w:tcW w:w="1350" w:type="dxa"/>
            <w:tcBorders>
              <w:bottom w:val="double" w:sz="6" w:space="0" w:color="auto"/>
            </w:tcBorders>
          </w:tcPr>
          <w:p w:rsidR="002C5A7A" w:rsidRPr="005A5027" w:rsidRDefault="002C5A7A" w:rsidP="00C966A6">
            <w:r w:rsidRPr="005A5027">
              <w:t>0050(4)</w:t>
            </w:r>
          </w:p>
        </w:tc>
        <w:tc>
          <w:tcPr>
            <w:tcW w:w="990" w:type="dxa"/>
            <w:tcBorders>
              <w:bottom w:val="double" w:sz="6" w:space="0" w:color="auto"/>
            </w:tcBorders>
          </w:tcPr>
          <w:p w:rsidR="002C5A7A" w:rsidRPr="005A5027" w:rsidRDefault="002C5A7A" w:rsidP="00C966A6">
            <w:pPr>
              <w:rPr>
                <w:color w:val="000000"/>
              </w:rPr>
            </w:pPr>
            <w:r w:rsidRPr="005A5027">
              <w:rPr>
                <w:color w:val="000000"/>
              </w:rPr>
              <w:t>224</w:t>
            </w:r>
          </w:p>
        </w:tc>
        <w:tc>
          <w:tcPr>
            <w:tcW w:w="1350" w:type="dxa"/>
            <w:tcBorders>
              <w:bottom w:val="double" w:sz="6" w:space="0" w:color="auto"/>
            </w:tcBorders>
          </w:tcPr>
          <w:p w:rsidR="002C5A7A" w:rsidRPr="005A5027" w:rsidRDefault="002C5A7A" w:rsidP="00C966A6">
            <w:pPr>
              <w:rPr>
                <w:color w:val="000000"/>
              </w:rPr>
            </w:pPr>
            <w:r w:rsidRPr="005A5027">
              <w:rPr>
                <w:color w:val="000000"/>
              </w:rPr>
              <w:t>0070(1)(a)(C)</w:t>
            </w:r>
          </w:p>
        </w:tc>
        <w:tc>
          <w:tcPr>
            <w:tcW w:w="4860" w:type="dxa"/>
            <w:tcBorders>
              <w:bottom w:val="double" w:sz="6" w:space="0" w:color="auto"/>
            </w:tcBorders>
          </w:tcPr>
          <w:p w:rsidR="002C5A7A" w:rsidRPr="005A5027" w:rsidRDefault="002C5A7A" w:rsidP="00C966A6">
            <w:pPr>
              <w:rPr>
                <w:color w:val="000000"/>
              </w:rPr>
            </w:pPr>
            <w:r w:rsidRPr="005A5027">
              <w:rPr>
                <w:color w:val="000000"/>
              </w:rPr>
              <w:t>Change to</w:t>
            </w:r>
            <w:r>
              <w:rPr>
                <w:color w:val="000000"/>
              </w:rPr>
              <w:t>:</w:t>
            </w:r>
            <w:r w:rsidRPr="005A5027">
              <w:rPr>
                <w:color w:val="000000"/>
              </w:rPr>
              <w:t xml:space="preserve"> </w:t>
            </w:r>
          </w:p>
          <w:p w:rsidR="002C5A7A" w:rsidRPr="005A5027" w:rsidRDefault="002C5A7A"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2C5A7A" w:rsidRPr="005A5027" w:rsidRDefault="002C5A7A"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2C5A7A" w:rsidRPr="005A5027" w:rsidRDefault="002C5A7A"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 xml:space="preserve">DEQ has not allowed </w:t>
            </w:r>
            <w:r w:rsidRPr="005A5027">
              <w:lastRenderedPageBreak/>
              <w:t>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2C5A7A" w:rsidRPr="006E233D" w:rsidRDefault="002C5A7A" w:rsidP="00C966A6">
            <w:pPr>
              <w:jc w:val="center"/>
            </w:pPr>
            <w:r>
              <w:lastRenderedPageBreak/>
              <w:t>SIP</w:t>
            </w:r>
          </w:p>
        </w:tc>
      </w:tr>
      <w:tr w:rsidR="002C5A7A" w:rsidRPr="006E233D" w:rsidTr="00546A1A">
        <w:tc>
          <w:tcPr>
            <w:tcW w:w="918" w:type="dxa"/>
            <w:tcBorders>
              <w:bottom w:val="double" w:sz="6" w:space="0" w:color="auto"/>
            </w:tcBorders>
          </w:tcPr>
          <w:p w:rsidR="002C5A7A" w:rsidRPr="005A5027" w:rsidRDefault="002C5A7A" w:rsidP="00BC5F1F">
            <w:r w:rsidRPr="005A5027">
              <w:lastRenderedPageBreak/>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Pr="006E233D" w:rsidRDefault="002C5A7A" w:rsidP="00A32BA6">
            <w:pPr>
              <w:rPr>
                <w:color w:val="000000"/>
              </w:rPr>
            </w:pPr>
            <w:r>
              <w:rPr>
                <w:color w:val="000000"/>
              </w:rPr>
              <w:t>Add title Post-Construction Air Quality Monitoring</w:t>
            </w:r>
          </w:p>
        </w:tc>
        <w:tc>
          <w:tcPr>
            <w:tcW w:w="4320" w:type="dxa"/>
          </w:tcPr>
          <w:p w:rsidR="002C5A7A" w:rsidRPr="006E233D" w:rsidRDefault="002C5A7A" w:rsidP="00BC5F1F">
            <w:pPr>
              <w:rPr>
                <w:bCs/>
              </w:rPr>
            </w:pPr>
            <w:r>
              <w:rPr>
                <w:bCs/>
              </w:rPr>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Pr="006E233D" w:rsidRDefault="002C5A7A"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2C5A7A" w:rsidRPr="006E233D" w:rsidRDefault="002C5A7A" w:rsidP="00F53C99">
            <w:pPr>
              <w:shd w:val="clear" w:color="auto" w:fill="FFFFFF"/>
            </w:pPr>
            <w:r w:rsidRPr="006E233D">
              <w:t>Correction</w:t>
            </w:r>
          </w:p>
        </w:tc>
        <w:tc>
          <w:tcPr>
            <w:tcW w:w="787" w:type="dxa"/>
            <w:tcBorders>
              <w:bottom w:val="double" w:sz="6" w:space="0" w:color="auto"/>
            </w:tcBorders>
          </w:tcPr>
          <w:p w:rsidR="002C5A7A" w:rsidRPr="006E233D" w:rsidRDefault="002C5A7A" w:rsidP="00F53C99">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2C5A7A" w:rsidRPr="006E233D" w:rsidRDefault="002C5A7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lastRenderedPageBreak/>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2C5A7A" w:rsidRPr="006E233D" w:rsidRDefault="002C5A7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t>SIP</w:t>
            </w:r>
          </w:p>
        </w:tc>
      </w:tr>
      <w:tr w:rsidR="002C5A7A" w:rsidRPr="006E233D" w:rsidTr="00546A1A">
        <w:tc>
          <w:tcPr>
            <w:tcW w:w="918" w:type="dxa"/>
          </w:tcPr>
          <w:p w:rsidR="002C5A7A" w:rsidRPr="005C76B5" w:rsidRDefault="002C5A7A" w:rsidP="00E73350">
            <w:r w:rsidRPr="005C76B5">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2C5A7A" w:rsidRPr="005C76B5" w:rsidRDefault="002C5A7A"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Pr="00500C5B">
              <w:t xml:space="preserve">340-224-0510 </w:t>
            </w:r>
            <w:r>
              <w:t xml:space="preserve"> and 340-224-054</w:t>
            </w:r>
            <w:r w:rsidRPr="005C76B5">
              <w:t>0 for non-ozone areas, whichever is applicable.”</w:t>
            </w:r>
          </w:p>
        </w:tc>
        <w:tc>
          <w:tcPr>
            <w:tcW w:w="4320" w:type="dxa"/>
          </w:tcPr>
          <w:p w:rsidR="002C5A7A" w:rsidRPr="006E233D" w:rsidRDefault="002C5A7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lastRenderedPageBreak/>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FC7DA3">
            <w:pPr>
              <w:rPr>
                <w:color w:val="000000"/>
              </w:rPr>
            </w:pPr>
            <w:r>
              <w:rPr>
                <w:color w:val="000000"/>
              </w:rPr>
              <w:t>0520(1)</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2C5A7A" w:rsidRPr="005A5027" w:rsidRDefault="002C5A7A" w:rsidP="00540780">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2C5A7A" w:rsidRDefault="002C5A7A" w:rsidP="00540780">
            <w:pPr>
              <w:rPr>
                <w:bCs/>
                <w:color w:val="000000"/>
              </w:rPr>
            </w:pPr>
            <w:r>
              <w:rPr>
                <w:bCs/>
                <w:color w:val="000000"/>
              </w:rPr>
              <w:t>Move the definition of “ozone precursor distance here.</w:t>
            </w:r>
          </w:p>
          <w:p w:rsidR="002C5A7A" w:rsidRPr="005A5027" w:rsidRDefault="002C5A7A" w:rsidP="00540780">
            <w:pPr>
              <w:rPr>
                <w:bCs/>
                <w:color w:val="000000"/>
              </w:rPr>
            </w:pPr>
            <w:r>
              <w:rPr>
                <w:bCs/>
                <w:color w:val="000000"/>
              </w:rPr>
              <w:lastRenderedPageBreak/>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2C5A7A" w:rsidRPr="005A5027" w:rsidRDefault="002C5A7A" w:rsidP="00540780">
            <w:r>
              <w:lastRenderedPageBreak/>
              <w:t>Restructure</w:t>
            </w:r>
          </w:p>
        </w:tc>
        <w:tc>
          <w:tcPr>
            <w:tcW w:w="787" w:type="dxa"/>
            <w:tcBorders>
              <w:bottom w:val="double" w:sz="6" w:space="0" w:color="auto"/>
            </w:tcBorders>
          </w:tcPr>
          <w:p w:rsidR="002C5A7A" w:rsidRPr="006E233D" w:rsidRDefault="002C5A7A" w:rsidP="0066018C">
            <w:pPr>
              <w:jc w:val="center"/>
            </w:pPr>
            <w:r>
              <w:t>SIP</w:t>
            </w:r>
          </w:p>
        </w:tc>
      </w:tr>
      <w:tr w:rsidR="002C5A7A" w:rsidRPr="00184303" w:rsidTr="00B632DB">
        <w:tc>
          <w:tcPr>
            <w:tcW w:w="918" w:type="dxa"/>
            <w:tcBorders>
              <w:bottom w:val="double" w:sz="6" w:space="0" w:color="auto"/>
            </w:tcBorders>
          </w:tcPr>
          <w:p w:rsidR="002C5A7A" w:rsidRPr="00BC7A1A" w:rsidRDefault="002C5A7A" w:rsidP="00B632DB">
            <w:r w:rsidRPr="00BC7A1A">
              <w:lastRenderedPageBreak/>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C5A7A" w:rsidRPr="00BC7A1A" w:rsidRDefault="002C5A7A" w:rsidP="00B632DB">
            <w:pPr>
              <w:rPr>
                <w:bCs/>
                <w:color w:val="000000"/>
              </w:rPr>
            </w:pPr>
            <w:r w:rsidRPr="00BC7A1A">
              <w:rPr>
                <w:bCs/>
                <w:color w:val="000000"/>
              </w:rPr>
              <w:t xml:space="preserve">“(a) The Formula Method. </w:t>
            </w:r>
          </w:p>
          <w:p w:rsidR="002C5A7A" w:rsidRPr="00BC7A1A" w:rsidRDefault="002C5A7A" w:rsidP="00B632DB">
            <w:pPr>
              <w:rPr>
                <w:bCs/>
                <w:color w:val="000000"/>
              </w:rPr>
            </w:pPr>
            <w:r w:rsidRPr="00BC7A1A">
              <w:rPr>
                <w:bCs/>
                <w:color w:val="000000"/>
              </w:rPr>
              <w:t xml:space="preserve">(A) For sources with complete permit applications submitted before January 1, 2003: D = 30 km </w:t>
            </w:r>
          </w:p>
          <w:p w:rsidR="002C5A7A" w:rsidRPr="00BC7A1A" w:rsidRDefault="002C5A7A" w:rsidP="00B632DB">
            <w:pPr>
              <w:rPr>
                <w:bCs/>
                <w:color w:val="000000"/>
              </w:rPr>
            </w:pPr>
            <w:r w:rsidRPr="00BC7A1A">
              <w:rPr>
                <w:bCs/>
                <w:color w:val="000000"/>
              </w:rPr>
              <w:t xml:space="preserve">(B) For sources with complete permit applications submitted on or after January 1, 2003: D = (Q/40) x 30 km. </w:t>
            </w:r>
          </w:p>
          <w:p w:rsidR="002C5A7A" w:rsidRPr="00BC7A1A" w:rsidRDefault="002C5A7A"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2C5A7A" w:rsidRPr="00BC7A1A" w:rsidRDefault="002C5A7A"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2C5A7A" w:rsidRPr="00BC7A1A" w:rsidRDefault="002C5A7A" w:rsidP="00B632DB">
            <w:r w:rsidRPr="00BC7A1A">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C5A7A" w:rsidRDefault="002C5A7A"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2C5A7A" w:rsidRPr="005A5027" w:rsidRDefault="002C5A7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)(a)</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Delete “nonattainment”</w:t>
            </w:r>
          </w:p>
        </w:tc>
        <w:tc>
          <w:tcPr>
            <w:tcW w:w="4320" w:type="dxa"/>
            <w:tcBorders>
              <w:bottom w:val="double" w:sz="6" w:space="0" w:color="auto"/>
            </w:tcBorders>
          </w:tcPr>
          <w:p w:rsidR="002C5A7A" w:rsidRPr="005A5027" w:rsidRDefault="002C5A7A"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0520(3</w:t>
            </w:r>
            <w:r w:rsidRPr="005A5027">
              <w:rPr>
                <w:color w:val="000000"/>
              </w:rPr>
              <w:t>)</w:t>
            </w:r>
            <w:r>
              <w:rPr>
                <w:color w:val="000000"/>
              </w:rPr>
              <w:t>(</w:t>
            </w:r>
            <w:r w:rsidRPr="005A5027">
              <w:rPr>
                <w:color w:val="000000"/>
              </w:rPr>
              <w:t>d)</w:t>
            </w:r>
          </w:p>
        </w:tc>
        <w:tc>
          <w:tcPr>
            <w:tcW w:w="4860" w:type="dxa"/>
            <w:tcBorders>
              <w:bottom w:val="double" w:sz="6" w:space="0" w:color="auto"/>
            </w:tcBorders>
          </w:tcPr>
          <w:p w:rsidR="002C5A7A" w:rsidRPr="005A5027" w:rsidRDefault="002C5A7A"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w:t>
            </w:r>
            <w:r>
              <w:rPr>
                <w:bCs/>
                <w:color w:val="000000"/>
              </w:rPr>
              <w:lastRenderedPageBreak/>
              <w:t>ozone precursor offsets is included in section (4).</w:t>
            </w:r>
          </w:p>
        </w:tc>
        <w:tc>
          <w:tcPr>
            <w:tcW w:w="4320" w:type="dxa"/>
            <w:tcBorders>
              <w:bottom w:val="double" w:sz="6" w:space="0" w:color="auto"/>
            </w:tcBorders>
          </w:tcPr>
          <w:p w:rsidR="002C5A7A" w:rsidRPr="005A5027" w:rsidRDefault="002C5A7A" w:rsidP="00B632DB">
            <w:r w:rsidRPr="005A5027">
              <w:lastRenderedPageBreak/>
              <w:t>Correction</w:t>
            </w:r>
            <w:r>
              <w:t xml:space="preserve"> and restructure</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lastRenderedPageBreak/>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2C5A7A" w:rsidRPr="005A5027" w:rsidRDefault="002C5A7A" w:rsidP="00853519">
            <w:r>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2C5A7A" w:rsidRPr="005A5027" w:rsidRDefault="002C5A7A" w:rsidP="00B632DB">
            <w:r>
              <w:t>Clarification</w:t>
            </w:r>
          </w:p>
        </w:tc>
        <w:tc>
          <w:tcPr>
            <w:tcW w:w="787" w:type="dxa"/>
            <w:tcBorders>
              <w:bottom w:val="double" w:sz="6" w:space="0" w:color="auto"/>
            </w:tcBorders>
          </w:tcPr>
          <w:p w:rsidR="002C5A7A"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t xml:space="preserve">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w:t>
            </w:r>
            <w:r w:rsidRPr="005A5027">
              <w:lastRenderedPageBreak/>
              <w:t>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540780">
        <w:tc>
          <w:tcPr>
            <w:tcW w:w="918" w:type="dxa"/>
            <w:tcBorders>
              <w:bottom w:val="double" w:sz="6" w:space="0" w:color="auto"/>
            </w:tcBorders>
          </w:tcPr>
          <w:p w:rsidR="002C5A7A" w:rsidRPr="005A5027" w:rsidRDefault="002C5A7A" w:rsidP="00540780">
            <w:r w:rsidRPr="005A5027">
              <w:lastRenderedPageBreak/>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2C5A7A" w:rsidRPr="005A5027" w:rsidRDefault="002C5A7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 xml:space="preserve">(10) "Source impact area" means a circular area with a radius extending from the source to the largest distance to where predicted impacts from the source or modification equal or exceed the Class II Significant Impact Levels set </w:t>
            </w:r>
            <w:r w:rsidRPr="00076F7B">
              <w:rPr>
                <w:color w:val="000000"/>
              </w:rPr>
              <w:lastRenderedPageBreak/>
              <w:t>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lastRenderedPageBreak/>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“[ED. NOTE: Tables referenced are not included in rule text. Click here for PDF copy of table(s).]”</w:t>
            </w:r>
          </w:p>
        </w:tc>
        <w:tc>
          <w:tcPr>
            <w:tcW w:w="4320" w:type="dxa"/>
          </w:tcPr>
          <w:p w:rsidR="002C5A7A" w:rsidRPr="005A5027" w:rsidRDefault="002C5A7A" w:rsidP="00B43E1F">
            <w:r w:rsidRPr="005A5027">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2C5A7A" w:rsidRPr="005A5027" w:rsidRDefault="002C5A7A" w:rsidP="00C25130">
            <w:r>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2C5A7A" w:rsidRPr="006E233D" w:rsidRDefault="002C5A7A" w:rsidP="00292B87">
            <w:r w:rsidRPr="006E233D">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For determining compliance with the maintenance area limits established in OAR 340-202-</w:t>
            </w:r>
            <w:r w:rsidRPr="00F53C99">
              <w:rPr>
                <w:color w:val="000000"/>
              </w:rPr>
              <w:lastRenderedPageBreak/>
              <w:t xml:space="preserve">0225,  the </w:t>
            </w:r>
            <w:r>
              <w:rPr>
                <w:color w:val="000000"/>
              </w:rPr>
              <w:t>following methods must be used:</w:t>
            </w:r>
            <w:r w:rsidRPr="006E233D">
              <w:rPr>
                <w:color w:val="000000"/>
              </w:rPr>
              <w:t>”</w:t>
            </w:r>
          </w:p>
        </w:tc>
        <w:tc>
          <w:tcPr>
            <w:tcW w:w="4320" w:type="dxa"/>
          </w:tcPr>
          <w:p w:rsidR="002C5A7A" w:rsidRPr="006E233D" w:rsidRDefault="002C5A7A" w:rsidP="00895AC5">
            <w:r>
              <w:lastRenderedPageBreak/>
              <w:t>Clarification and c</w:t>
            </w:r>
            <w:r w:rsidRPr="006E233D">
              <w:t>orrection</w:t>
            </w:r>
            <w:r>
              <w:t xml:space="preserve">. Reference the modeling required in OAR 340-225-0050 for compliance with the NAAQS and PSD increments. </w:t>
            </w:r>
            <w:r w:rsidRPr="0052092F">
              <w:rPr>
                <w:bCs/>
              </w:rPr>
              <w:t xml:space="preserve">DEQ has added the requirement that the new or modified source must not cause or contribute to a new violation of an ambient air quality standard or </w:t>
            </w:r>
            <w:r w:rsidRPr="0052092F">
              <w:rPr>
                <w:bCs/>
              </w:rPr>
              <w:lastRenderedPageBreak/>
              <w:t>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lastRenderedPageBreak/>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0045(2)(b) and (c)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Delete (b) for demonstrating compliance with the NAAQS and (c) for demonstrating compliance with the PSD increments</w:t>
            </w:r>
          </w:p>
        </w:tc>
        <w:tc>
          <w:tcPr>
            <w:tcW w:w="4320" w:type="dxa"/>
          </w:tcPr>
          <w:p w:rsidR="002C5A7A" w:rsidRPr="006E233D" w:rsidRDefault="002C5A7A" w:rsidP="00FE68CE">
            <w:r w:rsidRPr="006E233D">
              <w:t>These requirements are less restrictive than the maintenance area limits in OAR 340-202-0225 plus they are already included in OAR 340-225-0050.</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 xml:space="preserve">(1) For each regulated pollutant and its precursors, a single source impact analysis is sufficient to show compliance with the ambient air quality standards and </w:t>
            </w:r>
            <w:r w:rsidRPr="00702231">
              <w:rPr>
                <w:color w:val="000000"/>
              </w:rPr>
              <w:lastRenderedPageBreak/>
              <w:t>PSD increments if:</w:t>
            </w:r>
          </w:p>
          <w:p w:rsidR="002C5A7A" w:rsidRPr="00702231" w:rsidRDefault="002C5A7A"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sidR="002412C1">
              <w:rPr>
                <w:bCs/>
              </w:rPr>
              <w:t>gnificant Impact Levels</w:t>
            </w:r>
            <w:r>
              <w:rPr>
                <w:bCs/>
              </w:rPr>
              <w:t>.</w:t>
            </w:r>
          </w:p>
        </w:tc>
        <w:tc>
          <w:tcPr>
            <w:tcW w:w="787" w:type="dxa"/>
          </w:tcPr>
          <w:p w:rsidR="002C5A7A" w:rsidRDefault="002C5A7A" w:rsidP="00076F7B">
            <w:r>
              <w:t>NA</w:t>
            </w:r>
          </w:p>
        </w:tc>
      </w:tr>
      <w:tr w:rsidR="002C5A7A" w:rsidRPr="006E233D" w:rsidTr="00EB3156">
        <w:tc>
          <w:tcPr>
            <w:tcW w:w="918" w:type="dxa"/>
          </w:tcPr>
          <w:p w:rsidR="002C5A7A" w:rsidRPr="006E233D" w:rsidRDefault="002C5A7A" w:rsidP="00EB3156">
            <w:r w:rsidRPr="006E233D">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w:t>
            </w:r>
            <w:r>
              <w:lastRenderedPageBreak/>
              <w:t>(b)</w:t>
            </w:r>
          </w:p>
        </w:tc>
        <w:tc>
          <w:tcPr>
            <w:tcW w:w="990" w:type="dxa"/>
          </w:tcPr>
          <w:p w:rsidR="002C5A7A" w:rsidRPr="006E233D" w:rsidRDefault="002C5A7A" w:rsidP="008907BF">
            <w:r w:rsidRPr="006E233D">
              <w:lastRenderedPageBreak/>
              <w:t>225</w:t>
            </w:r>
          </w:p>
        </w:tc>
        <w:tc>
          <w:tcPr>
            <w:tcW w:w="1350" w:type="dxa"/>
          </w:tcPr>
          <w:p w:rsidR="002C5A7A" w:rsidRPr="006E233D" w:rsidRDefault="002C5A7A" w:rsidP="008907BF">
            <w:r w:rsidRPr="006E233D">
              <w:t>0050(</w:t>
            </w:r>
            <w:r>
              <w:t>4</w:t>
            </w:r>
            <w:r w:rsidRPr="006E233D">
              <w:t>)(a)</w:t>
            </w:r>
            <w:r>
              <w:t xml:space="preserve"> &amp; </w:t>
            </w:r>
            <w:r>
              <w:lastRenderedPageBreak/>
              <w:t>(b)</w:t>
            </w:r>
          </w:p>
        </w:tc>
        <w:tc>
          <w:tcPr>
            <w:tcW w:w="4860" w:type="dxa"/>
          </w:tcPr>
          <w:p w:rsidR="002C5A7A" w:rsidRPr="006E233D" w:rsidRDefault="002C5A7A" w:rsidP="00076F7B">
            <w:pPr>
              <w:rPr>
                <w:color w:val="000000"/>
              </w:rPr>
            </w:pPr>
            <w:r>
              <w:rPr>
                <w:color w:val="000000"/>
              </w:rPr>
              <w:lastRenderedPageBreak/>
              <w:t>C</w:t>
            </w:r>
            <w:r w:rsidRPr="00076F7B">
              <w:rPr>
                <w:color w:val="000000"/>
              </w:rPr>
              <w:t>hange to “major source or major modification”</w:t>
            </w:r>
            <w:r>
              <w:rPr>
                <w:color w:val="000000"/>
              </w:rPr>
              <w:t xml:space="preserve"> and </w:t>
            </w:r>
            <w:r>
              <w:rPr>
                <w:color w:val="000000"/>
              </w:rPr>
              <w:lastRenderedPageBreak/>
              <w:t>“significant emission rate” to “SER”</w:t>
            </w:r>
          </w:p>
        </w:tc>
        <w:tc>
          <w:tcPr>
            <w:tcW w:w="4320" w:type="dxa"/>
          </w:tcPr>
          <w:p w:rsidR="002C5A7A" w:rsidRPr="006E233D" w:rsidRDefault="002C5A7A" w:rsidP="00076F7B">
            <w:pPr>
              <w:rPr>
                <w:bCs/>
              </w:rPr>
            </w:pPr>
            <w:r w:rsidRPr="006E233D">
              <w:rPr>
                <w:bCs/>
              </w:rPr>
              <w:lastRenderedPageBreak/>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w:t>
            </w:r>
            <w:r w:rsidRPr="006E233D">
              <w:rPr>
                <w:color w:val="000000"/>
              </w:rPr>
              <w:lastRenderedPageBreak/>
              <w:t xml:space="preserve">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lastRenderedPageBreak/>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t>Clarification</w:t>
            </w:r>
            <w:r>
              <w:t xml:space="preserve">. </w:t>
            </w:r>
            <w:r w:rsidRPr="006E233D">
              <w:t>DEQ provides notice of permit applications to EPA and Federal Land Managers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2C5A7A" w:rsidRPr="006E233D" w:rsidRDefault="002C5A7A" w:rsidP="00031590">
            <w:r w:rsidRPr="006E233D">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2C5A7A" w:rsidRPr="006E233D" w:rsidRDefault="002C5A7A" w:rsidP="00DF4613">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w:t>
            </w:r>
            <w:r w:rsidRPr="006E233D">
              <w:rPr>
                <w:color w:val="000000"/>
              </w:rPr>
              <w:lastRenderedPageBreak/>
              <w:t xml:space="preserve">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lastRenderedPageBreak/>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“major </w:t>
            </w:r>
            <w:r w:rsidRPr="00572C9E">
              <w:rPr>
                <w:color w:val="000000"/>
              </w:rPr>
              <w:t>modification”</w:t>
            </w:r>
          </w:p>
        </w:tc>
        <w:tc>
          <w:tcPr>
            <w:tcW w:w="4320" w:type="dxa"/>
          </w:tcPr>
          <w:p w:rsidR="002C5A7A" w:rsidRPr="006E233D" w:rsidRDefault="002C5A7A" w:rsidP="00D814E0">
            <w:pPr>
              <w:rPr>
                <w:bCs/>
              </w:rPr>
            </w:pPr>
            <w:r w:rsidRPr="006E233D">
              <w:rPr>
                <w:bCs/>
              </w:rPr>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2C5A7A" w:rsidRPr="006E233D" w:rsidRDefault="002C5A7A" w:rsidP="00DF4613">
            <w:r w:rsidRPr="00CB0F7B">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lastRenderedPageBreak/>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2C5A7A" w:rsidRDefault="002C5A7A" w:rsidP="00920F6E">
            <w:pPr>
              <w:jc w:val="center"/>
            </w:pPr>
            <w:r w:rsidRPr="000B3705">
              <w:t>NA</w:t>
            </w:r>
          </w:p>
        </w:tc>
      </w:tr>
      <w:tr w:rsidR="002C5A7A" w:rsidRPr="006E233D" w:rsidTr="00D66578">
        <w:trPr>
          <w:trHeight w:val="198"/>
        </w:trPr>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t>The definition of “new source” has been deleted so put the definition in the text.</w:t>
            </w:r>
          </w:p>
        </w:tc>
        <w:tc>
          <w:tcPr>
            <w:tcW w:w="787" w:type="dxa"/>
          </w:tcPr>
          <w:p w:rsidR="002C5A7A" w:rsidRDefault="002C5A7A" w:rsidP="0066018C">
            <w:pPr>
              <w:jc w:val="center"/>
            </w:pPr>
            <w:r>
              <w:t>SIP</w:t>
            </w:r>
          </w:p>
        </w:tc>
      </w:tr>
      <w:tr w:rsidR="00531B03" w:rsidRPr="006E233D" w:rsidTr="00F305C6">
        <w:tc>
          <w:tcPr>
            <w:tcW w:w="918" w:type="dxa"/>
          </w:tcPr>
          <w:p w:rsidR="00531B03" w:rsidRPr="006E233D" w:rsidRDefault="00531B03" w:rsidP="00F305C6">
            <w:r>
              <w:lastRenderedPageBreak/>
              <w:t>226</w:t>
            </w:r>
          </w:p>
        </w:tc>
        <w:tc>
          <w:tcPr>
            <w:tcW w:w="1350" w:type="dxa"/>
          </w:tcPr>
          <w:p w:rsidR="00531B03" w:rsidRPr="006E233D" w:rsidRDefault="00531B03" w:rsidP="00F305C6">
            <w:r>
              <w:t>0100(2)</w:t>
            </w:r>
          </w:p>
        </w:tc>
        <w:tc>
          <w:tcPr>
            <w:tcW w:w="990" w:type="dxa"/>
          </w:tcPr>
          <w:p w:rsidR="00531B03" w:rsidRDefault="00531B03" w:rsidP="00F305C6">
            <w:r>
              <w:t>NA</w:t>
            </w:r>
          </w:p>
        </w:tc>
        <w:tc>
          <w:tcPr>
            <w:tcW w:w="1350" w:type="dxa"/>
          </w:tcPr>
          <w:p w:rsidR="00531B03" w:rsidRDefault="00531B03" w:rsidP="00F305C6">
            <w:r>
              <w:t>NA</w:t>
            </w:r>
          </w:p>
        </w:tc>
        <w:tc>
          <w:tcPr>
            <w:tcW w:w="4860" w:type="dxa"/>
          </w:tcPr>
          <w:p w:rsidR="00531B03" w:rsidRDefault="00531B03" w:rsidP="00F305C6">
            <w:r>
              <w:t>Delete “of this chapter”</w:t>
            </w:r>
          </w:p>
        </w:tc>
        <w:tc>
          <w:tcPr>
            <w:tcW w:w="4320" w:type="dxa"/>
          </w:tcPr>
          <w:p w:rsidR="00531B03" w:rsidRDefault="00531B03" w:rsidP="00F305C6">
            <w:r>
              <w:t>Plain language</w:t>
            </w:r>
          </w:p>
        </w:tc>
        <w:tc>
          <w:tcPr>
            <w:tcW w:w="787" w:type="dxa"/>
          </w:tcPr>
          <w:p w:rsidR="00531B03" w:rsidRDefault="00531B03" w:rsidP="00F305C6">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531B03" w:rsidP="00A65851">
            <w:r>
              <w:t>011</w:t>
            </w:r>
            <w:r w:rsidR="002C5A7A">
              <w:t>0</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531B03" w:rsidP="00ED3514">
            <w:r>
              <w:t>Change “owner and operator of a source are encouraged” to “owner or operator is encouraged”</w:t>
            </w:r>
          </w:p>
        </w:tc>
        <w:tc>
          <w:tcPr>
            <w:tcW w:w="4320" w:type="dxa"/>
          </w:tcPr>
          <w:p w:rsidR="002C5A7A" w:rsidRDefault="00531B03" w:rsidP="00ED3514">
            <w:r>
              <w:t>Correction.  All instances are owner or operator, not and</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t>Move the procedural requirements for TACT from the definition</w:t>
            </w:r>
          </w:p>
        </w:tc>
        <w:tc>
          <w:tcPr>
            <w:tcW w:w="787" w:type="dxa"/>
          </w:tcPr>
          <w:p w:rsidR="002C5A7A" w:rsidRDefault="002C5A7A" w:rsidP="00D8314D">
            <w:pPr>
              <w:jc w:val="center"/>
            </w:pPr>
            <w:r>
              <w:t>SIP</w:t>
            </w:r>
          </w:p>
        </w:tc>
      </w:tr>
      <w:tr w:rsidR="002C5A7A" w:rsidRPr="006E233D" w:rsidTr="00EB3156">
        <w:tc>
          <w:tcPr>
            <w:tcW w:w="918" w:type="dxa"/>
          </w:tcPr>
          <w:p w:rsidR="002C5A7A" w:rsidRPr="00A17895" w:rsidRDefault="002C5A7A" w:rsidP="00EB3156">
            <w:r w:rsidRPr="00A17895">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lastRenderedPageBreak/>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66018C">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2C5A7A" w:rsidRPr="00042190" w:rsidRDefault="002C5A7A" w:rsidP="00042190">
            <w:r>
              <w:t>“</w:t>
            </w:r>
            <w:r w:rsidRPr="00042190">
              <w:t>(2) No person may cause, suffer, allow, or permit particulate matter emission from any air contaminant source in excess of:</w:t>
            </w:r>
          </w:p>
          <w:p w:rsidR="002C5A7A" w:rsidRPr="00042190" w:rsidRDefault="002C5A7A" w:rsidP="00042190">
            <w:r w:rsidRPr="00042190">
              <w:t>(a) For sources installed, constructed, or modified before June 1, 1970:</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 xml:space="preserve">(B) If the limit in paragraph (A) does not apply, 0.2 grains per dry standard cubic foot through December 31, 2019; </w:t>
            </w:r>
          </w:p>
          <w:p w:rsidR="002C5A7A" w:rsidRPr="00042190" w:rsidRDefault="002C5A7A" w:rsidP="00042190">
            <w:r w:rsidRPr="00042190">
              <w:t xml:space="preserve">(C) If the limit in paragraph (A) does not apply, 0.15 grains per dry standard cubic foot beginning January 1, 2020; or  </w:t>
            </w:r>
          </w:p>
          <w:p w:rsidR="002C5A7A" w:rsidRPr="00042190" w:rsidRDefault="002C5A7A" w:rsidP="00042190">
            <w:r w:rsidRPr="00042190">
              <w:t>(D) For equipment or a mode of operation that is used less than 876 hours per calendar year, 0.20 grains per standard cubic foot beginning January 1, 2020.</w:t>
            </w:r>
          </w:p>
          <w:p w:rsidR="002C5A7A" w:rsidRPr="00042190" w:rsidRDefault="002C5A7A" w:rsidP="00042190">
            <w:r w:rsidRPr="00042190">
              <w:t xml:space="preserve">(b) For sources installed, constructed, or modified on or after June 1, 1970 but prior to </w:t>
            </w:r>
            <w:r>
              <w:t>[INSERT SOS FILING DATE OF RULES]</w:t>
            </w:r>
            <w:r w:rsidRPr="00042190">
              <w:t>:</w:t>
            </w:r>
          </w:p>
          <w:p w:rsidR="002C5A7A" w:rsidRPr="00042190" w:rsidRDefault="002C5A7A" w:rsidP="00042190">
            <w:r w:rsidRPr="00042190">
              <w:t xml:space="preserve">(A) 0.10 grains per dry standard cubic foot unless </w:t>
            </w:r>
            <w:r w:rsidRPr="00042190">
              <w:lastRenderedPageBreak/>
              <w:t xml:space="preserve">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(B) If the limit in paragraph (A) does not apply, 0.1 grains per dry standard cubic foot through December 31, 2019; or</w:t>
            </w:r>
          </w:p>
          <w:p w:rsidR="002C5A7A" w:rsidRPr="00042190" w:rsidRDefault="002C5A7A" w:rsidP="00042190">
            <w:r w:rsidRPr="00042190">
              <w:t xml:space="preserve">(C) If the limit in paragraph (A) does not apply, 0.14 grains per dry standard cubic foot beginning January 1, 2020. </w:t>
            </w:r>
          </w:p>
          <w:p w:rsidR="002C5A7A" w:rsidRPr="00042190" w:rsidRDefault="002C5A7A" w:rsidP="00042190">
            <w:r w:rsidRPr="00042190">
              <w:t xml:space="preserve">(c) For sources installed, constructed or modified after </w:t>
            </w:r>
            <w:r>
              <w:t>[INSERT SOS FILING DATE OF RULES]</w:t>
            </w:r>
            <w:r w:rsidRPr="00042190">
              <w:t>, 0.10 grains per dry standard cubic foot.</w:t>
            </w:r>
          </w:p>
          <w:p w:rsidR="002C5A7A" w:rsidRPr="00042190" w:rsidRDefault="002C5A7A" w:rsidP="0021572F">
            <w:r w:rsidRPr="00042190">
              <w:t xml:space="preserve">(d) The owner or operator of a source installed, constructed or modified before </w:t>
            </w:r>
            <w:r>
              <w:t>[INSERT SOS FILING DATE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lastRenderedPageBreak/>
              <w:t>Sources that have representative source test data at less than 0.080 gr/dscf must continue to be operated at Highest and Best and will 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E95FDE">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 xml:space="preserve">Change lb/hr and tons/hr to pounds/hour and tons/hour in </w:t>
            </w:r>
            <w:r>
              <w:lastRenderedPageBreak/>
              <w:t>the text below the table</w:t>
            </w:r>
          </w:p>
        </w:tc>
        <w:tc>
          <w:tcPr>
            <w:tcW w:w="4320" w:type="dxa"/>
          </w:tcPr>
          <w:p w:rsidR="002C5A7A" w:rsidRPr="006E233D" w:rsidRDefault="002C5A7A" w:rsidP="00EB74AF">
            <w:r w:rsidRPr="006E233D">
              <w:lastRenderedPageBreak/>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lastRenderedPageBreak/>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xml:space="preserve">” to OAR 340-224-0520 and 340-224-0530 </w:t>
            </w:r>
          </w:p>
        </w:tc>
        <w:tc>
          <w:tcPr>
            <w:tcW w:w="4320" w:type="dxa"/>
          </w:tcPr>
          <w:p w:rsidR="002C5A7A" w:rsidRPr="006E233D" w:rsidRDefault="002C5A7A" w:rsidP="009F0E27">
            <w:r>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w:t>
            </w:r>
            <w:r w:rsidRPr="005A5027">
              <w:lastRenderedPageBreak/>
              <w:t xml:space="preserve">for and received the exemption provided for in section (4) of this rule.” </w:t>
            </w:r>
          </w:p>
        </w:tc>
        <w:tc>
          <w:tcPr>
            <w:tcW w:w="4320" w:type="dxa"/>
          </w:tcPr>
          <w:p w:rsidR="002C5A7A" w:rsidRPr="005A5027" w:rsidRDefault="002C5A7A"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Move “only” to before “applicable to sources” from the end of the phrase</w:t>
            </w:r>
          </w:p>
        </w:tc>
        <w:tc>
          <w:tcPr>
            <w:tcW w:w="4320" w:type="dxa"/>
          </w:tcPr>
          <w:p w:rsidR="002C5A7A" w:rsidRPr="005A5027" w:rsidRDefault="002C5A7A" w:rsidP="00271A00">
            <w:r w:rsidRPr="005A5027">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0F7B59" w:rsidRDefault="002C5A7A" w:rsidP="0021572F">
            <w:r w:rsidRPr="000F7B59">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(a) For sources installed, constructed, or modified before 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w:t>
            </w:r>
            <w:r w:rsidRPr="00021F83">
              <w:lastRenderedPageBreak/>
              <w:t xml:space="preserve">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t>(D) For equipment or a mode of operation (e.g., backup 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2C5A7A"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2C5A7A" w:rsidRPr="00021F83" w:rsidRDefault="002C5A7A" w:rsidP="00021F83">
            <w:r w:rsidRPr="00021F83">
              <w:t>(i) Maintenance and upgrades to an existing multiclone 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2C5A7A" w:rsidRPr="00021F83" w:rsidRDefault="002C5A7A" w:rsidP="00021F83">
            <w:r w:rsidRPr="00021F83">
              <w:t xml:space="preserve">(B) If paragraph (A) has been satisfied, the owner or operator must submit an application for a permit </w:t>
            </w:r>
            <w:r w:rsidRPr="00021F83">
              <w:lastRenderedPageBreak/>
              <w:t xml:space="preserve">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2C5A7A" w:rsidRPr="00042190" w:rsidRDefault="002C5A7A"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The source for which this was an applicable requirement has shut down and there are no other sources in the state that burn salt laden wood.</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w:t>
            </w:r>
            <w:r w:rsidRPr="00756374">
              <w:rPr>
                <w:bCs/>
                <w:color w:val="000000"/>
              </w:rPr>
              <w:lastRenderedPageBreak/>
              <w:t xml:space="preserve">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228</w:t>
            </w:r>
          </w:p>
        </w:tc>
        <w:tc>
          <w:tcPr>
            <w:tcW w:w="1350" w:type="dxa"/>
            <w:tcBorders>
              <w:bottom w:val="double" w:sz="6" w:space="0" w:color="auto"/>
            </w:tcBorders>
          </w:tcPr>
          <w:p w:rsidR="002C5A7A" w:rsidRPr="006E233D" w:rsidRDefault="002C5A7A" w:rsidP="00A65851">
            <w:r w:rsidRPr="006E233D">
              <w:t>0400 through 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t>Rules are no longer necessary since DEQ now uses federal regional haze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Correction. States must do RACT for major sources using uncontrolled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Replace “General Emission Standards for Volatile Organic Compounds” with “applicable requirements in this division”</w:t>
            </w:r>
          </w:p>
        </w:tc>
        <w:tc>
          <w:tcPr>
            <w:tcW w:w="4320" w:type="dxa"/>
          </w:tcPr>
          <w:p w:rsidR="002C5A7A" w:rsidRDefault="002C5A7A" w:rsidP="00C21B5D">
            <w:r>
              <w:t>The division is called “Emission Standards for VOC Point Sources,” not “</w:t>
            </w:r>
            <w:r w:rsidRPr="000D2B3B">
              <w:t>General Emission Standards for Volatile Organic Compounds</w:t>
            </w:r>
            <w:r>
              <w:t>”</w:t>
            </w:r>
          </w:p>
        </w:tc>
        <w:tc>
          <w:tcPr>
            <w:tcW w:w="787" w:type="dxa"/>
          </w:tcPr>
          <w:p w:rsidR="002C5A7A" w:rsidRDefault="002C5A7A" w:rsidP="00C21B5D">
            <w:pPr>
              <w:jc w:val="center"/>
            </w:pPr>
            <w:r>
              <w:t>SIP</w:t>
            </w:r>
          </w:p>
        </w:tc>
      </w:tr>
      <w:tr w:rsidR="002C5A7A" w:rsidRPr="006E233D" w:rsidTr="00D66578">
        <w:tc>
          <w:tcPr>
            <w:tcW w:w="918" w:type="dxa"/>
          </w:tcPr>
          <w:p w:rsidR="002C5A7A" w:rsidRDefault="002C5A7A" w:rsidP="00A65851">
            <w:r>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w:t>
            </w:r>
            <w:r w:rsidRPr="00863B07">
              <w:lastRenderedPageBreak/>
              <w:t xml:space="preserve">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C5A7A" w:rsidRPr="00863B07" w:rsidRDefault="002C5A7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lastRenderedPageBreak/>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 xml:space="preserve">340-232-0030(19) "Emissions unit" means any part of a stationary source which emits or would </w:t>
            </w:r>
            <w:r w:rsidRPr="00863B07">
              <w:rPr>
                <w:bCs/>
              </w:rPr>
              <w:lastRenderedPageBreak/>
              <w:t>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lastRenderedPageBreak/>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Change “gas service” which is not used to “gaseous service”</w:t>
            </w:r>
          </w:p>
        </w:tc>
        <w:tc>
          <w:tcPr>
            <w:tcW w:w="4320" w:type="dxa"/>
          </w:tcPr>
          <w:p w:rsidR="002C5A7A" w:rsidRPr="00863B07" w:rsidRDefault="002C5A7A" w:rsidP="00FE68CE">
            <w:r w:rsidRPr="00863B07">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2C5A7A" w:rsidRPr="00C41A40" w:rsidRDefault="002C5A7A" w:rsidP="00F82E87">
            <w:pPr>
              <w:rPr>
                <w:bCs/>
              </w:rPr>
            </w:pPr>
            <w:r w:rsidRPr="00C41A40">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lastRenderedPageBreak/>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lastRenderedPageBreak/>
              <w:t>SIP</w:t>
            </w:r>
          </w:p>
        </w:tc>
      </w:tr>
      <w:tr w:rsidR="002C5A7A" w:rsidRPr="006E233D" w:rsidTr="00EB3156">
        <w:tc>
          <w:tcPr>
            <w:tcW w:w="918" w:type="dxa"/>
          </w:tcPr>
          <w:p w:rsidR="002C5A7A" w:rsidRPr="006E233D" w:rsidRDefault="002C5A7A" w:rsidP="00EB3156">
            <w:r w:rsidRPr="006E233D">
              <w:lastRenderedPageBreak/>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Delete the parentheses around “but not limited to” in the definition of paper coating</w:t>
            </w:r>
          </w:p>
        </w:tc>
        <w:tc>
          <w:tcPr>
            <w:tcW w:w="4320" w:type="dxa"/>
          </w:tcPr>
          <w:p w:rsidR="002C5A7A" w:rsidRPr="008A51F0"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w:t>
            </w:r>
            <w:r w:rsidRPr="00D367AB">
              <w:lastRenderedPageBreak/>
              <w:t xml:space="preserve">Manual, (U.S. Office of Management and Budget, 1987) or that support the major industrial group. </w:t>
            </w:r>
          </w:p>
        </w:tc>
        <w:tc>
          <w:tcPr>
            <w:tcW w:w="4320" w:type="dxa"/>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t xml:space="preserve">"Source category": </w:t>
            </w:r>
          </w:p>
          <w:p w:rsidR="002C5A7A" w:rsidRPr="00D367AB" w:rsidRDefault="002C5A7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t>SIP</w:t>
            </w:r>
          </w:p>
        </w:tc>
      </w:tr>
      <w:tr w:rsidR="002C5A7A" w:rsidRPr="006E233D" w:rsidTr="009F5171">
        <w:tc>
          <w:tcPr>
            <w:tcW w:w="918" w:type="dxa"/>
            <w:tcBorders>
              <w:bottom w:val="double" w:sz="6" w:space="0" w:color="auto"/>
            </w:tcBorders>
          </w:tcPr>
          <w:p w:rsidR="002C5A7A" w:rsidRPr="006E233D" w:rsidRDefault="002C5A7A" w:rsidP="009F5171">
            <w:r w:rsidRPr="006E233D">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2C5A7A" w:rsidRPr="005A5027" w:rsidRDefault="002C5A7A" w:rsidP="00914447">
            <w:r>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Pr="006E233D" w:rsidRDefault="002C5A7A" w:rsidP="00372B9E">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lastRenderedPageBreak/>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 xml:space="preserve">a) Exhaust ventilation should not exceed 20 cubic meters per minute per square meter (65 cubic feet per minute per square foot) of degreaser opening, unless </w:t>
            </w:r>
            <w:r w:rsidRPr="007B1222">
              <w:lastRenderedPageBreak/>
              <w:t>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lastRenderedPageBreak/>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lastRenderedPageBreak/>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964FC2">
        <w:tc>
          <w:tcPr>
            <w:tcW w:w="918" w:type="dxa"/>
            <w:tcBorders>
              <w:bottom w:val="double" w:sz="6" w:space="0" w:color="auto"/>
            </w:tcBorders>
          </w:tcPr>
          <w:p w:rsidR="00F8528B" w:rsidRPr="005A5027" w:rsidRDefault="00F8528B" w:rsidP="00964FC2">
            <w:r w:rsidRPr="005A5027">
              <w:t>232</w:t>
            </w:r>
          </w:p>
        </w:tc>
        <w:tc>
          <w:tcPr>
            <w:tcW w:w="1350" w:type="dxa"/>
            <w:tcBorders>
              <w:bottom w:val="double" w:sz="6" w:space="0" w:color="auto"/>
            </w:tcBorders>
          </w:tcPr>
          <w:p w:rsidR="00F8528B" w:rsidRPr="005A5027" w:rsidRDefault="00F8528B" w:rsidP="00964FC2">
            <w:r>
              <w:t>0220</w:t>
            </w:r>
          </w:p>
        </w:tc>
        <w:tc>
          <w:tcPr>
            <w:tcW w:w="990" w:type="dxa"/>
            <w:tcBorders>
              <w:bottom w:val="double" w:sz="6" w:space="0" w:color="auto"/>
            </w:tcBorders>
          </w:tcPr>
          <w:p w:rsidR="00F8528B" w:rsidRPr="005A5027" w:rsidRDefault="00F8528B" w:rsidP="00964FC2">
            <w:r w:rsidRPr="005A5027">
              <w:t>NA</w:t>
            </w:r>
          </w:p>
        </w:tc>
        <w:tc>
          <w:tcPr>
            <w:tcW w:w="1350" w:type="dxa"/>
            <w:tcBorders>
              <w:bottom w:val="double" w:sz="6" w:space="0" w:color="auto"/>
            </w:tcBorders>
          </w:tcPr>
          <w:p w:rsidR="00F8528B" w:rsidRPr="005A5027" w:rsidRDefault="00F8528B" w:rsidP="00964FC2">
            <w:r w:rsidRPr="005A5027">
              <w:t>NA</w:t>
            </w:r>
          </w:p>
        </w:tc>
        <w:tc>
          <w:tcPr>
            <w:tcW w:w="4860" w:type="dxa"/>
            <w:tcBorders>
              <w:bottom w:val="double" w:sz="6" w:space="0" w:color="auto"/>
            </w:tcBorders>
          </w:tcPr>
          <w:p w:rsidR="00F8528B" w:rsidRPr="005A5027" w:rsidRDefault="00F8528B" w:rsidP="00964FC2">
            <w:r>
              <w:t>Delete comma after “facilities:</w:t>
            </w:r>
          </w:p>
        </w:tc>
        <w:tc>
          <w:tcPr>
            <w:tcW w:w="4320" w:type="dxa"/>
            <w:tcBorders>
              <w:bottom w:val="double" w:sz="6" w:space="0" w:color="auto"/>
            </w:tcBorders>
          </w:tcPr>
          <w:p w:rsidR="00F8528B" w:rsidRPr="005A5027" w:rsidRDefault="00F8528B" w:rsidP="00964FC2">
            <w:r>
              <w:t>Not necessary</w:t>
            </w:r>
          </w:p>
        </w:tc>
        <w:tc>
          <w:tcPr>
            <w:tcW w:w="787" w:type="dxa"/>
            <w:tcBorders>
              <w:bottom w:val="double" w:sz="6" w:space="0" w:color="auto"/>
            </w:tcBorders>
          </w:tcPr>
          <w:p w:rsidR="00F8528B" w:rsidRPr="006E233D" w:rsidRDefault="00F8528B" w:rsidP="00964FC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0220(1)(a) and (2)</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w:t>
            </w:r>
            <w:r w:rsidRPr="005A5027">
              <w:lastRenderedPageBreak/>
              <w:t xml:space="preserve">applicable portions of SA 22, filed 6-7-68.]” </w:t>
            </w:r>
          </w:p>
        </w:tc>
        <w:tc>
          <w:tcPr>
            <w:tcW w:w="4320" w:type="dxa"/>
          </w:tcPr>
          <w:p w:rsidR="002C5A7A" w:rsidRPr="005A5027" w:rsidRDefault="002C5A7A" w:rsidP="006D7F9D">
            <w:r w:rsidRPr="005A5027">
              <w:lastRenderedPageBreak/>
              <w:t>This note is no longer needed</w:t>
            </w:r>
            <w:r>
              <w:t xml:space="preserve">. </w:t>
            </w:r>
            <w:r w:rsidRPr="005A5027">
              <w:t xml:space="preserve">SA probably stands </w:t>
            </w:r>
            <w:r w:rsidRPr="005A5027">
              <w:lastRenderedPageBreak/>
              <w:t>for Sanitary Authority, which was the regulatory agency before DEQ was established</w:t>
            </w:r>
            <w:r>
              <w:t xml:space="preserve">. </w:t>
            </w:r>
          </w:p>
        </w:tc>
        <w:tc>
          <w:tcPr>
            <w:tcW w:w="787" w:type="dxa"/>
          </w:tcPr>
          <w:p w:rsidR="002C5A7A" w:rsidRPr="006E233D" w:rsidRDefault="002C5A7A" w:rsidP="0066018C">
            <w:pPr>
              <w:jc w:val="center"/>
            </w:pPr>
            <w:r>
              <w:lastRenderedPageBreak/>
              <w:t>NA</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9F2162" w:rsidRDefault="002C5A7A" w:rsidP="00A65851">
            <w:r w:rsidRPr="009F2162">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"Emission" means a release into the atmosphere of any regulated pollutant or any air contaminant.</w:t>
            </w:r>
          </w:p>
        </w:tc>
        <w:tc>
          <w:tcPr>
            <w:tcW w:w="4320" w:type="dxa"/>
          </w:tcPr>
          <w:p w:rsidR="002C5A7A" w:rsidRPr="00641EB2" w:rsidRDefault="002C5A7A" w:rsidP="00641EB2">
            <w:r>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w:t>
            </w:r>
            <w:r w:rsidRPr="0034255F">
              <w:lastRenderedPageBreak/>
              <w:t xml:space="preserve">one adjacent to it. </w:t>
            </w:r>
          </w:p>
          <w:p w:rsidR="002C5A7A" w:rsidRDefault="002C5A7A" w:rsidP="0097004B"/>
          <w:p w:rsidR="002C5A7A" w:rsidRPr="006E233D" w:rsidRDefault="002C5A7A" w:rsidP="0097004B"/>
        </w:tc>
        <w:tc>
          <w:tcPr>
            <w:tcW w:w="4320" w:type="dxa"/>
          </w:tcPr>
          <w:p w:rsidR="002C5A7A" w:rsidRDefault="002C5A7A" w:rsidP="0034255F">
            <w:r w:rsidRPr="0034255F">
              <w:lastRenderedPageBreak/>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w:t>
            </w:r>
            <w:r w:rsidRPr="0034255F">
              <w:lastRenderedPageBreak/>
              <w:t xml:space="preserve">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rPr>
          <w:trHeight w:val="756"/>
        </w:trPr>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lastRenderedPageBreak/>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2C5A7A" w:rsidRPr="00A41121" w:rsidRDefault="002C5A7A" w:rsidP="003276DA">
            <w:r w:rsidRPr="00A41121">
              <w:t xml:space="preserve">Clarification. The defined term was not used in the text so incorporate the definition of “significant upgrading of pollution control equipment” into the text. </w:t>
            </w:r>
          </w:p>
        </w:tc>
        <w:tc>
          <w:tcPr>
            <w:tcW w:w="787" w:type="dxa"/>
          </w:tcPr>
          <w:p w:rsidR="002C5A7A" w:rsidRPr="006E233D" w:rsidRDefault="002C5A7A" w:rsidP="00914447">
            <w:pPr>
              <w:jc w:val="center"/>
            </w:pPr>
            <w:r w:rsidRPr="00A41121">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Replace “for a period exceeding three minutes in any one hour” to “as a six minute average”</w:t>
            </w:r>
          </w:p>
        </w:tc>
        <w:tc>
          <w:tcPr>
            <w:tcW w:w="4320" w:type="dxa"/>
          </w:tcPr>
          <w:p w:rsidR="00EC360A" w:rsidRPr="006E233D" w:rsidRDefault="00EC360A"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t>SIP</w:t>
            </w:r>
          </w:p>
        </w:tc>
      </w:tr>
      <w:tr w:rsidR="002C5A7A" w:rsidRPr="006E233D" w:rsidTr="009F5171">
        <w:tc>
          <w:tcPr>
            <w:tcW w:w="918" w:type="dxa"/>
          </w:tcPr>
          <w:p w:rsidR="002C5A7A" w:rsidRPr="006E233D" w:rsidRDefault="002C5A7A" w:rsidP="009F5171">
            <w:r>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lastRenderedPageBreak/>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2C5A7A" w:rsidRPr="006E233D" w:rsidRDefault="002C5A7A" w:rsidP="00B632DB">
            <w:r w:rsidRPr="006E233D">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lastRenderedPageBreak/>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2C5A7A" w:rsidRPr="006E233D" w:rsidRDefault="002C5A7A" w:rsidP="000D2A22">
            <w:r w:rsidRPr="006E233D">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lastRenderedPageBreak/>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2C5A7A" w:rsidRPr="005A5027" w:rsidRDefault="002C5A7A" w:rsidP="005C6E8A">
            <w:r>
              <w:lastRenderedPageBreak/>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lastRenderedPageBreak/>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2C5A7A" w:rsidRPr="005A5027" w:rsidRDefault="002C5A7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2C5A7A" w:rsidRPr="0067052D" w:rsidRDefault="002C5A7A" w:rsidP="0067052D">
            <w:r w:rsidRPr="0067052D">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Delete definition of “collection efficiency” and define “control efficiency,” “capture efficiency,”  “destruction efficiency,” and “removal efficiency”</w:t>
            </w:r>
          </w:p>
        </w:tc>
        <w:tc>
          <w:tcPr>
            <w:tcW w:w="4320" w:type="dxa"/>
          </w:tcPr>
          <w:p w:rsidR="002C5A7A" w:rsidRDefault="002C5A7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 xml:space="preserve">The definition used in division 200 is more </w:t>
            </w:r>
            <w:r w:rsidRPr="005A5027">
              <w:lastRenderedPageBreak/>
              <w:t>comprehensive so use that definition instead</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094DBC">
            <w:r>
              <w:t>See discussion above in division 200</w:t>
            </w:r>
            <w:r w:rsidR="001A3A09">
              <w:t xml:space="preserve"> in definition 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 xml:space="preserve">If a </w:t>
            </w:r>
            <w:r w:rsidRPr="006E233D">
              <w:lastRenderedPageBreak/>
              <w:t>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w:t>
            </w:r>
            <w:r w:rsidRPr="00CD7DB8">
              <w:lastRenderedPageBreak/>
              <w:t xml:space="preserve">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lastRenderedPageBreak/>
              <w:t>Clarification.</w:t>
            </w:r>
            <w:r w:rsidRPr="00E73350">
              <w:t xml:space="preserve"> A test method should always be specified with each standard  in order to be able to </w:t>
            </w:r>
            <w:r w:rsidRPr="00E73350">
              <w:lastRenderedPageBreak/>
              <w:t>show compliance</w:t>
            </w:r>
            <w:r>
              <w:t xml:space="preserve"> </w:t>
            </w:r>
          </w:p>
        </w:tc>
        <w:tc>
          <w:tcPr>
            <w:tcW w:w="787" w:type="dxa"/>
          </w:tcPr>
          <w:p w:rsidR="002C5A7A"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208 based on proposed changes</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 xml:space="preserve">There has been confusion among the terms “capture efficiency,” “collection efficiency,” “removal efficiency,” and “control efficiency.” </w:t>
            </w:r>
            <w:r w:rsidRPr="005A5027">
              <w:lastRenderedPageBreak/>
              <w:t>“Collection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Definition is different from the definition of “standard cubic foot.”  Use definition of “dry standard cubic foot”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2E16D7" w:rsidRDefault="002C5A7A" w:rsidP="00A65851">
            <w:r w:rsidRPr="002E16D7">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 xml:space="preserve">Delete definition of “fugitive emissions” and use division </w:t>
            </w:r>
            <w:r w:rsidRPr="006E233D">
              <w:lastRenderedPageBreak/>
              <w:t>200 definition</w:t>
            </w:r>
          </w:p>
        </w:tc>
        <w:tc>
          <w:tcPr>
            <w:tcW w:w="4320" w:type="dxa"/>
          </w:tcPr>
          <w:p w:rsidR="002C5A7A" w:rsidRPr="006E233D" w:rsidRDefault="002C5A7A" w:rsidP="00693ED3">
            <w:r>
              <w:lastRenderedPageBreak/>
              <w:t>See discussion above in division 208</w:t>
            </w:r>
            <w:r w:rsidR="00EC360A">
              <w:t xml:space="preserve"> in definition </w:t>
            </w:r>
            <w:r w:rsidR="00EC360A">
              <w:lastRenderedPageBreak/>
              <w:t>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Definition of hardboard different from division 232 but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Delete definition of “Medford-Ashland Air Quality Maintenance Area”</w:t>
            </w:r>
          </w:p>
        </w:tc>
        <w:tc>
          <w:tcPr>
            <w:tcW w:w="4320" w:type="dxa"/>
          </w:tcPr>
          <w:p w:rsidR="002C5A7A" w:rsidRPr="006E233D" w:rsidRDefault="002C5A7A" w:rsidP="00A76D2E">
            <w:r w:rsidRPr="006E233D">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1741AE" w:rsidRDefault="002C5A7A" w:rsidP="00A65851">
            <w:r w:rsidRPr="001741AE">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6E233D" w:rsidRDefault="002C5A7A" w:rsidP="00693ED3">
            <w:r w:rsidRPr="006E233D">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w:t>
            </w:r>
            <w:r w:rsidRPr="00210118">
              <w:lastRenderedPageBreak/>
              <w:t>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2F08FB">
            <w:r>
              <w:t>See discussion above in division 200</w:t>
            </w:r>
            <w:r w:rsidR="00EC360A">
              <w:t xml:space="preserve"> in definition 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234 but not defined there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856830">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0120(1)(e) and (f)</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Incorporate fuel moisture content into rule and add test method ASTM D4442-84</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C5A7A" w:rsidRPr="005A5027" w:rsidRDefault="002C5A7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lastRenderedPageBreak/>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Remove “all” before plywood because it’s already in the beginning of the sentence.</w:t>
            </w:r>
          </w:p>
        </w:tc>
        <w:tc>
          <w:tcPr>
            <w:tcW w:w="4320" w:type="dxa"/>
          </w:tcPr>
          <w:p w:rsidR="002C5A7A" w:rsidRPr="005A5027" w:rsidRDefault="002C5A7A" w:rsidP="001165F3">
            <w:pPr>
              <w:tabs>
                <w:tab w:val="num" w:pos="1440"/>
              </w:tabs>
            </w:pPr>
            <w:r w:rsidRPr="005A5027">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New sources and </w:t>
            </w:r>
            <w:r w:rsidRPr="006E233D">
              <w:rPr>
                <w:color w:val="000000"/>
              </w:rPr>
              <w:lastRenderedPageBreak/>
              <w:t>existing sources must comply with 340-240-0110(1), 340-240-120 through 250.</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lastRenderedPageBreak/>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Compliance schedule dates for existing sources are all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C5A7A" w:rsidRPr="006E233D" w:rsidRDefault="002C5A7A" w:rsidP="001165F3">
            <w:r w:rsidRPr="006E233D">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device or devices with a rated control efficiency of at </w:t>
            </w:r>
            <w:r w:rsidRPr="0056211B">
              <w:lastRenderedPageBreak/>
              <w:t>least 98.5 percent.</w:t>
            </w:r>
            <w:r>
              <w:t>”</w:t>
            </w:r>
          </w:p>
          <w:p w:rsidR="002C5A7A" w:rsidRPr="006E233D" w:rsidRDefault="002C5A7A" w:rsidP="00DC37AA"/>
        </w:tc>
        <w:tc>
          <w:tcPr>
            <w:tcW w:w="4320" w:type="dxa"/>
          </w:tcPr>
          <w:p w:rsidR="002C5A7A" w:rsidRPr="00DC37AA" w:rsidRDefault="002C5A7A"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w:t>
            </w:r>
            <w:r w:rsidRPr="00DC37AA">
              <w:lastRenderedPageBreak/>
              <w:t xml:space="preserve">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C5A7A" w:rsidRPr="006E233D" w:rsidRDefault="002C5A7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2C5A7A" w:rsidRPr="006E233D" w:rsidRDefault="002C5A7A" w:rsidP="0066018C">
            <w:pPr>
              <w:jc w:val="center"/>
            </w:pPr>
            <w:r w:rsidRPr="00FC0848">
              <w:t>SIP</w:t>
            </w:r>
          </w:p>
        </w:tc>
      </w:tr>
      <w:tr w:rsidR="002C5A7A" w:rsidRPr="005A5027" w:rsidTr="00D66578">
        <w:tc>
          <w:tcPr>
            <w:tcW w:w="918" w:type="dxa"/>
          </w:tcPr>
          <w:p w:rsidR="002C5A7A" w:rsidRPr="005A5027" w:rsidRDefault="002C5A7A" w:rsidP="00A65851">
            <w:r>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xml:space="preserve">; add a </w:t>
            </w:r>
            <w:r>
              <w:lastRenderedPageBreak/>
              <w:t>comma after water and change “created” to “create”</w:t>
            </w:r>
          </w:p>
        </w:tc>
        <w:tc>
          <w:tcPr>
            <w:tcW w:w="4320" w:type="dxa"/>
          </w:tcPr>
          <w:p w:rsidR="002C5A7A" w:rsidRPr="005A5027" w:rsidRDefault="002C5A7A" w:rsidP="0031145F">
            <w:pPr>
              <w:tabs>
                <w:tab w:val="num" w:pos="1440"/>
              </w:tabs>
            </w:pPr>
            <w:r w:rsidRPr="005A5027">
              <w:lastRenderedPageBreak/>
              <w:t xml:space="preserve">DEQ discourages the use of asphalt emulsions and oil as dust suppressants because of the negative </w:t>
            </w:r>
            <w:r w:rsidRPr="005A5027">
              <w:lastRenderedPageBreak/>
              <w:t>environmental impact on other media.</w:t>
            </w:r>
          </w:p>
        </w:tc>
        <w:tc>
          <w:tcPr>
            <w:tcW w:w="787" w:type="dxa"/>
          </w:tcPr>
          <w:p w:rsidR="002C5A7A" w:rsidRPr="006E233D" w:rsidRDefault="002C5A7A" w:rsidP="0031145F">
            <w:pPr>
              <w:jc w:val="center"/>
            </w:pPr>
            <w:r>
              <w:lastRenderedPageBreak/>
              <w:t>SIP</w:t>
            </w:r>
          </w:p>
        </w:tc>
      </w:tr>
      <w:tr w:rsidR="002C5A7A" w:rsidRPr="005A5027" w:rsidTr="00D66578">
        <w:tc>
          <w:tcPr>
            <w:tcW w:w="918" w:type="dxa"/>
          </w:tcPr>
          <w:p w:rsidR="002C5A7A" w:rsidRPr="005A5027" w:rsidRDefault="002C5A7A" w:rsidP="00A65851">
            <w:r w:rsidRPr="005A5027">
              <w:lastRenderedPageBreak/>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2C5A7A" w:rsidRPr="005A5027" w:rsidRDefault="002C5A7A" w:rsidP="001165F3">
            <w:r w:rsidRPr="005A5027">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2C5A7A" w:rsidRPr="006E233D" w:rsidRDefault="002C5A7A" w:rsidP="001165F3">
            <w:r w:rsidRPr="006E233D">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lastRenderedPageBreak/>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2C5A7A" w:rsidRPr="005A5027" w:rsidRDefault="002C5A7A" w:rsidP="00214794">
            <w:r>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Area” </w:t>
            </w:r>
          </w:p>
        </w:tc>
        <w:tc>
          <w:tcPr>
            <w:tcW w:w="4320" w:type="dxa"/>
          </w:tcPr>
          <w:p w:rsidR="002C5A7A" w:rsidRPr="005A5027" w:rsidRDefault="002C5A7A" w:rsidP="00BB57E2">
            <w:r w:rsidRPr="005A5027">
              <w:t>The definition in division 204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w:t>
            </w:r>
            <w:r w:rsidRPr="005A5027">
              <w:lastRenderedPageBreak/>
              <w:t>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lastRenderedPageBreak/>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lastRenderedPageBreak/>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Compliance Extensions, 242-0770, are for 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lastRenderedPageBreak/>
              <w:t xml:space="preserve">Clarification. EPA may also request that the </w:t>
            </w:r>
            <w:r w:rsidR="004D1FEA">
              <w:lastRenderedPageBreak/>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lastRenderedPageBreak/>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lastRenderedPageBreak/>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“The owner or operator of an affected source, as defined in section (1),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lastRenderedPageBreak/>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t>NA</w:t>
            </w:r>
          </w:p>
        </w:tc>
      </w:tr>
      <w:tr w:rsidR="002C5A7A" w:rsidRPr="006E233D" w:rsidTr="00BC5F1F">
        <w:tc>
          <w:tcPr>
            <w:tcW w:w="918" w:type="dxa"/>
            <w:shd w:val="clear" w:color="auto" w:fill="B2A1C7" w:themeFill="accent4" w:themeFillTint="99"/>
          </w:tcPr>
          <w:p w:rsidR="002C5A7A" w:rsidRPr="006E233D" w:rsidRDefault="002C5A7A" w:rsidP="00BC5F1F">
            <w:r>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t>SIP</w:t>
            </w:r>
          </w:p>
        </w:tc>
      </w:tr>
      <w:tr w:rsidR="002C5A7A" w:rsidRPr="006E233D" w:rsidTr="0014611E">
        <w:tc>
          <w:tcPr>
            <w:tcW w:w="918" w:type="dxa"/>
            <w:shd w:val="clear" w:color="auto" w:fill="B2A1C7" w:themeFill="accent4" w:themeFillTint="99"/>
          </w:tcPr>
          <w:p w:rsidR="002C5A7A" w:rsidRPr="006E233D" w:rsidRDefault="002C5A7A" w:rsidP="0014611E">
            <w:r>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 xml:space="preserve">(l) OAR 340-264-0190 establishes criteria for use </w:t>
            </w:r>
            <w:r w:rsidRPr="002666CE">
              <w:rPr>
                <w:color w:val="000000"/>
              </w:rPr>
              <w:lastRenderedPageBreak/>
              <w:t>of forced-air pit incineration.</w:t>
            </w:r>
            <w:r>
              <w:rPr>
                <w:color w:val="000000"/>
              </w:rPr>
              <w:t>”</w:t>
            </w:r>
          </w:p>
        </w:tc>
        <w:tc>
          <w:tcPr>
            <w:tcW w:w="4320" w:type="dxa"/>
            <w:tcBorders>
              <w:bottom w:val="double" w:sz="6" w:space="0" w:color="auto"/>
            </w:tcBorders>
          </w:tcPr>
          <w:p w:rsidR="002C5A7A" w:rsidRPr="006E233D" w:rsidRDefault="002C5A7A" w:rsidP="00F43957">
            <w:r>
              <w:lastRenderedPageBreak/>
              <w:t xml:space="preserve">EPA’s rules for Commercial/Industrial Solid </w:t>
            </w:r>
            <w:r>
              <w:lastRenderedPageBreak/>
              <w:t xml:space="preserve">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lastRenderedPageBreak/>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t>SIP</w:t>
            </w:r>
          </w:p>
        </w:tc>
      </w:tr>
      <w:tr w:rsidR="002C5A7A" w:rsidRPr="00C92AC8"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F03418" w:rsidRPr="005A5027" w:rsidTr="008E15AE">
        <w:tc>
          <w:tcPr>
            <w:tcW w:w="918" w:type="dxa"/>
            <w:tcBorders>
              <w:bottom w:val="double" w:sz="6" w:space="0" w:color="auto"/>
            </w:tcBorders>
          </w:tcPr>
          <w:p w:rsidR="00F03418" w:rsidRPr="005A5027" w:rsidRDefault="00F03418" w:rsidP="008E15AE">
            <w:r>
              <w:t>264</w:t>
            </w:r>
          </w:p>
        </w:tc>
        <w:tc>
          <w:tcPr>
            <w:tcW w:w="1350" w:type="dxa"/>
            <w:tcBorders>
              <w:bottom w:val="double" w:sz="6" w:space="0" w:color="auto"/>
            </w:tcBorders>
          </w:tcPr>
          <w:p w:rsidR="00F03418" w:rsidRPr="005A5027" w:rsidRDefault="00F03418" w:rsidP="008E15AE">
            <w:r>
              <w:t>0075</w:t>
            </w:r>
          </w:p>
        </w:tc>
        <w:tc>
          <w:tcPr>
            <w:tcW w:w="990" w:type="dxa"/>
            <w:tcBorders>
              <w:bottom w:val="double" w:sz="6" w:space="0" w:color="auto"/>
            </w:tcBorders>
          </w:tcPr>
          <w:p w:rsidR="00F03418" w:rsidRPr="005A5027" w:rsidRDefault="00F03418" w:rsidP="008E15AE">
            <w:pPr>
              <w:rPr>
                <w:bCs/>
                <w:color w:val="000000"/>
              </w:rPr>
            </w:pPr>
            <w:r>
              <w:rPr>
                <w:bCs/>
                <w:color w:val="000000"/>
              </w:rPr>
              <w:t>NA</w:t>
            </w:r>
          </w:p>
        </w:tc>
        <w:tc>
          <w:tcPr>
            <w:tcW w:w="1350" w:type="dxa"/>
            <w:tcBorders>
              <w:bottom w:val="double" w:sz="6" w:space="0" w:color="auto"/>
            </w:tcBorders>
          </w:tcPr>
          <w:p w:rsidR="00F03418" w:rsidRPr="005A5027" w:rsidRDefault="00F03418" w:rsidP="008E15AE">
            <w:pPr>
              <w:rPr>
                <w:bCs/>
                <w:color w:val="000000"/>
              </w:rPr>
            </w:pPr>
            <w:r>
              <w:rPr>
                <w:bCs/>
                <w:color w:val="000000"/>
              </w:rPr>
              <w:t>NA</w:t>
            </w:r>
          </w:p>
        </w:tc>
        <w:tc>
          <w:tcPr>
            <w:tcW w:w="4860" w:type="dxa"/>
            <w:tcBorders>
              <w:bottom w:val="double" w:sz="6" w:space="0" w:color="auto"/>
            </w:tcBorders>
          </w:tcPr>
          <w:p w:rsidR="00F03418" w:rsidRPr="00A17895" w:rsidRDefault="00F03418" w:rsidP="008E15AE">
            <w:r w:rsidRPr="00A17895">
              <w:t>Add SIP note:</w:t>
            </w:r>
          </w:p>
          <w:p w:rsidR="00F03418" w:rsidRPr="00A17895" w:rsidRDefault="00F03418"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F03418" w:rsidRPr="005A5027" w:rsidRDefault="00F03418" w:rsidP="008E15AE">
            <w:r>
              <w:t>This rule was last approved into the SIP by EPA on 04/25/13. The note was inadvertently omitted from the rule.</w:t>
            </w:r>
          </w:p>
        </w:tc>
        <w:tc>
          <w:tcPr>
            <w:tcW w:w="787" w:type="dxa"/>
            <w:tcBorders>
              <w:bottom w:val="double" w:sz="6" w:space="0" w:color="auto"/>
            </w:tcBorders>
          </w:tcPr>
          <w:p w:rsidR="00F03418" w:rsidRDefault="00F03418" w:rsidP="008E15AE">
            <w:pPr>
              <w:jc w:val="center"/>
            </w:pPr>
            <w:r>
              <w:t>SIP</w:t>
            </w:r>
          </w:p>
        </w:tc>
      </w:tr>
      <w:tr w:rsidR="002C5A7A" w:rsidRPr="005A5027" w:rsidTr="00654E73">
        <w:tc>
          <w:tcPr>
            <w:tcW w:w="918" w:type="dxa"/>
            <w:tcBorders>
              <w:bottom w:val="double" w:sz="6" w:space="0" w:color="auto"/>
            </w:tcBorders>
          </w:tcPr>
          <w:p w:rsidR="002C5A7A" w:rsidRPr="005A5027" w:rsidRDefault="002C5A7A" w:rsidP="00654E73">
            <w:r w:rsidRPr="005A5027">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lastRenderedPageBreak/>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shd w:val="clear" w:color="auto" w:fill="B2A1C7" w:themeFill="accent4" w:themeFillTint="99"/>
          </w:tcPr>
          <w:p w:rsidR="002C5A7A" w:rsidRPr="006E233D" w:rsidRDefault="002C5A7A" w:rsidP="00A65851">
            <w:r w:rsidRPr="006E233D">
              <w:lastRenderedPageBreak/>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C5A7A" w:rsidRPr="006E233D" w:rsidRDefault="002C5A7A" w:rsidP="001C279D">
            <w:r w:rsidRPr="006E233D">
              <w:t xml:space="preserve">The Klamath Falls attainment plan allows sources to use wood fuel-fired device emission reductions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C5A7A" w:rsidRPr="006E233D" w:rsidRDefault="002C5A7A" w:rsidP="00FE68CE">
            <w:r>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6A" w:rsidRDefault="00EB7B6A" w:rsidP="00213A82">
      <w:r>
        <w:separator/>
      </w:r>
    </w:p>
  </w:endnote>
  <w:endnote w:type="continuationSeparator" w:id="0">
    <w:p w:rsidR="00EB7B6A" w:rsidRDefault="00EB7B6A"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6A" w:rsidRDefault="00EB7B6A" w:rsidP="00213A82">
    <w:pPr>
      <w:pStyle w:val="Footer"/>
      <w:jc w:val="center"/>
    </w:pPr>
    <w:r>
      <w:fldChar w:fldCharType="begin"/>
    </w:r>
    <w:r>
      <w:instrText xml:space="preserve"> DATE \@ "M/d/yyyy" </w:instrText>
    </w:r>
    <w:r>
      <w:fldChar w:fldCharType="separate"/>
    </w:r>
    <w:r>
      <w:rPr>
        <w:noProof/>
      </w:rPr>
      <w:t>3/12/2014</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77CEE">
      <w:rPr>
        <w:b/>
        <w:noProof/>
      </w:rPr>
      <w:t>59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77CEE">
      <w:rPr>
        <w:b/>
        <w:noProof/>
      </w:rPr>
      <w:t>155</w:t>
    </w:r>
    <w:r>
      <w:rPr>
        <w:b/>
        <w:sz w:val="24"/>
        <w:szCs w:val="24"/>
      </w:rPr>
      <w:fldChar w:fldCharType="end"/>
    </w:r>
  </w:p>
  <w:p w:rsidR="00EB7B6A" w:rsidRDefault="00EB7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6A" w:rsidRDefault="00EB7B6A" w:rsidP="00213A82">
      <w:r>
        <w:separator/>
      </w:r>
    </w:p>
  </w:footnote>
  <w:footnote w:type="continuationSeparator" w:id="0">
    <w:p w:rsidR="00EB7B6A" w:rsidRDefault="00EB7B6A"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0F38"/>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6B60"/>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16A5"/>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B03"/>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823"/>
    <w:rsid w:val="00680DF7"/>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20E"/>
    <w:rsid w:val="00923294"/>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4FC2"/>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5E9"/>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3CEE"/>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388"/>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13F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A7E8D"/>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5C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7FCF616-E687-4340-8029-03EA408C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155</Pages>
  <Words>63526</Words>
  <Characters>337040</Characters>
  <Application>Microsoft Office Word</Application>
  <DocSecurity>0</DocSecurity>
  <Lines>2808</Lines>
  <Paragraphs>799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399767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Mark</cp:lastModifiedBy>
  <cp:revision>18</cp:revision>
  <cp:lastPrinted>2014-02-10T16:57:00Z</cp:lastPrinted>
  <dcterms:created xsi:type="dcterms:W3CDTF">2014-03-11T23:14:00Z</dcterms:created>
  <dcterms:modified xsi:type="dcterms:W3CDTF">2014-03-12T22:48:00Z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