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9F5171">
        <w:tc>
          <w:tcPr>
            <w:tcW w:w="918" w:type="dxa"/>
          </w:tcPr>
          <w:p w:rsidR="00C12617" w:rsidRPr="00F82E71" w:rsidRDefault="00C12617" w:rsidP="009F5171">
            <w:r w:rsidRPr="00F82E71">
              <w:lastRenderedPageBreak/>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t>
            </w:r>
            <w:r w:rsidRPr="006E233D">
              <w:lastRenderedPageBreak/>
              <w:t xml:space="preserve">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9C2595">
        <w:tc>
          <w:tcPr>
            <w:tcW w:w="918" w:type="dxa"/>
          </w:tcPr>
          <w:p w:rsidR="007A0077" w:rsidRPr="005A5027" w:rsidRDefault="007A0077" w:rsidP="009C2595">
            <w:r w:rsidRPr="005A5027">
              <w:t>200</w:t>
            </w:r>
          </w:p>
        </w:tc>
        <w:tc>
          <w:tcPr>
            <w:tcW w:w="1350" w:type="dxa"/>
          </w:tcPr>
          <w:p w:rsidR="007A0077" w:rsidRPr="005A5027" w:rsidRDefault="007A0077" w:rsidP="009C2595">
            <w:r>
              <w:t>0025</w:t>
            </w:r>
          </w:p>
        </w:tc>
        <w:tc>
          <w:tcPr>
            <w:tcW w:w="990" w:type="dxa"/>
          </w:tcPr>
          <w:p w:rsidR="007A0077" w:rsidRPr="005A5027" w:rsidRDefault="007A0077" w:rsidP="009C2595">
            <w:r w:rsidRPr="005A5027">
              <w:t>NA</w:t>
            </w:r>
          </w:p>
        </w:tc>
        <w:tc>
          <w:tcPr>
            <w:tcW w:w="1350" w:type="dxa"/>
          </w:tcPr>
          <w:p w:rsidR="007A0077" w:rsidRPr="005A5027" w:rsidRDefault="007A0077" w:rsidP="009C2595">
            <w:r w:rsidRPr="005A5027">
              <w:t>NA</w:t>
            </w:r>
          </w:p>
        </w:tc>
        <w:tc>
          <w:tcPr>
            <w:tcW w:w="4860" w:type="dxa"/>
          </w:tcPr>
          <w:p w:rsidR="007A0077" w:rsidRDefault="007A0077" w:rsidP="009C2595">
            <w:r w:rsidRPr="005A5027">
              <w:t xml:space="preserve">Add </w:t>
            </w:r>
            <w:r>
              <w:t>SIP note:</w:t>
            </w:r>
          </w:p>
          <w:p w:rsidR="007A0077" w:rsidRPr="005A5027" w:rsidRDefault="007A0077" w:rsidP="009C2595">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9C2595">
            <w:r>
              <w:t xml:space="preserve">340-200-0025 was approved in the SIP in 2003. </w:t>
            </w:r>
          </w:p>
        </w:tc>
        <w:tc>
          <w:tcPr>
            <w:tcW w:w="787" w:type="dxa"/>
          </w:tcPr>
          <w:p w:rsidR="007A0077" w:rsidRPr="006E233D" w:rsidRDefault="007A0077" w:rsidP="009C2595">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lastRenderedPageBreak/>
              <w:t>Table 1</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w:t>
            </w:r>
            <w:r w:rsidRPr="00AA71CC">
              <w:rPr>
                <w:bCs/>
              </w:rPr>
              <w:lastRenderedPageBreak/>
              <w:t xml:space="preserve">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lastRenderedPageBreak/>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w:t>
            </w:r>
            <w:r w:rsidRPr="00210118">
              <w:lastRenderedPageBreak/>
              <w:t>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w:t>
            </w:r>
            <w:r w:rsidRPr="00210118">
              <w:lastRenderedPageBreak/>
              <w:t xml:space="preserve">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 xml:space="preserve">Definition different from division 200, 236, 238, </w:t>
            </w:r>
            <w:r w:rsidRPr="00210118">
              <w:lastRenderedPageBreak/>
              <w:t>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 xml:space="preserve">nly </w:t>
            </w:r>
            <w:r w:rsidRPr="00795CDA">
              <w:lastRenderedPageBreak/>
              <w:t>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lastRenderedPageBreak/>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lastRenderedPageBreak/>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 xml:space="preserve">(b) As used to define a major Oregon Title V Operating Permit program source, means those emissions which </w:t>
            </w:r>
            <w:r w:rsidRPr="006E233D">
              <w:lastRenderedPageBreak/>
              <w:t>could not reasonably pass through a stack, chimney, vent, or other functionally equivalent opening.</w:t>
            </w:r>
          </w:p>
        </w:tc>
        <w:tc>
          <w:tcPr>
            <w:tcW w:w="4320" w:type="dxa"/>
          </w:tcPr>
          <w:p w:rsidR="002F7E87" w:rsidRPr="006E233D" w:rsidRDefault="002F7E87" w:rsidP="009B210D">
            <w:r w:rsidRPr="006E233D">
              <w:rPr>
                <w:bCs/>
              </w:rPr>
              <w:lastRenderedPageBreak/>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lastRenderedPageBreak/>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lastRenderedPageBreak/>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 xml:space="preserve">Theoretically, either basis could be more stringent than the other, but practically, sources do not typically have </w:t>
            </w:r>
            <w:r w:rsidRPr="006E233D">
              <w:lastRenderedPageBreak/>
              <w:t>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w:t>
            </w:r>
            <w:r w:rsidRPr="006E233D">
              <w:lastRenderedPageBreak/>
              <w:t xml:space="preserve">2014. </w:t>
            </w:r>
          </w:p>
        </w:tc>
        <w:tc>
          <w:tcPr>
            <w:tcW w:w="4320" w:type="dxa"/>
          </w:tcPr>
          <w:p w:rsidR="002F7E87" w:rsidRPr="006E233D" w:rsidRDefault="002F7E87" w:rsidP="00B64540">
            <w:r w:rsidRPr="006E233D">
              <w:lastRenderedPageBreak/>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lastRenderedPageBreak/>
              <w:t>“</w:t>
            </w:r>
            <w:r w:rsidRPr="0016749A">
              <w:t>(b) Visible emissions are determined by EPA Method 22 at the downwind property boundary.</w:t>
            </w:r>
            <w:r>
              <w:t>”</w:t>
            </w:r>
          </w:p>
        </w:tc>
        <w:tc>
          <w:tcPr>
            <w:tcW w:w="4320" w:type="dxa"/>
          </w:tcPr>
          <w:p w:rsidR="002F7E87" w:rsidRPr="005A5027" w:rsidRDefault="002F7E87" w:rsidP="003251FE">
            <w:r w:rsidRPr="005A5027">
              <w:lastRenderedPageBreak/>
              <w:t xml:space="preserve">A test method should always be specified with </w:t>
            </w:r>
            <w:r w:rsidRPr="005A5027">
              <w:lastRenderedPageBreak/>
              <w:t>each standard  in order to be able to show compliance</w:t>
            </w:r>
          </w:p>
        </w:tc>
        <w:tc>
          <w:tcPr>
            <w:tcW w:w="787" w:type="dxa"/>
          </w:tcPr>
          <w:p w:rsidR="002F7E87" w:rsidRPr="006E233D" w:rsidRDefault="002F7E87" w:rsidP="00C32E47">
            <w:pPr>
              <w:jc w:val="center"/>
            </w:pPr>
            <w:r>
              <w:lastRenderedPageBreak/>
              <w:t>SIP</w:t>
            </w:r>
          </w:p>
        </w:tc>
      </w:tr>
      <w:tr w:rsidR="002F7E87" w:rsidRPr="005A5027" w:rsidTr="00B44862">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xml:space="preserve">, except that from existing fuel </w:t>
            </w:r>
            <w:r w:rsidRPr="00BB5E5B">
              <w:lastRenderedPageBreak/>
              <w:t>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lastRenderedPageBreak/>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lastRenderedPageBreak/>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lastRenderedPageBreak/>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 xml:space="preserve">This language makes it clear that if they </w:t>
            </w:r>
            <w:r w:rsidR="00205BD4" w:rsidRPr="00205BD4">
              <w:lastRenderedPageBreak/>
              <w:t>qualify for both, then they’re Type 4 not 3</w:t>
            </w:r>
            <w:r w:rsidR="00C56E80">
              <w:t xml:space="preserve">. </w:t>
            </w:r>
          </w:p>
        </w:tc>
        <w:tc>
          <w:tcPr>
            <w:tcW w:w="787" w:type="dxa"/>
          </w:tcPr>
          <w:p w:rsidR="006B1676" w:rsidRPr="006E233D" w:rsidRDefault="006B1676" w:rsidP="00D8314D">
            <w:pPr>
              <w:jc w:val="center"/>
            </w:pPr>
            <w:r w:rsidRPr="00205BD4">
              <w:lastRenderedPageBreak/>
              <w:t>SIP</w:t>
            </w:r>
          </w:p>
        </w:tc>
      </w:tr>
      <w:tr w:rsidR="009D4161" w:rsidRPr="005A5027" w:rsidTr="003A7CF8">
        <w:tc>
          <w:tcPr>
            <w:tcW w:w="918" w:type="dxa"/>
          </w:tcPr>
          <w:p w:rsidR="009D4161" w:rsidRPr="005A5027" w:rsidRDefault="009D4161" w:rsidP="003A7CF8">
            <w:r w:rsidRPr="005A5027">
              <w:lastRenderedPageBreak/>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w:t>
            </w:r>
            <w:r w:rsidRPr="006E233D">
              <w:lastRenderedPageBreak/>
              <w:t>source after making the change.]”</w:t>
            </w:r>
          </w:p>
        </w:tc>
        <w:tc>
          <w:tcPr>
            <w:tcW w:w="4320" w:type="dxa"/>
          </w:tcPr>
          <w:p w:rsidR="002F7E87" w:rsidRPr="006E233D" w:rsidRDefault="002F7E87" w:rsidP="00B04F7C">
            <w:r w:rsidRPr="006E233D">
              <w:lastRenderedPageBreak/>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lastRenderedPageBreak/>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lastRenderedPageBreak/>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 xml:space="preserve">The part of the definition of actual </w:t>
            </w:r>
            <w:r w:rsidR="002F7E87" w:rsidRPr="006E233D">
              <w:lastRenderedPageBreak/>
              <w:t>emissions for emission statements should be included in the rules for emission statements</w:t>
            </w:r>
          </w:p>
        </w:tc>
        <w:tc>
          <w:tcPr>
            <w:tcW w:w="787" w:type="dxa"/>
          </w:tcPr>
          <w:p w:rsidR="002F7E87" w:rsidRPr="006E233D" w:rsidRDefault="002F7E87" w:rsidP="0066018C">
            <w:pPr>
              <w:jc w:val="center"/>
            </w:pPr>
            <w:r>
              <w:lastRenderedPageBreak/>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w:t>
            </w:r>
            <w:r w:rsidRPr="00C443C2">
              <w:lastRenderedPageBreak/>
              <w:t>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w:t>
            </w:r>
            <w:r w:rsidRPr="0051797C">
              <w:lastRenderedPageBreak/>
              <w:t>located outside of the state, DEQ will be responsible for issuing the permit.</w:t>
            </w:r>
            <w:r>
              <w:t>”</w:t>
            </w:r>
          </w:p>
        </w:tc>
        <w:tc>
          <w:tcPr>
            <w:tcW w:w="4320" w:type="dxa"/>
          </w:tcPr>
          <w:p w:rsidR="002F7E87" w:rsidRPr="006E233D" w:rsidRDefault="0051797C" w:rsidP="00140A96">
            <w:r>
              <w:lastRenderedPageBreak/>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lastRenderedPageBreak/>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 xml:space="preserve">Add division 204 as another division that has definitions </w:t>
            </w:r>
            <w:r w:rsidRPr="005A5027">
              <w:lastRenderedPageBreak/>
              <w:t>that would apply to this division</w:t>
            </w:r>
          </w:p>
        </w:tc>
        <w:tc>
          <w:tcPr>
            <w:tcW w:w="4320" w:type="dxa"/>
          </w:tcPr>
          <w:p w:rsidR="002F7E87" w:rsidRPr="005A5027" w:rsidRDefault="002F7E87" w:rsidP="00CD4350">
            <w:r w:rsidRPr="005A5027">
              <w:lastRenderedPageBreak/>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lastRenderedPageBreak/>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lastRenderedPageBreak/>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lastRenderedPageBreak/>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lastRenderedPageBreak/>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 xml:space="preserve">(E) A source requesting to be assigned to a General ACDP Attachment, under OAR 340-216-0062, for a source category in a higher annual fee class than the General ACDP to which the source is currently assigned, </w:t>
            </w:r>
            <w:r w:rsidRPr="00495287">
              <w:lastRenderedPageBreak/>
              <w:t>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lastRenderedPageBreak/>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lastRenderedPageBreak/>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lastRenderedPageBreak/>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lastRenderedPageBreak/>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w:t>
            </w:r>
            <w:r w:rsidRPr="008D7DAB">
              <w:lastRenderedPageBreak/>
              <w:t>information necessary to estimate air quality impacts; and</w:t>
            </w:r>
            <w:r>
              <w:t>”</w:t>
            </w:r>
          </w:p>
        </w:tc>
        <w:tc>
          <w:tcPr>
            <w:tcW w:w="4320" w:type="dxa"/>
            <w:tcBorders>
              <w:bottom w:val="double" w:sz="6" w:space="0" w:color="auto"/>
            </w:tcBorders>
          </w:tcPr>
          <w:p w:rsidR="00435248" w:rsidRPr="005A5027" w:rsidRDefault="00435248" w:rsidP="008B1F3B">
            <w:r>
              <w:lastRenderedPageBreak/>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lastRenderedPageBreak/>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w:t>
            </w:r>
            <w:r w:rsidRPr="004348F2">
              <w:lastRenderedPageBreak/>
              <w:t>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w:t>
            </w:r>
            <w:r w:rsidRPr="00B07579">
              <w:lastRenderedPageBreak/>
              <w:t xml:space="preserve">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4942E8" w:rsidRDefault="00AC1486" w:rsidP="000613E4">
            <w:r w:rsidRPr="004942E8">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 xml:space="preserve">The Basic permit only requires recordkeeping of paint used, not VOC content so to simplify requirements, DEQ will limit Basic permit holders to 3,500 </w:t>
            </w:r>
            <w:r w:rsidR="000613E4">
              <w:lastRenderedPageBreak/>
              <w:t>gallons/year.</w:t>
            </w:r>
          </w:p>
        </w:tc>
        <w:tc>
          <w:tcPr>
            <w:tcW w:w="787" w:type="dxa"/>
          </w:tcPr>
          <w:p w:rsidR="00AC1486" w:rsidRPr="006E233D" w:rsidRDefault="00AC1486" w:rsidP="0066018C">
            <w:pPr>
              <w:jc w:val="center"/>
            </w:pPr>
            <w:r>
              <w:lastRenderedPageBreak/>
              <w:t>SIP</w:t>
            </w:r>
          </w:p>
        </w:tc>
      </w:tr>
      <w:tr w:rsidR="00AC1486" w:rsidRPr="005A5027" w:rsidTr="00E21446">
        <w:tc>
          <w:tcPr>
            <w:tcW w:w="918" w:type="dxa"/>
          </w:tcPr>
          <w:p w:rsidR="00AC1486" w:rsidRPr="005A5027" w:rsidRDefault="00AC1486" w:rsidP="00E21446">
            <w:r w:rsidRPr="005A5027">
              <w:lastRenderedPageBreak/>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435E96">
        <w:tc>
          <w:tcPr>
            <w:tcW w:w="918" w:type="dxa"/>
          </w:tcPr>
          <w:p w:rsidR="00A02952" w:rsidRPr="005A5027" w:rsidRDefault="00A02952" w:rsidP="00435E96">
            <w:r w:rsidRPr="005A5027">
              <w:t>216</w:t>
            </w:r>
          </w:p>
        </w:tc>
        <w:tc>
          <w:tcPr>
            <w:tcW w:w="1350" w:type="dxa"/>
          </w:tcPr>
          <w:p w:rsidR="00A02952" w:rsidRPr="005A5027" w:rsidRDefault="00A02952" w:rsidP="00435E96">
            <w:r>
              <w:t>Table 1 Part B 23</w:t>
            </w:r>
          </w:p>
        </w:tc>
        <w:tc>
          <w:tcPr>
            <w:tcW w:w="990" w:type="dxa"/>
          </w:tcPr>
          <w:p w:rsidR="00A02952" w:rsidRPr="005A5027" w:rsidRDefault="00A02952" w:rsidP="00435E96">
            <w:r w:rsidRPr="005A5027">
              <w:t>NA</w:t>
            </w:r>
          </w:p>
        </w:tc>
        <w:tc>
          <w:tcPr>
            <w:tcW w:w="1350" w:type="dxa"/>
          </w:tcPr>
          <w:p w:rsidR="00A02952" w:rsidRPr="005A5027" w:rsidRDefault="00A02952" w:rsidP="00435E96">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435E96">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 xml:space="preserve">division 232” to liquid </w:t>
            </w:r>
            <w:r w:rsidRPr="006E233D">
              <w:lastRenderedPageBreak/>
              <w:t>storage tanks</w:t>
            </w:r>
          </w:p>
        </w:tc>
        <w:tc>
          <w:tcPr>
            <w:tcW w:w="4320" w:type="dxa"/>
          </w:tcPr>
          <w:p w:rsidR="00AC1486" w:rsidRPr="006E233D" w:rsidRDefault="00AC1486" w:rsidP="005726E5">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lastRenderedPageBreak/>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lastRenderedPageBreak/>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lastRenderedPageBreak/>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w:t>
            </w:r>
            <w:r>
              <w:lastRenderedPageBreak/>
              <w:t>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lastRenderedPageBreak/>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lastRenderedPageBreak/>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 xml:space="preserve">The part of the definition of actual emissions for Title V operating permit fees should be included in </w:t>
            </w:r>
            <w:r w:rsidRPr="006E233D">
              <w:lastRenderedPageBreak/>
              <w:t>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lastRenderedPageBreak/>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 xml:space="preserve">(2) For sources with potential to emit greater than or </w:t>
            </w:r>
            <w:r w:rsidRPr="0084085B">
              <w:lastRenderedPageBreak/>
              <w:t>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lastRenderedPageBreak/>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lastRenderedPageBreak/>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 xml:space="preserve">The initial source specific PSEL for PM2.5 for a source that was permitted on or before May 1, 2011 with </w:t>
            </w:r>
            <w:r w:rsidRPr="00A8563A">
              <w:lastRenderedPageBreak/>
              <w:t>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lastRenderedPageBreak/>
              <w:t>Add the provision for establishing the source specific annual PSEL for PM2.5 that was in the netting basis definition</w:t>
            </w:r>
            <w:r w:rsidR="00C56E80">
              <w:t xml:space="preserve">. </w:t>
            </w:r>
            <w:r w:rsidRPr="00A8563A">
              <w:t xml:space="preserve">This will move procedural </w:t>
            </w:r>
            <w:r w:rsidRPr="00A8563A">
              <w:lastRenderedPageBreak/>
              <w:t>requirements from the definitions</w:t>
            </w:r>
          </w:p>
        </w:tc>
        <w:tc>
          <w:tcPr>
            <w:tcW w:w="787" w:type="dxa"/>
          </w:tcPr>
          <w:p w:rsidR="00AC1486" w:rsidRPr="00A8563A" w:rsidRDefault="00AC1486" w:rsidP="0066018C">
            <w:pPr>
              <w:jc w:val="center"/>
            </w:pPr>
            <w:r w:rsidRPr="00A8563A">
              <w:lastRenderedPageBreak/>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 xml:space="preserve">If the netting basis is adjusted in accordance with OAR 340-222-0051(3) then the source specific PSEL is </w:t>
            </w:r>
            <w:r w:rsidRPr="008C2F52">
              <w:lastRenderedPageBreak/>
              <w:t>not required to be adjusted.</w:t>
            </w:r>
            <w:r>
              <w:t>”</w:t>
            </w:r>
          </w:p>
        </w:tc>
        <w:tc>
          <w:tcPr>
            <w:tcW w:w="4320" w:type="dxa"/>
          </w:tcPr>
          <w:p w:rsidR="00AC1486" w:rsidRPr="005A5027" w:rsidRDefault="00AC1486" w:rsidP="009119E1">
            <w:r w:rsidRPr="005A5027">
              <w:lastRenderedPageBreak/>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 xml:space="preserve">1) For sources located in areas with an established short term SER that is measured over an averaging period less than a full year (a “short term SER”), PSELs are required </w:t>
            </w:r>
            <w:r w:rsidRPr="004737A5">
              <w:lastRenderedPageBreak/>
              <w:t>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lastRenderedPageBreak/>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 xml:space="preserve">(C) For carbon monoxide, demonstrate that the source or modification will not cause or contribute to an air quality </w:t>
            </w:r>
            <w:r w:rsidRPr="00B9596D">
              <w:lastRenderedPageBreak/>
              <w:t>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lastRenderedPageBreak/>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xml:space="preserve">) For PM2.5, a source’s initial netting basis is equal to </w:t>
            </w:r>
            <w:r w:rsidRPr="0070730A">
              <w:lastRenderedPageBreak/>
              <w:t>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lastRenderedPageBreak/>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lastRenderedPageBreak/>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w:t>
            </w:r>
            <w:r w:rsidRPr="006E233D">
              <w:lastRenderedPageBreak/>
              <w:t xml:space="preserve">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lastRenderedPageBreak/>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 xml:space="preserve">A source could have </w:t>
            </w:r>
            <w:r>
              <w:rPr>
                <w:bCs/>
              </w:rPr>
              <w:lastRenderedPageBreak/>
              <w:t>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w:t>
            </w:r>
            <w:r w:rsidRPr="00304EA2">
              <w:lastRenderedPageBreak/>
              <w:t xml:space="preserve">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lastRenderedPageBreak/>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lastRenderedPageBreak/>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lastRenderedPageBreak/>
              <w:t xml:space="preserve">Defines the devices or emissions units for which </w:t>
            </w:r>
            <w:r w:rsidRPr="006E233D">
              <w:rPr>
                <w:bCs/>
                <w:color w:val="000000"/>
              </w:rPr>
              <w:lastRenderedPageBreak/>
              <w:t>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w:t>
            </w:r>
            <w:r w:rsidRPr="005A5027">
              <w:rPr>
                <w:color w:val="000000"/>
              </w:rPr>
              <w:lastRenderedPageBreak/>
              <w:t xml:space="preserve">Source Review </w:t>
            </w:r>
          </w:p>
        </w:tc>
        <w:tc>
          <w:tcPr>
            <w:tcW w:w="4320" w:type="dxa"/>
          </w:tcPr>
          <w:p w:rsidR="00AC1486" w:rsidRPr="005A5027" w:rsidRDefault="00AC1486" w:rsidP="00EC1D48">
            <w:r w:rsidRPr="005A5027">
              <w:lastRenderedPageBreak/>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lastRenderedPageBreak/>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 xml:space="preserve">340-210-0205 through 340-210-0250), ACDPs (OAR 340 division 216), </w:t>
            </w:r>
            <w:r w:rsidRPr="00355C6C">
              <w:rPr>
                <w:color w:val="000000"/>
              </w:rPr>
              <w:lastRenderedPageBreak/>
              <w:t>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lastRenderedPageBreak/>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w:t>
            </w:r>
            <w:r w:rsidRPr="00CC1763">
              <w:lastRenderedPageBreak/>
              <w:t xml:space="preserve">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lastRenderedPageBreak/>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lastRenderedPageBreak/>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The requirement applies in all areas of the state.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w:t>
            </w:r>
            <w:r w:rsidRPr="006678DD">
              <w:rPr>
                <w:color w:val="000000"/>
              </w:rPr>
              <w:lastRenderedPageBreak/>
              <w:t xml:space="preserve">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lastRenderedPageBreak/>
              <w:t>Clarification</w:t>
            </w:r>
            <w:r w:rsidR="00C56E80">
              <w:t xml:space="preserve">. </w:t>
            </w:r>
            <w:r w:rsidRPr="005A5027">
              <w:t xml:space="preserve">When better emissions information becomes available, DEQ will use that information </w:t>
            </w:r>
            <w:r w:rsidRPr="005A5027">
              <w:lastRenderedPageBreak/>
              <w:t>to determine whether a major modification has occurred</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lastRenderedPageBreak/>
              <w:t xml:space="preserve">Clarification and restructuring. Add the requirement for a public hearing on the proposed </w:t>
            </w:r>
            <w:r>
              <w:lastRenderedPageBreak/>
              <w:t>permit. Move the public participation requirements to subsection (b). Move the allowances for extensions to section (3).</w:t>
            </w:r>
          </w:p>
        </w:tc>
        <w:tc>
          <w:tcPr>
            <w:tcW w:w="787" w:type="dxa"/>
          </w:tcPr>
          <w:p w:rsidR="00AC1486" w:rsidRPr="006E233D" w:rsidRDefault="00AC1486" w:rsidP="0066018C">
            <w:pPr>
              <w:jc w:val="center"/>
            </w:pPr>
            <w:r>
              <w:lastRenderedPageBreak/>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w:t>
            </w:r>
            <w:r w:rsidRPr="00184F3D">
              <w:rPr>
                <w:color w:val="000000"/>
              </w:rPr>
              <w:lastRenderedPageBreak/>
              <w:t xml:space="preserve">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lastRenderedPageBreak/>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lastRenderedPageBreak/>
              <w:t>Clarification</w:t>
            </w:r>
            <w:r w:rsidR="00C56E80">
              <w:t xml:space="preserve">. </w:t>
            </w:r>
            <w:r>
              <w:t xml:space="preserve">Construction cannot commence until </w:t>
            </w:r>
            <w:r>
              <w:lastRenderedPageBreak/>
              <w:t>DEQ approves the extension request</w:t>
            </w:r>
            <w:r w:rsidR="00C56E80">
              <w:t xml:space="preserve">. </w:t>
            </w:r>
          </w:p>
        </w:tc>
        <w:tc>
          <w:tcPr>
            <w:tcW w:w="787" w:type="dxa"/>
          </w:tcPr>
          <w:p w:rsidR="00AC1486" w:rsidRPr="006E233D" w:rsidRDefault="00AC1486" w:rsidP="0066018C">
            <w:pPr>
              <w:jc w:val="center"/>
            </w:pPr>
            <w:r>
              <w:lastRenderedPageBreak/>
              <w:t>SIP</w:t>
            </w:r>
          </w:p>
        </w:tc>
      </w:tr>
      <w:tr w:rsidR="00691983" w:rsidRPr="00C6077C" w:rsidTr="00355A1A">
        <w:tc>
          <w:tcPr>
            <w:tcW w:w="918" w:type="dxa"/>
          </w:tcPr>
          <w:p w:rsidR="00691983" w:rsidRPr="005A5027" w:rsidRDefault="00691983" w:rsidP="00355A1A">
            <w:r w:rsidRPr="005A5027">
              <w:lastRenderedPageBreak/>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 xml:space="preserve">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w:t>
            </w:r>
            <w:r w:rsidR="00DD68A5" w:rsidRPr="00DD68A5">
              <w:rPr>
                <w:bCs/>
                <w:color w:val="000000"/>
              </w:rPr>
              <w:lastRenderedPageBreak/>
              <w:t>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lastRenderedPageBreak/>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w:t>
            </w:r>
            <w:r w:rsidR="003B09BE" w:rsidRPr="003B09BE">
              <w:rPr>
                <w:bCs/>
              </w:rPr>
              <w:lastRenderedPageBreak/>
              <w:t xml:space="preserve">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lastRenderedPageBreak/>
              <w:t>It takes time to develop maintenance plans for nonattainment areas before EPA can redesignate the area to maintenance</w:t>
            </w:r>
            <w:r w:rsidR="00C56E80">
              <w:t xml:space="preserve">. </w:t>
            </w:r>
            <w:r w:rsidRPr="005A5027">
              <w:t xml:space="preserve">After DEQ has three years of data showing that the area is meeting the </w:t>
            </w:r>
            <w:r w:rsidRPr="005A5027">
              <w:lastRenderedPageBreak/>
              <w:t>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w:t>
            </w:r>
            <w:r w:rsidRPr="00DE3B54">
              <w:lastRenderedPageBreak/>
              <w:t xml:space="preserve">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lastRenderedPageBreak/>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 xml:space="preserve">The demonstration that the air quality impact from the emissions increase would not cause or contribute to an exceedance of any air quality </w:t>
            </w:r>
            <w:r w:rsidRPr="005A5027">
              <w:lastRenderedPageBreak/>
              <w:t>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w:t>
            </w:r>
            <w:r w:rsidRPr="006E233D">
              <w:rPr>
                <w:bCs/>
              </w:rPr>
              <w:lastRenderedPageBreak/>
              <w:t xml:space="preserve">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lastRenderedPageBreak/>
              <w:t xml:space="preserve">In a recent lawsuit, the Sierra Club argued that EPA lacks authority to establish Significant Impact </w:t>
            </w:r>
            <w:r w:rsidRPr="006E233D">
              <w:rPr>
                <w:bCs/>
              </w:rPr>
              <w:lastRenderedPageBreak/>
              <w:t>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lastRenderedPageBreak/>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lastRenderedPageBreak/>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lastRenderedPageBreak/>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lastRenderedPageBreak/>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w:t>
            </w:r>
            <w:r w:rsidRPr="006E233D">
              <w:rPr>
                <w:color w:val="000000"/>
              </w:rPr>
              <w:lastRenderedPageBreak/>
              <w:t xml:space="preserve">“appropriate” </w:t>
            </w:r>
          </w:p>
        </w:tc>
        <w:tc>
          <w:tcPr>
            <w:tcW w:w="4320" w:type="dxa"/>
          </w:tcPr>
          <w:p w:rsidR="0066662A" w:rsidRPr="006E233D" w:rsidRDefault="0066662A" w:rsidP="00A811C3">
            <w:r w:rsidRPr="006E233D">
              <w:lastRenderedPageBreak/>
              <w:t xml:space="preserve">Provide an option of using another impact model </w:t>
            </w:r>
            <w:r w:rsidRPr="006E233D">
              <w:lastRenderedPageBreak/>
              <w:t>in PSD Class II and III areas  based on approval by DEQ and EPA</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w:t>
            </w:r>
            <w:r w:rsidRPr="006E233D">
              <w:rPr>
                <w:bCs/>
              </w:rPr>
              <w:lastRenderedPageBreak/>
              <w:t xml:space="preserve">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lastRenderedPageBreak/>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 xml:space="preserve">See above for explanation of </w:t>
            </w:r>
            <w:r>
              <w:rPr>
                <w:bCs/>
              </w:rPr>
              <w:lastRenderedPageBreak/>
              <w:t>significant impact level.</w:t>
            </w:r>
          </w:p>
        </w:tc>
        <w:tc>
          <w:tcPr>
            <w:tcW w:w="787" w:type="dxa"/>
          </w:tcPr>
          <w:p w:rsidR="0066662A" w:rsidRPr="006E233D" w:rsidRDefault="0066662A" w:rsidP="00DF4613">
            <w:r>
              <w:lastRenderedPageBreak/>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 xml:space="preserve">Columbia River Gorge Air Study </w:t>
            </w:r>
            <w:r w:rsidRPr="00327C16">
              <w:rPr>
                <w:b/>
                <w:bCs/>
              </w:rPr>
              <w:lastRenderedPageBreak/>
              <w:t>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lastRenderedPageBreak/>
              <w:t>NA</w:t>
            </w:r>
          </w:p>
        </w:tc>
      </w:tr>
      <w:tr w:rsidR="0066662A" w:rsidRPr="006E233D" w:rsidTr="0020574E">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 xml:space="preserve">Change offset requirement to 1.2:1 if </w:t>
            </w:r>
            <w:r w:rsidRPr="006E233D">
              <w:rPr>
                <w:bCs/>
              </w:rPr>
              <w:lastRenderedPageBreak/>
              <w:t>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lastRenderedPageBreak/>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w:t>
            </w:r>
            <w:r>
              <w:lastRenderedPageBreak/>
              <w:t xml:space="preserve">240 definition </w:t>
            </w:r>
            <w:r w:rsidRPr="006E233D">
              <w:t xml:space="preserve">and move to division 200 </w:t>
            </w:r>
          </w:p>
        </w:tc>
        <w:tc>
          <w:tcPr>
            <w:tcW w:w="4320" w:type="dxa"/>
          </w:tcPr>
          <w:p w:rsidR="0066662A" w:rsidRPr="00D5274E" w:rsidRDefault="0066662A" w:rsidP="008A51F0">
            <w:r>
              <w:lastRenderedPageBreak/>
              <w:t>See discussion above in division 200</w:t>
            </w:r>
            <w:r w:rsidR="00C56E80">
              <w:t xml:space="preserve">. </w:t>
            </w:r>
            <w:r w:rsidRPr="00D5274E">
              <w:t xml:space="preserve">Definition </w:t>
            </w:r>
            <w:r w:rsidRPr="00D5274E">
              <w:lastRenderedPageBreak/>
              <w:t>different from division 240 but same as division 226 and 228</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xml:space="preserve">. DEQ may consider </w:t>
            </w:r>
            <w:r w:rsidRPr="00BE4D51">
              <w:lastRenderedPageBreak/>
              <w:t>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lastRenderedPageBreak/>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w:t>
            </w:r>
            <w:r w:rsidRPr="00BC4AB0">
              <w:lastRenderedPageBreak/>
              <w:t xml:space="preserve">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 xml:space="preserve">Definition of Coastal Areas not used in this  or any other </w:t>
            </w:r>
            <w:r w:rsidRPr="006E233D">
              <w:lastRenderedPageBreak/>
              <w:t>air quality division</w:t>
            </w:r>
          </w:p>
        </w:tc>
        <w:tc>
          <w:tcPr>
            <w:tcW w:w="4320" w:type="dxa"/>
          </w:tcPr>
          <w:p w:rsidR="0066662A" w:rsidRPr="006E233D" w:rsidRDefault="0066662A" w:rsidP="00FE68CE">
            <w:r w:rsidRPr="006E233D">
              <w:lastRenderedPageBreak/>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lastRenderedPageBreak/>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 xml:space="preserve">The source for which this was an applicable </w:t>
            </w:r>
            <w:r w:rsidRPr="005A5027">
              <w:lastRenderedPageBreak/>
              <w:t>requirement has shut down and there are no other sources in the state that burn salt laden wood.</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 xml:space="preserve">Use definition from division 234 and </w:t>
            </w:r>
            <w:r w:rsidRPr="008A51F0">
              <w:lastRenderedPageBreak/>
              <w:t>division 240 and move to division 200</w:t>
            </w:r>
          </w:p>
        </w:tc>
        <w:tc>
          <w:tcPr>
            <w:tcW w:w="787" w:type="dxa"/>
          </w:tcPr>
          <w:p w:rsidR="0066662A" w:rsidRPr="006E233D" w:rsidRDefault="0066662A" w:rsidP="0066018C">
            <w:pPr>
              <w:jc w:val="center"/>
            </w:pPr>
            <w:r>
              <w:lastRenderedPageBreak/>
              <w:t>SIP</w:t>
            </w:r>
          </w:p>
        </w:tc>
      </w:tr>
      <w:tr w:rsidR="0066662A" w:rsidRPr="00F82E87" w:rsidTr="00D66578">
        <w:tc>
          <w:tcPr>
            <w:tcW w:w="918" w:type="dxa"/>
          </w:tcPr>
          <w:p w:rsidR="0066662A" w:rsidRPr="00F82E87" w:rsidRDefault="0066662A" w:rsidP="00A65851">
            <w:r w:rsidRPr="00F82E87">
              <w:lastRenderedPageBreak/>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 xml:space="preserve">Move definition of “prime coat” since it is not in </w:t>
            </w:r>
            <w:r w:rsidRPr="006E233D">
              <w:lastRenderedPageBreak/>
              <w:t>alphabetic order</w:t>
            </w:r>
          </w:p>
        </w:tc>
        <w:tc>
          <w:tcPr>
            <w:tcW w:w="4320" w:type="dxa"/>
          </w:tcPr>
          <w:p w:rsidR="0066662A" w:rsidRPr="006E233D" w:rsidRDefault="0066662A" w:rsidP="00FE68CE">
            <w:r w:rsidRPr="006E233D">
              <w:lastRenderedPageBreak/>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lastRenderedPageBreak/>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lastRenderedPageBreak/>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 xml:space="preserve">A) Sources whose VOC potential to emit before add on controls from activities identified in section (5) are less </w:t>
            </w:r>
            <w:r w:rsidRPr="00486EE0">
              <w:lastRenderedPageBreak/>
              <w:t>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 xml:space="preserve">(1) No owner or operator of a packaging rotogravure, publication rotogravure, flexographic or specialty </w:t>
            </w:r>
            <w:r w:rsidRPr="001F3B91">
              <w:lastRenderedPageBreak/>
              <w:t>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r w:rsidR="00C56E80">
              <w:t xml:space="preserve">. </w:t>
            </w:r>
            <w:r>
              <w:t>Delete 90 mg/year</w:t>
            </w:r>
            <w:r w:rsidR="00C56E80">
              <w:t xml:space="preserve">. </w:t>
            </w:r>
            <w:r>
              <w:t xml:space="preserve">The metric version should probably have </w:t>
            </w:r>
            <w:r>
              <w:lastRenderedPageBreak/>
              <w:t xml:space="preserve">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lastRenderedPageBreak/>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 xml:space="preserve">with </w:t>
            </w:r>
            <w:r>
              <w:lastRenderedPageBreak/>
              <w:t>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lastRenderedPageBreak/>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w:t>
            </w:r>
            <w:r w:rsidRPr="006E233D">
              <w:lastRenderedPageBreak/>
              <w:t xml:space="preserve">(NSSC) pulp mill” </w:t>
            </w:r>
          </w:p>
        </w:tc>
        <w:tc>
          <w:tcPr>
            <w:tcW w:w="4320" w:type="dxa"/>
          </w:tcPr>
          <w:p w:rsidR="0066662A" w:rsidRPr="006E233D" w:rsidRDefault="0066662A" w:rsidP="00FE68CE">
            <w:r w:rsidRPr="006E233D">
              <w:lastRenderedPageBreak/>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 xml:space="preserve">Theoretically, either basis could be more stringent than the other, but practically, sources do not typically have </w:t>
            </w:r>
            <w:r w:rsidRPr="005A5027">
              <w:lastRenderedPageBreak/>
              <w:t>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 xml:space="preserve">(5) New Source Performance Standards Monitoring. New or modified sources that are subject to the New Source Performance Standards, 40 CFR Part 60, Subpart BB, must conduct monitoring or source testing as required by Subpart BB. In addition, when these rules are </w:t>
            </w:r>
            <w:r w:rsidRPr="008D655E">
              <w:lastRenderedPageBreak/>
              <w:t>more stringent than Subpart BB, DEQ may require some or all of the relevant monitoring in this section.</w:t>
            </w:r>
            <w:r>
              <w:t>”</w:t>
            </w:r>
          </w:p>
        </w:tc>
        <w:tc>
          <w:tcPr>
            <w:tcW w:w="4320" w:type="dxa"/>
          </w:tcPr>
          <w:p w:rsidR="0066662A" w:rsidRPr="006E233D" w:rsidRDefault="0066662A" w:rsidP="00B632DB">
            <w:r w:rsidRPr="006E233D">
              <w:lastRenderedPageBreak/>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lastRenderedPageBreak/>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w:t>
            </w:r>
            <w:r w:rsidRPr="0088722F">
              <w:lastRenderedPageBreak/>
              <w:t xml:space="preserve">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lastRenderedPageBreak/>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 xml:space="preserve">“Specific operating temperatures lower than 1500° F. </w:t>
            </w:r>
            <w:r w:rsidRPr="005A5027">
              <w:lastRenderedPageBreak/>
              <w:t>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lastRenderedPageBreak/>
              <w:t>Remove reference to odors since this requirement is to control VOC emissions</w:t>
            </w:r>
            <w:r w:rsidR="00C56E80">
              <w:t xml:space="preserve">. </w:t>
            </w:r>
            <w:r w:rsidRPr="005A5027">
              <w:t xml:space="preserve">The NESHAP </w:t>
            </w:r>
            <w:r w:rsidRPr="005A5027">
              <w:lastRenderedPageBreak/>
              <w:t>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lastRenderedPageBreak/>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 xml:space="preserve">Definition no longer needed since primary </w:t>
            </w:r>
            <w:r w:rsidRPr="006E233D">
              <w:lastRenderedPageBreak/>
              <w:t>aluminum rules are being repealed</w:t>
            </w:r>
          </w:p>
        </w:tc>
        <w:tc>
          <w:tcPr>
            <w:tcW w:w="787" w:type="dxa"/>
          </w:tcPr>
          <w:p w:rsidR="0066662A" w:rsidRPr="006E233D" w:rsidRDefault="0066662A" w:rsidP="0066018C">
            <w:pPr>
              <w:jc w:val="center"/>
            </w:pPr>
            <w:r>
              <w:lastRenderedPageBreak/>
              <w:t>SIP</w:t>
            </w:r>
          </w:p>
        </w:tc>
      </w:tr>
      <w:tr w:rsidR="0066662A" w:rsidRPr="006E233D" w:rsidTr="00960E3F">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Review/Prevention of Significant Deterioration </w:t>
            </w:r>
            <w:r w:rsidRPr="006E233D">
              <w:lastRenderedPageBreak/>
              <w:t>(requiring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 xml:space="preserve">Requirements for portable hot mix asphalt plants </w:t>
            </w:r>
            <w:r w:rsidRPr="005A5027">
              <w:rPr>
                <w:bCs/>
              </w:rPr>
              <w:lastRenderedPageBreak/>
              <w:t>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lastRenderedPageBreak/>
              <w:t>SIP</w:t>
            </w:r>
          </w:p>
        </w:tc>
      </w:tr>
      <w:tr w:rsidR="00D3658D" w:rsidRPr="006E233D" w:rsidTr="009F5171">
        <w:tc>
          <w:tcPr>
            <w:tcW w:w="918" w:type="dxa"/>
          </w:tcPr>
          <w:p w:rsidR="00D3658D" w:rsidRPr="006E233D" w:rsidRDefault="00D3658D" w:rsidP="009F5171">
            <w:r w:rsidRPr="006E233D">
              <w:lastRenderedPageBreak/>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lastRenderedPageBreak/>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lastRenderedPageBreak/>
              <w:t>See discussion above in division 200</w:t>
            </w:r>
            <w:r w:rsidR="00C56E80">
              <w:t xml:space="preserve">. </w:t>
            </w:r>
            <w:r w:rsidRPr="006E233D">
              <w:t>Definition different from division 236 and 240 but same as 228</w:t>
            </w:r>
            <w:r w:rsidR="00C56E80">
              <w:t xml:space="preserve">. </w:t>
            </w:r>
            <w:r w:rsidRPr="00956BF2">
              <w:t xml:space="preserve">Each standard will have the applicable test </w:t>
            </w:r>
            <w:r w:rsidRPr="00956BF2">
              <w:lastRenderedPageBreak/>
              <w:t>method long with the correct adjustment</w:t>
            </w:r>
            <w:r>
              <w:t>.</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 xml:space="preserve">(b)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w:t>
            </w:r>
            <w:r w:rsidRPr="002042A5">
              <w:lastRenderedPageBreak/>
              <w:t>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 xml:space="preserve">Remove “all” before plywood because it’s already in the </w:t>
            </w:r>
            <w:r w:rsidRPr="005A5027">
              <w:lastRenderedPageBreak/>
              <w:t>beginning of the sentence.</w:t>
            </w:r>
          </w:p>
        </w:tc>
        <w:tc>
          <w:tcPr>
            <w:tcW w:w="4320" w:type="dxa"/>
          </w:tcPr>
          <w:p w:rsidR="0066662A" w:rsidRPr="005A5027" w:rsidRDefault="0066662A" w:rsidP="001165F3">
            <w:pPr>
              <w:tabs>
                <w:tab w:val="num" w:pos="1440"/>
              </w:tabs>
            </w:pPr>
            <w:r w:rsidRPr="005A5027">
              <w:lastRenderedPageBreak/>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w:t>
            </w:r>
            <w:r w:rsidRPr="002D549F">
              <w:lastRenderedPageBreak/>
              <w:t>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lastRenderedPageBreak/>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 xml:space="preserve">Large is not defined and this rule should apply to </w:t>
            </w:r>
            <w:r w:rsidRPr="00FC0848">
              <w:lastRenderedPageBreak/>
              <w:t>any sawmill, plywood mill or veneer manufacturing plant, particleboard plant, or hardboard plant</w:t>
            </w:r>
            <w:r>
              <w:t>.</w:t>
            </w:r>
          </w:p>
        </w:tc>
        <w:tc>
          <w:tcPr>
            <w:tcW w:w="787" w:type="dxa"/>
          </w:tcPr>
          <w:p w:rsidR="0066662A" w:rsidRPr="006E233D" w:rsidRDefault="0066662A" w:rsidP="0066018C">
            <w:pPr>
              <w:jc w:val="center"/>
            </w:pPr>
            <w:r w:rsidRPr="00FC0848">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lastRenderedPageBreak/>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 xml:space="preserve">DEQ is changing all opacity limits to 6 minute </w:t>
            </w:r>
            <w:r w:rsidRPr="006E233D">
              <w:lastRenderedPageBreak/>
              <w:t>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lastRenderedPageBreak/>
              <w:t>SIP</w:t>
            </w:r>
          </w:p>
        </w:tc>
      </w:tr>
      <w:tr w:rsidR="0066662A" w:rsidRPr="006E233D" w:rsidTr="00914447">
        <w:tc>
          <w:tcPr>
            <w:tcW w:w="918" w:type="dxa"/>
          </w:tcPr>
          <w:p w:rsidR="0066662A" w:rsidRPr="006E233D" w:rsidRDefault="0066662A" w:rsidP="00914447">
            <w:r w:rsidRPr="006E233D">
              <w:lastRenderedPageBreak/>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lastRenderedPageBreak/>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w:t>
            </w:r>
            <w:r w:rsidRPr="005A5027">
              <w:lastRenderedPageBreak/>
              <w:t xml:space="preserve">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 xml:space="preserve">EPA’s rules for Commercial/Industrial Solid Waste Incineration require forced-air pit or air </w:t>
            </w:r>
            <w:r>
              <w:lastRenderedPageBreak/>
              <w:t>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lastRenderedPageBreak/>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lastRenderedPageBreak/>
              <w:t>“</w:t>
            </w:r>
            <w:r w:rsidR="000346D0" w:rsidRPr="000346D0">
              <w:t>Hazardous emissions reductions required to meet the MACT standards at 40 CFR part 61 and part 63, including emissions reductions to meet the early reduction requirements of section 112(</w:t>
            </w:r>
            <w:proofErr w:type="spellStart"/>
            <w:r w:rsidR="000346D0" w:rsidRPr="000346D0">
              <w:t>i</w:t>
            </w:r>
            <w:proofErr w:type="spellEnd"/>
            <w:r w:rsidR="000346D0"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rsidR="000346D0">
              <w:t>”</w:t>
            </w:r>
          </w:p>
        </w:tc>
        <w:tc>
          <w:tcPr>
            <w:tcW w:w="4320" w:type="dxa"/>
          </w:tcPr>
          <w:p w:rsidR="0066662A" w:rsidRPr="006E233D" w:rsidRDefault="0066662A" w:rsidP="00405958">
            <w:r w:rsidRPr="006E233D">
              <w:lastRenderedPageBreak/>
              <w:t xml:space="preserve">From 11/12/97 EPA Memo: Crediting of MACT </w:t>
            </w:r>
            <w:r w:rsidRPr="006E233D">
              <w:lastRenderedPageBreak/>
              <w:t>emissions reductions for NSR netting and offsets</w:t>
            </w:r>
            <w:r w:rsidR="00C56E80">
              <w:t xml:space="preserve">. </w:t>
            </w:r>
            <w:r w:rsidRPr="006E233D">
              <w:t xml:space="preserve">Required HAP emission reductions are not creditable as offsets </w:t>
            </w:r>
            <w:r w:rsidR="00405958">
              <w:t xml:space="preserve">in nonattainment or reattainment areas but can be used in maintenance or sustainment areas.  Emission reductions in excess of or incidental to </w:t>
            </w:r>
            <w:r w:rsidRPr="006E233D">
              <w:t>MACT standards</w:t>
            </w:r>
            <w:r w:rsidR="00405958">
              <w:t xml:space="preserve"> can be used as emission reduction credits anywhere</w:t>
            </w:r>
            <w:proofErr w:type="gramStart"/>
            <w:r w:rsidR="00405958">
              <w:t>.</w:t>
            </w:r>
            <w:r w:rsidR="00C56E80">
              <w:t>.</w:t>
            </w:r>
            <w:proofErr w:type="gramEnd"/>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27" w:rsidRDefault="009F0E27" w:rsidP="00213A82">
      <w:r>
        <w:separator/>
      </w:r>
    </w:p>
  </w:endnote>
  <w:endnote w:type="continuationSeparator" w:id="0">
    <w:p w:rsidR="009F0E27" w:rsidRDefault="009F0E2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27" w:rsidRDefault="00310AB3" w:rsidP="00213A82">
    <w:pPr>
      <w:pStyle w:val="Footer"/>
      <w:jc w:val="center"/>
    </w:pPr>
    <w:fldSimple w:instr=" DATE \@ &quot;M/d/yyyy&quot; ">
      <w:r w:rsidR="007A0077">
        <w:rPr>
          <w:noProof/>
        </w:rPr>
        <w:t>10/9/2013</w:t>
      </w:r>
    </w:fldSimple>
    <w:r w:rsidR="009F0E27">
      <w:tab/>
    </w:r>
    <w:r w:rsidR="009F0E27">
      <w:tab/>
    </w:r>
    <w:r w:rsidR="009F0E27">
      <w:tab/>
    </w:r>
    <w:r w:rsidR="009F0E27">
      <w:tab/>
    </w:r>
    <w:r w:rsidR="009F0E27">
      <w:tab/>
    </w:r>
    <w:r w:rsidR="009F0E27">
      <w:tab/>
      <w:t xml:space="preserve">Page </w:t>
    </w:r>
    <w:r>
      <w:rPr>
        <w:b/>
        <w:sz w:val="24"/>
        <w:szCs w:val="24"/>
      </w:rPr>
      <w:fldChar w:fldCharType="begin"/>
    </w:r>
    <w:r w:rsidR="009F0E27">
      <w:rPr>
        <w:b/>
      </w:rPr>
      <w:instrText xml:space="preserve"> PAGE </w:instrText>
    </w:r>
    <w:r>
      <w:rPr>
        <w:b/>
        <w:sz w:val="24"/>
        <w:szCs w:val="24"/>
      </w:rPr>
      <w:fldChar w:fldCharType="separate"/>
    </w:r>
    <w:r w:rsidR="007A0077">
      <w:rPr>
        <w:b/>
        <w:noProof/>
      </w:rPr>
      <w:t>25</w:t>
    </w:r>
    <w:r>
      <w:rPr>
        <w:b/>
        <w:sz w:val="24"/>
        <w:szCs w:val="24"/>
      </w:rPr>
      <w:fldChar w:fldCharType="end"/>
    </w:r>
    <w:r w:rsidR="009F0E27">
      <w:t xml:space="preserve"> of </w:t>
    </w:r>
    <w:r>
      <w:rPr>
        <w:b/>
        <w:sz w:val="24"/>
        <w:szCs w:val="24"/>
      </w:rPr>
      <w:fldChar w:fldCharType="begin"/>
    </w:r>
    <w:r w:rsidR="009F0E27">
      <w:rPr>
        <w:b/>
      </w:rPr>
      <w:instrText xml:space="preserve"> NUMPAGES  </w:instrText>
    </w:r>
    <w:r>
      <w:rPr>
        <w:b/>
        <w:sz w:val="24"/>
        <w:szCs w:val="24"/>
      </w:rPr>
      <w:fldChar w:fldCharType="separate"/>
    </w:r>
    <w:r w:rsidR="007A0077">
      <w:rPr>
        <w:b/>
        <w:noProof/>
      </w:rPr>
      <w:t>141</w:t>
    </w:r>
    <w:r>
      <w:rPr>
        <w:b/>
        <w:sz w:val="24"/>
        <w:szCs w:val="24"/>
      </w:rPr>
      <w:fldChar w:fldCharType="end"/>
    </w:r>
  </w:p>
  <w:p w:rsidR="009F0E27" w:rsidRDefault="009F0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27" w:rsidRDefault="009F0E27" w:rsidP="00213A82">
      <w:r>
        <w:separator/>
      </w:r>
    </w:p>
  </w:footnote>
  <w:footnote w:type="continuationSeparator" w:id="0">
    <w:p w:rsidR="009F0E27" w:rsidRDefault="009F0E27"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077"/>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178C351-990E-4C5F-B2F7-107293AC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141</Pages>
  <Words>53385</Words>
  <Characters>304298</Characters>
  <Application>Microsoft Office Word</Application>
  <DocSecurity>0</DocSecurity>
  <Lines>2535</Lines>
  <Paragraphs>713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26</cp:revision>
  <cp:lastPrinted>2013-09-13T21:39:00Z</cp:lastPrinted>
  <dcterms:created xsi:type="dcterms:W3CDTF">2013-09-23T21:41:00Z</dcterms:created>
  <dcterms:modified xsi:type="dcterms:W3CDTF">2013-10-09T19:33:00Z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