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856951" w:rsidRDefault="00856951" w:rsidP="003B13DA"/>
          <w:p w:rsidR="00E90ECA" w:rsidRPr="006E233D" w:rsidRDefault="00E90ECA" w:rsidP="003B13DA">
            <w:r w:rsidRPr="00E90ECA">
              <w:t xml:space="preserve">“Attainment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Btu/hr;”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 xml:space="preserve">Change “(d) Natural gas and propane burning equipment rated at less than or equal to 2.0 million Btu/hr;”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0020(20)(uu)</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)(uu)</w:t>
            </w:r>
          </w:p>
        </w:tc>
        <w:tc>
          <w:tcPr>
            <w:tcW w:w="4860" w:type="dxa"/>
          </w:tcPr>
          <w:p w:rsidR="002F7E87" w:rsidRPr="005A5027" w:rsidRDefault="002F7E87" w:rsidP="000B67FF">
            <w:r w:rsidRPr="005A5027">
              <w:t xml:space="preserve">Change “(uu)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(uu)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sidRPr="00B96E4E">
              <w:rPr>
                <w:bCs/>
              </w:rPr>
              <w:t>"Class I area" or “PSD Class I area” means any Federal, State or Indian reservation land which is classified or reclassified as a Class I area under OAR 340-204-0050 and OAR 340-204-0060.</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856951" w:rsidRDefault="00856951" w:rsidP="005B3646">
            <w:pPr>
              <w:rPr>
                <w:bCs/>
              </w:rPr>
            </w:pPr>
          </w:p>
          <w:p w:rsidR="00B96E4E" w:rsidRPr="005A5027" w:rsidRDefault="00B96E4E"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sidRPr="00B96E4E">
              <w:rPr>
                <w:bCs/>
              </w:rPr>
              <w:t>“Class II area” or “PSD Class II area’ means any land which is classified or reclassified as a Class II area under OAR 340-204-0050 and 340-204-0060.</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2F7E87"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sidRPr="00646715">
              <w:rPr>
                <w:bCs/>
              </w:rPr>
              <w:t xml:space="preserve">"De minimis emission level" mean the level for the </w:t>
            </w:r>
            <w:r w:rsidR="00853519">
              <w:rPr>
                <w:bCs/>
              </w:rPr>
              <w:t xml:space="preserve">regulated </w:t>
            </w:r>
            <w:r w:rsidRPr="00646715">
              <w:rPr>
                <w:bCs/>
              </w:rPr>
              <w:t>pollutants listed below:</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sidRPr="00476AFE">
              <w:rPr>
                <w:bCs/>
              </w:rPr>
              <w:t>“DEQ method [#]” means the sampling method and protocols for measuring a regulated pollutant as described in the DEQ Source Sampling Manual.</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856951" w:rsidRDefault="00856951" w:rsidP="009E7118">
            <w:pPr>
              <w:rPr>
                <w:bCs/>
              </w:rPr>
            </w:pPr>
          </w:p>
          <w:p w:rsidR="00476AFE" w:rsidRPr="006E233D" w:rsidRDefault="00476AFE"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2F7E87" w:rsidP="00856951">
            <w:r w:rsidRPr="006E233D">
              <w:t>"Dry Standard Cubic Foot" means the amount of gas that would occupy a volume of one cubic foot, if the gas were free of uncombined water at standard conditions.</w:t>
            </w:r>
          </w:p>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2F7E87"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F375A2">
            <w:pPr>
              <w:rPr>
                <w:bCs/>
              </w:rPr>
            </w:pPr>
            <w:r w:rsidRPr="005A5027">
              <w:rPr>
                <w:bCs/>
              </w:rPr>
              <w:t>Clarification</w:t>
            </w:r>
            <w:r w:rsidR="00C56E80">
              <w:rPr>
                <w:bCs/>
              </w:rPr>
              <w:t xml:space="preserve">. </w:t>
            </w:r>
            <w:r w:rsidRPr="005A5027">
              <w:rPr>
                <w:bCs/>
              </w:rPr>
              <w:t>These levels are included in the definition of “major source” and be</w:t>
            </w:r>
            <w:r w:rsidR="00F375A2">
              <w:rPr>
                <w:bCs/>
              </w:rPr>
              <w:t xml:space="preserve">ing moved to </w:t>
            </w:r>
            <w:r w:rsidRPr="005A5027">
              <w:rPr>
                <w:bCs/>
              </w:rPr>
              <w:t xml:space="preserve">in the definition of “federal major source”  </w:t>
            </w:r>
            <w:r w:rsidR="00F375A2">
              <w:rPr>
                <w:bCs/>
              </w:rPr>
              <w:t>since the definition of “major source” points to “federal major source”</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856951" w:rsidRDefault="00856951" w:rsidP="00735FF5"/>
          <w:p w:rsidR="002F7E87" w:rsidRPr="00735FF5" w:rsidRDefault="002F7E87" w:rsidP="00735FF5">
            <w:r w:rsidRPr="00735FF5">
              <w:t xml:space="preserve">“Fuel burning equipment” means any type of equipment that burns fuel, except internal combustion engines, and includes but is not limited to boilers, dryers, and process </w:t>
            </w:r>
            <w:r w:rsidR="00856951">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w:t>
            </w:r>
            <w:r w:rsidRPr="006E233D">
              <w:lastRenderedPageBreak/>
              <w:t xml:space="preserve">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2F7E87" w:rsidP="003E5895">
            <w:r w:rsidRPr="006E233D">
              <w:t>"Hardboard" means a flat panel made from wood that has been reduced to basic wood fibers and bonded by adhesive properties under pressure.</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rsidRPr="002D00F4">
              <w:lastRenderedPageBreak/>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2F7E87"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2F7E87" w:rsidP="001A6B72">
            <w:r w:rsidRPr="009414AA">
              <w:t>"Indian Reservation" means any federally recognized reservation established by Treaty, Agreement, Executive Order, or Act of Congress.</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856951" w:rsidRDefault="00856951" w:rsidP="00506FFE"/>
          <w:p w:rsidR="002F7E87" w:rsidRPr="006E233D" w:rsidRDefault="002F7E87" w:rsidP="00506FFE">
            <w:r w:rsidRPr="006E233D">
              <w:t>“Internal Combustion Engine” means stationary gas turbines and reciprocating internal combustion engines.</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2F7E87" w:rsidP="00506FFE">
            <w:r w:rsidRPr="006E233D">
              <w:t>"Liquefied petroleum gas" has the meaning given by the American Society for Testing and Materials in ASTM D1835-82, "Standard Specification for Liquid Petroleum Gases."</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2F7E87" w:rsidP="00942A36">
            <w:r w:rsidRPr="00957747">
              <w:t>"Maintenance Area" means any area that was formerly nonattainment for a criteria pollutant but has since met the ambient air quality standard(s), and EPA has approved a maintenance plan to stay within the standards pursuant to 40 CFR 51.110.</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w:t>
            </w:r>
            <w:r w:rsidRPr="006E233D">
              <w:lastRenderedPageBreak/>
              <w:t>standards and has had a maintenance plan to stay within the standards approved by the EPA 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rsidRPr="002D00F4">
              <w:t xml:space="preserve">“Major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w:t>
            </w:r>
          </w:p>
        </w:tc>
        <w:tc>
          <w:tcPr>
            <w:tcW w:w="4860" w:type="dxa"/>
          </w:tcPr>
          <w:p w:rsidR="002F7E87" w:rsidRPr="006E233D" w:rsidRDefault="00F375A2" w:rsidP="00156878">
            <w:r>
              <w:t>Move paragraph (D) to the definition of “federal major source”</w:t>
            </w:r>
          </w:p>
        </w:tc>
        <w:tc>
          <w:tcPr>
            <w:tcW w:w="4320" w:type="dxa"/>
          </w:tcPr>
          <w:p w:rsidR="002F7E87" w:rsidRPr="006E233D" w:rsidRDefault="00F375A2" w:rsidP="00E76070">
            <w:r>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2F7E87" w:rsidP="002F2EC1">
            <w:r w:rsidRPr="005B181E">
              <w:t>"Natural gas" means a naturally occurring mixture of hydrocarbon and nonhydrocarbon gases found in geologic formations beneath the earth's surface, of which the principal component is methane.</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lastRenderedPageBreak/>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lastRenderedPageBreak/>
              <w:t>SIP</w:t>
            </w:r>
          </w:p>
        </w:tc>
      </w:tr>
      <w:tr w:rsidR="00C12617" w:rsidRPr="006E233D" w:rsidTr="00156BF3">
        <w:tc>
          <w:tcPr>
            <w:tcW w:w="918" w:type="dxa"/>
          </w:tcPr>
          <w:p w:rsidR="00C12617" w:rsidRPr="00C12617" w:rsidRDefault="00C12617" w:rsidP="00156BF3">
            <w:pPr>
              <w:rPr>
                <w:highlight w:val="magenta"/>
              </w:rPr>
            </w:pPr>
            <w:r w:rsidRPr="00C12617">
              <w:rPr>
                <w:highlight w:val="magenta"/>
              </w:rPr>
              <w:lastRenderedPageBreak/>
              <w:t>200</w:t>
            </w:r>
          </w:p>
        </w:tc>
        <w:tc>
          <w:tcPr>
            <w:tcW w:w="1350" w:type="dxa"/>
          </w:tcPr>
          <w:p w:rsidR="00C12617" w:rsidRPr="00C12617" w:rsidRDefault="00C12617" w:rsidP="00156BF3">
            <w:pPr>
              <w:rPr>
                <w:highlight w:val="magenta"/>
              </w:rPr>
            </w:pPr>
            <w:r w:rsidRPr="00C12617">
              <w:rPr>
                <w:highlight w:val="magenta"/>
              </w:rPr>
              <w:t>0020(74</w:t>
            </w:r>
            <w:r w:rsidRPr="00C12617">
              <w:rPr>
                <w:highlight w:val="magenta"/>
              </w:rPr>
              <w:t>)</w:t>
            </w:r>
          </w:p>
        </w:tc>
        <w:tc>
          <w:tcPr>
            <w:tcW w:w="990" w:type="dxa"/>
          </w:tcPr>
          <w:p w:rsidR="00C12617" w:rsidRPr="00C12617" w:rsidRDefault="00C12617" w:rsidP="00156BF3">
            <w:pPr>
              <w:rPr>
                <w:highlight w:val="magenta"/>
              </w:rPr>
            </w:pPr>
            <w:r w:rsidRPr="00C12617">
              <w:rPr>
                <w:highlight w:val="magenta"/>
              </w:rPr>
              <w:t>200</w:t>
            </w:r>
          </w:p>
        </w:tc>
        <w:tc>
          <w:tcPr>
            <w:tcW w:w="1350" w:type="dxa"/>
          </w:tcPr>
          <w:p w:rsidR="00C12617" w:rsidRPr="00C12617" w:rsidRDefault="00C12617" w:rsidP="00156BF3">
            <w:pPr>
              <w:rPr>
                <w:highlight w:val="magenta"/>
              </w:rPr>
            </w:pPr>
            <w:r w:rsidRPr="00C12617">
              <w:rPr>
                <w:highlight w:val="magenta"/>
              </w:rPr>
              <w:t>0020(89)</w:t>
            </w:r>
          </w:p>
        </w:tc>
        <w:tc>
          <w:tcPr>
            <w:tcW w:w="4860" w:type="dxa"/>
          </w:tcPr>
          <w:p w:rsidR="00C12617" w:rsidRPr="00C12617" w:rsidRDefault="00C12617" w:rsidP="00156BF3">
            <w:pPr>
              <w:rPr>
                <w:highlight w:val="magenta"/>
              </w:rPr>
            </w:pPr>
            <w:r w:rsidRPr="00C12617">
              <w:rPr>
                <w:highlight w:val="magenta"/>
              </w:rPr>
              <w:t>Change “stationary source” to “source or part of a source”</w:t>
            </w:r>
          </w:p>
        </w:tc>
        <w:tc>
          <w:tcPr>
            <w:tcW w:w="4320" w:type="dxa"/>
          </w:tcPr>
          <w:p w:rsidR="00C12617" w:rsidRPr="00C12617" w:rsidRDefault="00C12617" w:rsidP="00156BF3">
            <w:pPr>
              <w:rPr>
                <w:highlight w:val="magenta"/>
              </w:rPr>
            </w:pPr>
            <w:r w:rsidRPr="00C12617">
              <w:rPr>
                <w:highlight w:val="magenta"/>
              </w:rPr>
              <w:t>Clarification</w:t>
            </w:r>
          </w:p>
        </w:tc>
        <w:tc>
          <w:tcPr>
            <w:tcW w:w="787" w:type="dxa"/>
          </w:tcPr>
          <w:p w:rsidR="00C12617" w:rsidRPr="006E233D" w:rsidRDefault="00C12617" w:rsidP="00156BF3">
            <w:pPr>
              <w:jc w:val="center"/>
            </w:pPr>
            <w:r w:rsidRPr="00C12617">
              <w:rPr>
                <w:highlight w:val="magenta"/>
              </w:rP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856951" w:rsidRDefault="00856951" w:rsidP="00FE68CE"/>
          <w:p w:rsidR="002F7E87" w:rsidRPr="006E233D" w:rsidRDefault="002F7E87" w:rsidP="00FE68CE">
            <w:r w:rsidRPr="006E233D">
              <w:t>"Odor" means that property of an air contaminant that affects the sense of smell.</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2F7E87" w:rsidP="009E305A">
            <w:r w:rsidRPr="006E233D">
              <w:t xml:space="preserve">"Opacity" means the degree to which emissions, excluding uncombined water, reduce the transmission of light and </w:t>
            </w:r>
            <w:proofErr w:type="gramStart"/>
            <w:r w:rsidRPr="006E233D">
              <w:t>obscure</w:t>
            </w:r>
            <w:proofErr w:type="gramEnd"/>
            <w:r w:rsidRPr="006E233D">
              <w:t xml:space="preserve"> the view of an object in the background as measured by EPA Method 9 or other method(s), as specified in each applicable rule.</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Move from division 240 and change reference method to EPA Method 9. Change limit to a 6-minute 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rsidRPr="0031145F">
              <w:t>"Oregon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rsidRPr="00B30323">
              <w:t>"Oregon Title V Operating Permit program" means the Oregon program described in OAR 340 division 218 and approved by the Administrator under 40 CFR Part 70.</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2F7E87" w:rsidP="00DC26E5">
            <w:r w:rsidRPr="005A5027">
              <w:t>"Particleboard" means matformed flat panels consisting of wood particles bonded together with synthetic resin or other suitable binder.</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matformed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matformed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lastRenderedPageBreak/>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"Permittee" means the owner or operator of a source, authorized to emit regulated pollutants under an ACDP or Oregon Title V Operating Permit.</w:t>
            </w:r>
          </w:p>
        </w:tc>
        <w:tc>
          <w:tcPr>
            <w:tcW w:w="4320" w:type="dxa"/>
          </w:tcPr>
          <w:p w:rsidR="002F7E87" w:rsidRDefault="002F7E87" w:rsidP="00A05C6C">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2F7E87"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w:t>
            </w:r>
            <w:r w:rsidRPr="00A05C6C">
              <w:lastRenderedPageBreak/>
              <w:t xml:space="preserve">corporation, partnership, association, State, municipality, political subdivision of a State, and 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856951">
            <w:r>
              <w:t>“</w:t>
            </w:r>
            <w:r w:rsidR="002F7E87" w:rsidRPr="00214890">
              <w:t>Plywood" means a flat panel built generally of an odd number of thin sheets of veneers of wood in which the grain direction of each ply or layer is at right angles to the one adjacent to it.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 xml:space="preserve">(a) The regulated pollutant emissions capacity of a </w:t>
            </w:r>
            <w:r w:rsidR="00112C55" w:rsidRPr="00146F2E">
              <w:lastRenderedPageBreak/>
              <w:t>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lastRenderedPageBreak/>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lastRenderedPageBreak/>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2F7E87" w:rsidP="00FE68CE">
            <w:r w:rsidRPr="006E233D">
              <w:t>"</w:t>
            </w:r>
            <w:proofErr w:type="gramStart"/>
            <w:r w:rsidRPr="006E233D">
              <w:t>ppm</w:t>
            </w:r>
            <w:proofErr w:type="gramEnd"/>
            <w:r w:rsidRPr="006E233D">
              <w:t xml:space="preserve">"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856951" w:rsidRDefault="00856951" w:rsidP="00276F39"/>
          <w:p w:rsidR="002F7E87" w:rsidRPr="006E233D" w:rsidRDefault="002F7E87"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00704" w:rsidP="00C966A6">
            <w:pPr>
              <w:rPr>
                <w:color w:val="000000"/>
              </w:rPr>
            </w:pPr>
            <w:r w:rsidRPr="00DA0AB7">
              <w:rPr>
                <w:color w:val="000000"/>
              </w:rPr>
              <w:t xml:space="preserve">“Reattainment area” means an area that is designated as </w:t>
            </w:r>
            <w:r w:rsidRPr="00DA0AB7">
              <w:rPr>
                <w:color w:val="000000"/>
              </w:rPr>
              <w:lastRenderedPageBreak/>
              <w:t>nonattainment and has three 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E00704" w:rsidRPr="006E233D" w:rsidRDefault="00E00704" w:rsidP="00C966A6">
            <w:r w:rsidRPr="006E233D">
              <w:lastRenderedPageBreak/>
              <w:t>Define new area for minor new source review</w:t>
            </w:r>
            <w:r w:rsidR="00C56E80">
              <w:t xml:space="preserve">. </w:t>
            </w:r>
            <w:r w:rsidRPr="006E233D">
              <w:t xml:space="preserve">Reattainment areas are those that were nonattainment areas but have monitoring data that </w:t>
            </w:r>
            <w:r w:rsidRPr="006E233D">
              <w:lastRenderedPageBreak/>
              <w:t>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lastRenderedPageBreak/>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2F7E87" w:rsidP="00202ED6">
            <w:pPr>
              <w:rPr>
                <w:bCs/>
              </w:rPr>
            </w:pPr>
            <w:r w:rsidRPr="00596E83">
              <w:rPr>
                <w:bCs/>
              </w:rPr>
              <w:t xml:space="preserve">“Removal Efficiency” means the performance of an air pollution control device in terms of the ratio of the amount of the </w:t>
            </w:r>
            <w:r w:rsidR="009E7118">
              <w:rPr>
                <w:bCs/>
              </w:rPr>
              <w:t>regulated pollutant</w:t>
            </w:r>
            <w:r w:rsidRPr="00596E83">
              <w:rPr>
                <w:bCs/>
              </w:rPr>
              <w:t xml:space="preserve"> removed from the airstream to the total amount of material that enters the air pollution control device.</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9168B7" w:rsidP="00991BF7">
            <w:r w:rsidRPr="009168B7">
              <w:t xml:space="preserve">"Significant impact" or “Significant impact level” means an additional ambient air quality concentration equal to or greater than the concentrations listed </w:t>
            </w:r>
            <w:r w:rsidR="003B13DA" w:rsidRPr="009168B7">
              <w:t xml:space="preserve">below. </w:t>
            </w:r>
            <w:r w:rsidRPr="009168B7">
              <w:t xml:space="preserve">The threshold concentrations listed </w:t>
            </w:r>
            <w:r w:rsidR="003B13DA" w:rsidRPr="009168B7">
              <w:t>below are</w:t>
            </w:r>
            <w:r w:rsidRPr="009168B7">
              <w:t xml:space="preserve"> used for comparison against the ambient air quality standards </w:t>
            </w:r>
            <w:r w:rsidR="003B13DA" w:rsidRPr="009168B7">
              <w:t>and PSD</w:t>
            </w:r>
            <w:r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p>
        </w:tc>
        <w:tc>
          <w:tcPr>
            <w:tcW w:w="4320" w:type="dxa"/>
          </w:tcPr>
          <w:p w:rsidR="002F7E87" w:rsidRDefault="002F7E87" w:rsidP="00432ED5">
            <w:r w:rsidRPr="006E233D">
              <w:lastRenderedPageBreak/>
              <w:t xml:space="preserve">The part of the sentence about protecting PSD </w:t>
            </w:r>
            <w:r w:rsidRPr="006E233D">
              <w:lastRenderedPageBreak/>
              <w:t>Class I increments is from a September 10, 1991 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991BF7" w:rsidP="00991BF7">
            <w:r w:rsidRPr="004E2669">
              <w:t>"Standard Conditions" means a temperature of 68° Fahrenheit (20° Celsius) and a pressure of 14.7 pounds per square inch absolute (1.03 Kilograms per square centimeter).</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rsidRPr="007E3438">
              <w:t>"Startup" and "shutdown" means that time during which a source or control device is brought into normal operation or normal operation is terminated, respectively.</w:t>
            </w:r>
          </w:p>
        </w:tc>
        <w:tc>
          <w:tcPr>
            <w:tcW w:w="4320" w:type="dxa"/>
          </w:tcPr>
          <w:p w:rsidR="002F7E87" w:rsidRPr="005A5027" w:rsidRDefault="002F7E87" w:rsidP="007C58F4">
            <w:r w:rsidRPr="005A5027">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sidRPr="00F262D1">
              <w:rPr>
                <w:color w:val="000000"/>
              </w:rPr>
              <w:t xml:space="preserve">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56951">
            <w:pPr>
              <w:rPr>
                <w:color w:val="000000"/>
              </w:rPr>
            </w:pP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B65AD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rsidRPr="0090251C">
              <w:t xml:space="preserve">"Synthetic minor source" means a source that would be classified as a major source under OAR 340-200-0020, but for limits on its potential to emit regulated pollutants contained in an ACDP or Oregon Title </w:t>
            </w:r>
            <w:proofErr w:type="gramStart"/>
            <w:r w:rsidRPr="0090251C">
              <w:t xml:space="preserve">V  </w:t>
            </w:r>
            <w:r>
              <w:t>permit</w:t>
            </w:r>
            <w:proofErr w:type="gramEnd"/>
            <w:r>
              <w:t xml:space="preserve"> issued by DEQ</w:t>
            </w:r>
            <w:r w:rsidRPr="0090251C">
              <w:t>.</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t xml:space="preserve">“(a) A major modification subject to OAR 340-224-0050, Requirements for Sources in Nonattainment Areas and </w:t>
            </w:r>
            <w:r w:rsidRPr="003A4A0A">
              <w:lastRenderedPageBreak/>
              <w:t xml:space="preserve">OAR 340-224-0055 Requirements for Sources in Reattainment Areas;” </w:t>
            </w:r>
          </w:p>
        </w:tc>
        <w:tc>
          <w:tcPr>
            <w:tcW w:w="4320" w:type="dxa"/>
          </w:tcPr>
          <w:p w:rsidR="003A4A0A" w:rsidRDefault="003A4A0A">
            <w:r w:rsidRPr="00F354B9">
              <w:lastRenderedPageBreak/>
              <w:t>DEQ has defined two new areas for minor new source review:  sustainment and reattainment areas</w:t>
            </w:r>
            <w:r w:rsidR="00C56E80">
              <w:t xml:space="preserve">. </w:t>
            </w:r>
          </w:p>
        </w:tc>
        <w:tc>
          <w:tcPr>
            <w:tcW w:w="787" w:type="dxa"/>
          </w:tcPr>
          <w:p w:rsidR="003A4A0A" w:rsidRPr="006E233D" w:rsidRDefault="003A4A0A" w:rsidP="00AF4378">
            <w:pPr>
              <w:jc w:val="center"/>
            </w:pPr>
            <w:r>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2F7E87" w:rsidP="0011112B">
            <w:r w:rsidRPr="006E233D">
              <w:t>"Veneer" means a single flat panel of wood not exceeding 1/4 inch in thickness formed by slicing or peeling from a log.</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2F7E87" w:rsidP="009623C7">
            <w:r w:rsidRPr="006E233D">
              <w:t>"Veneer Dryer" means equipment in which veneer is dried.</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2F7E87" w:rsidP="007B3A81">
            <w:r w:rsidRPr="006E233D">
              <w:t xml:space="preserve">"Wood Fired Veneer Dryer" means a veneer </w:t>
            </w:r>
            <w:proofErr w:type="gramStart"/>
            <w:r w:rsidRPr="006E233D">
              <w:t xml:space="preserve">dryer, </w:t>
            </w:r>
            <w:r>
              <w:t>that</w:t>
            </w:r>
            <w:proofErr w:type="gramEnd"/>
            <w:r>
              <w:t xml:space="preserve"> </w:t>
            </w:r>
            <w:r w:rsidRPr="006E233D">
              <w:t>is directly heated by the products of combustion of wood fuel in addition to or exclusive of steam or natural gas or propane combustion.</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2F7E87" w:rsidP="0084175E">
            <w:r w:rsidRPr="006E233D">
              <w:t xml:space="preserve">“Wood Fuel-Fired Device” means a device or appliance designed for wood fuel combustion, including cordwood stoves, woodstoves and fireplace stove inserts, fireplaces, wood fuel-fired cook stoves, pellet stoves and combination fuel furnaces or boilers, </w:t>
            </w:r>
            <w:r>
              <w:t>that</w:t>
            </w:r>
            <w:r w:rsidRPr="006E233D">
              <w:t xml:space="preserve"> burn wood fuels.</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 xml:space="preserve">The term used is “pollution control </w:t>
            </w:r>
            <w:r w:rsidRPr="006E233D">
              <w:lastRenderedPageBreak/>
              <w:t>device collection efficiency”</w:t>
            </w:r>
          </w:p>
        </w:tc>
        <w:tc>
          <w:tcPr>
            <w:tcW w:w="787" w:type="dxa"/>
          </w:tcPr>
          <w:p w:rsidR="002F7E87" w:rsidRPr="006E233D" w:rsidRDefault="002F7E87" w:rsidP="00C32E47">
            <w:pPr>
              <w:jc w:val="center"/>
            </w:pPr>
            <w:r>
              <w:lastRenderedPageBreak/>
              <w:t>SIP</w:t>
            </w:r>
          </w:p>
        </w:tc>
      </w:tr>
      <w:tr w:rsidR="002F7E87" w:rsidRPr="006E233D" w:rsidTr="00142A0B">
        <w:tc>
          <w:tcPr>
            <w:tcW w:w="918" w:type="dxa"/>
          </w:tcPr>
          <w:p w:rsidR="002F7E87" w:rsidRPr="006E233D" w:rsidRDefault="002F7E87" w:rsidP="00142A0B">
            <w:r w:rsidRPr="006E233D">
              <w:lastRenderedPageBreak/>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E22902">
        <w:tc>
          <w:tcPr>
            <w:tcW w:w="918" w:type="dxa"/>
          </w:tcPr>
          <w:p w:rsidR="00711850" w:rsidRPr="005A5027" w:rsidRDefault="00711850" w:rsidP="00E22902">
            <w:r w:rsidRPr="005A5027">
              <w:t>200</w:t>
            </w:r>
          </w:p>
        </w:tc>
        <w:tc>
          <w:tcPr>
            <w:tcW w:w="1350" w:type="dxa"/>
          </w:tcPr>
          <w:p w:rsidR="00711850" w:rsidRPr="005A5027" w:rsidRDefault="00711850" w:rsidP="00E22902">
            <w:r w:rsidRPr="005A5027">
              <w:t>0025(94)</w:t>
            </w:r>
          </w:p>
        </w:tc>
        <w:tc>
          <w:tcPr>
            <w:tcW w:w="990" w:type="dxa"/>
          </w:tcPr>
          <w:p w:rsidR="00711850" w:rsidRPr="005A5027" w:rsidRDefault="00711850" w:rsidP="00E22902">
            <w:r w:rsidRPr="005A5027">
              <w:t>200</w:t>
            </w:r>
          </w:p>
        </w:tc>
        <w:tc>
          <w:tcPr>
            <w:tcW w:w="1350" w:type="dxa"/>
          </w:tcPr>
          <w:p w:rsidR="00711850" w:rsidRPr="005A5027" w:rsidRDefault="00711850" w:rsidP="00E22902">
            <w:r w:rsidRPr="005A5027">
              <w:t>0025(</w:t>
            </w:r>
            <w:r>
              <w:t>101</w:t>
            </w:r>
            <w:r w:rsidRPr="005A5027">
              <w:t>)</w:t>
            </w:r>
          </w:p>
        </w:tc>
        <w:tc>
          <w:tcPr>
            <w:tcW w:w="4860" w:type="dxa"/>
          </w:tcPr>
          <w:p w:rsidR="00711850" w:rsidRPr="005A5027" w:rsidRDefault="00711850" w:rsidP="00E22902">
            <w:r w:rsidRPr="005A5027">
              <w:t>Alphabetize “SKATS”</w:t>
            </w:r>
          </w:p>
        </w:tc>
        <w:tc>
          <w:tcPr>
            <w:tcW w:w="4320" w:type="dxa"/>
          </w:tcPr>
          <w:p w:rsidR="00711850" w:rsidRPr="005A5027" w:rsidRDefault="00711850" w:rsidP="00E22902">
            <w:r w:rsidRPr="005A5027">
              <w:t>Correction</w:t>
            </w:r>
          </w:p>
        </w:tc>
        <w:tc>
          <w:tcPr>
            <w:tcW w:w="787" w:type="dxa"/>
          </w:tcPr>
          <w:p w:rsidR="00711850" w:rsidRPr="006E233D" w:rsidRDefault="00711850" w:rsidP="00E22902">
            <w:pPr>
              <w:jc w:val="center"/>
            </w:pPr>
            <w:r>
              <w:t>SIP</w:t>
            </w:r>
          </w:p>
        </w:tc>
      </w:tr>
      <w:tr w:rsidR="00711850" w:rsidRPr="005A5027" w:rsidTr="00D66578">
        <w:tc>
          <w:tcPr>
            <w:tcW w:w="918" w:type="dxa"/>
          </w:tcPr>
          <w:p w:rsidR="00711850" w:rsidRPr="005A5027" w:rsidRDefault="00711850" w:rsidP="00E22902">
            <w:r w:rsidRPr="005A5027">
              <w:t>NA</w:t>
            </w:r>
          </w:p>
        </w:tc>
        <w:tc>
          <w:tcPr>
            <w:tcW w:w="1350" w:type="dxa"/>
          </w:tcPr>
          <w:p w:rsidR="00711850" w:rsidRPr="005A5027" w:rsidRDefault="00711850" w:rsidP="00E22902">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E22902">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t>Table 4</w:t>
            </w:r>
          </w:p>
        </w:tc>
        <w:tc>
          <w:tcPr>
            <w:tcW w:w="990" w:type="dxa"/>
          </w:tcPr>
          <w:p w:rsidR="002F7E87" w:rsidRPr="00043E71" w:rsidRDefault="002F7E87" w:rsidP="00A65851">
            <w:r w:rsidRPr="00043E71">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(60)</w:t>
            </w:r>
          </w:p>
          <w:p w:rsidR="002F7E87" w:rsidRPr="00043E71" w:rsidRDefault="002F7E87" w:rsidP="00A65851">
            <w:r>
              <w:lastRenderedPageBreak/>
              <w:t>Table 5</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lastRenderedPageBreak/>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1"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w:t>
            </w:r>
            <w:r w:rsidRPr="00210118">
              <w:lastRenderedPageBreak/>
              <w:t>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 xml:space="preserve">which references the </w:t>
            </w:r>
            <w:r w:rsidRPr="00A73E12">
              <w:rPr>
                <w:color w:val="000000"/>
              </w:rPr>
              <w:lastRenderedPageBreak/>
              <w:t>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lastRenderedPageBreak/>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Lakeview currently exceeds the ambient air quality standard for PM2.5 but is not designated as a nonattainment area by EPA</w:t>
            </w:r>
            <w:r w:rsidR="00C56E80">
              <w:t xml:space="preserve">. </w:t>
            </w:r>
            <w:r w:rsidRPr="005A5027">
              <w:t xml:space="preserve">DEQ is working with Lakeview in the PM Advance program to reduce PM2.5 emissions so the area can meet the PM2.5 </w:t>
            </w:r>
            <w:r w:rsidRPr="005A5027">
              <w:lastRenderedPageBreak/>
              <w:t>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E22902">
        <w:tc>
          <w:tcPr>
            <w:tcW w:w="918" w:type="dxa"/>
            <w:shd w:val="clear" w:color="auto" w:fill="FFFFFF" w:themeFill="background1"/>
          </w:tcPr>
          <w:p w:rsidR="0065602E" w:rsidRPr="006E233D" w:rsidRDefault="0065602E" w:rsidP="00E22902">
            <w:r w:rsidRPr="006E233D">
              <w:t>206</w:t>
            </w:r>
          </w:p>
        </w:tc>
        <w:tc>
          <w:tcPr>
            <w:tcW w:w="1350" w:type="dxa"/>
            <w:shd w:val="clear" w:color="auto" w:fill="FFFFFF" w:themeFill="background1"/>
          </w:tcPr>
          <w:p w:rsidR="0065602E" w:rsidRPr="006E233D" w:rsidRDefault="0065602E" w:rsidP="00E22902">
            <w:r>
              <w:t>0070</w:t>
            </w:r>
          </w:p>
        </w:tc>
        <w:tc>
          <w:tcPr>
            <w:tcW w:w="990" w:type="dxa"/>
            <w:shd w:val="clear" w:color="auto" w:fill="FFFFFF" w:themeFill="background1"/>
          </w:tcPr>
          <w:p w:rsidR="0065602E" w:rsidRPr="006E233D" w:rsidRDefault="0065602E" w:rsidP="00E22902">
            <w:pPr>
              <w:rPr>
                <w:color w:val="000000"/>
              </w:rPr>
            </w:pPr>
            <w:r w:rsidRPr="006E233D">
              <w:rPr>
                <w:color w:val="000000"/>
              </w:rPr>
              <w:t>NA</w:t>
            </w:r>
          </w:p>
        </w:tc>
        <w:tc>
          <w:tcPr>
            <w:tcW w:w="1350" w:type="dxa"/>
            <w:shd w:val="clear" w:color="auto" w:fill="FFFFFF" w:themeFill="background1"/>
          </w:tcPr>
          <w:p w:rsidR="0065602E" w:rsidRPr="006E233D" w:rsidRDefault="0065602E" w:rsidP="00E22902">
            <w:pPr>
              <w:rPr>
                <w:color w:val="000000"/>
              </w:rPr>
            </w:pPr>
            <w:r w:rsidRPr="006E233D">
              <w:rPr>
                <w:color w:val="000000"/>
              </w:rPr>
              <w:t>NA</w:t>
            </w:r>
          </w:p>
        </w:tc>
        <w:tc>
          <w:tcPr>
            <w:tcW w:w="4860" w:type="dxa"/>
            <w:shd w:val="clear" w:color="auto" w:fill="FFFFFF" w:themeFill="background1"/>
          </w:tcPr>
          <w:p w:rsidR="0065602E" w:rsidRPr="006E233D" w:rsidRDefault="0065602E" w:rsidP="0065602E">
            <w:r>
              <w:t>Do not capitalize emergency action or operations manual</w:t>
            </w:r>
          </w:p>
        </w:tc>
        <w:tc>
          <w:tcPr>
            <w:tcW w:w="4320" w:type="dxa"/>
            <w:shd w:val="clear" w:color="auto" w:fill="FFFFFF" w:themeFill="background1"/>
          </w:tcPr>
          <w:p w:rsidR="0065602E" w:rsidRPr="006E233D" w:rsidRDefault="0065602E" w:rsidP="00E22902">
            <w:r>
              <w:t>Cor</w:t>
            </w:r>
            <w:r w:rsidRPr="006E233D">
              <w:t>rection</w:t>
            </w:r>
          </w:p>
        </w:tc>
        <w:tc>
          <w:tcPr>
            <w:tcW w:w="787" w:type="dxa"/>
            <w:shd w:val="clear" w:color="auto" w:fill="FFFFFF" w:themeFill="background1"/>
          </w:tcPr>
          <w:p w:rsidR="0065602E" w:rsidRPr="006E233D" w:rsidRDefault="0065602E" w:rsidP="00E22902">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 xml:space="preserve">Add division 204 as another division that has definitions </w:t>
            </w:r>
            <w:r w:rsidRPr="006E233D">
              <w:lastRenderedPageBreak/>
              <w:t>that would apply to this division</w:t>
            </w:r>
          </w:p>
        </w:tc>
        <w:tc>
          <w:tcPr>
            <w:tcW w:w="4320" w:type="dxa"/>
          </w:tcPr>
          <w:p w:rsidR="002F7E87" w:rsidRPr="006E233D" w:rsidRDefault="002F7E87" w:rsidP="00947258">
            <w:r w:rsidRPr="006E233D">
              <w:lastRenderedPageBreak/>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2F7E87" w:rsidRPr="006E233D" w:rsidRDefault="002F7E87" w:rsidP="00FE68CE"/>
          <w:p w:rsidR="002F7E87" w:rsidRPr="006E233D" w:rsidRDefault="002F7E87" w:rsidP="009B210D">
            <w:r w:rsidRPr="006E233D">
              <w:rPr>
                <w:bCs/>
              </w:rPr>
              <w:lastRenderedPageBreak/>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Delete definition of “standard cubic foot” and use definition of “dry standard cubic foot” from division 240 and move to division 200</w:t>
            </w:r>
          </w:p>
          <w:p w:rsidR="002F7E87" w:rsidRDefault="002F7E87" w:rsidP="00502E10"/>
          <w:p w:rsidR="002F7E87" w:rsidRPr="00956BF2" w:rsidRDefault="002F7E87" w:rsidP="00956BF2">
            <w:r w:rsidRPr="00956BF2">
              <w:lastRenderedPageBreak/>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cubic foot, if the gas were free of uncombined water at standard conditions. When applied to </w:t>
            </w:r>
            <w:r w:rsidRPr="001B4827">
              <w:lastRenderedPageBreak/>
              <w:t>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and 340-208-0210 both apply throughout the whole state, this rule language isn’t needed any </w:t>
            </w:r>
            <w:r>
              <w:lastRenderedPageBreak/>
              <w:t>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t>A reference compliance method has not been developed for the 3 minute standard.</w:t>
            </w:r>
          </w:p>
          <w:p w:rsidR="002F7E87" w:rsidRPr="006E233D" w:rsidRDefault="002F7E87" w:rsidP="00E073F3">
            <w:pPr>
              <w:pStyle w:val="ListParagraph"/>
              <w:numPr>
                <w:ilvl w:val="1"/>
                <w:numId w:val="13"/>
              </w:numPr>
              <w:ind w:left="680"/>
            </w:pPr>
            <w:r w:rsidRPr="006E233D">
              <w:lastRenderedPageBreak/>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xml:space="preserve">, 2015 for compliance for sources that were installed, constructed, or modified </w:t>
            </w:r>
            <w:r w:rsidRPr="005A5027">
              <w:lastRenderedPageBreak/>
              <w:t>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lastRenderedPageBreak/>
              <w:t xml:space="preserve">This deferral gives pre-1970 sources time to add control equipment, make any other physical or </w:t>
            </w:r>
            <w:r w:rsidRPr="005A5027">
              <w:lastRenderedPageBreak/>
              <w:t>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lastRenderedPageBreak/>
              <w:t>SIP</w:t>
            </w:r>
          </w:p>
        </w:tc>
      </w:tr>
      <w:tr w:rsidR="002F7E87" w:rsidRPr="006E233D" w:rsidTr="0015032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 xml:space="preserve">(3) If requested by DEQ, the owner or operator must develop a fugitive emission control plan, including but not limited to the work practices in section (1), that will </w:t>
            </w:r>
            <w:r w:rsidRPr="0016749A">
              <w:lastRenderedPageBreak/>
              <w:t>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E22902">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E22902">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 xml:space="preserve">DEQ will consider any information gathered in this </w:t>
            </w:r>
            <w:r w:rsidRPr="00861B7E">
              <w:rPr>
                <w:color w:val="000000"/>
              </w:rPr>
              <w:lastRenderedPageBreak/>
              <w:t>process in its drafting of the proposed permit;</w:t>
            </w:r>
            <w:r>
              <w:rPr>
                <w:color w:val="000000"/>
              </w:rPr>
              <w:t>”</w:t>
            </w:r>
          </w:p>
        </w:tc>
        <w:tc>
          <w:tcPr>
            <w:tcW w:w="4320" w:type="dxa"/>
            <w:shd w:val="clear" w:color="auto" w:fill="auto"/>
          </w:tcPr>
          <w:p w:rsidR="002F7E87" w:rsidRPr="006E233D" w:rsidRDefault="002F7E87" w:rsidP="00B966A4">
            <w:r>
              <w:lastRenderedPageBreak/>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lastRenderedPageBreak/>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E22902">
        <w:tc>
          <w:tcPr>
            <w:tcW w:w="918" w:type="dxa"/>
            <w:shd w:val="clear" w:color="auto" w:fill="auto"/>
          </w:tcPr>
          <w:p w:rsidR="00040197" w:rsidRPr="006E233D" w:rsidRDefault="00040197" w:rsidP="00E22902">
            <w:r w:rsidRPr="006E233D">
              <w:t>209</w:t>
            </w:r>
          </w:p>
        </w:tc>
        <w:tc>
          <w:tcPr>
            <w:tcW w:w="1350" w:type="dxa"/>
            <w:shd w:val="clear" w:color="auto" w:fill="auto"/>
          </w:tcPr>
          <w:p w:rsidR="00040197" w:rsidRPr="006E233D" w:rsidRDefault="00040197" w:rsidP="00E22902">
            <w:r>
              <w:t>0060(4</w:t>
            </w:r>
            <w:r w:rsidRPr="006E233D">
              <w:t>)</w:t>
            </w:r>
            <w:r>
              <w:t xml:space="preserve">(a) </w:t>
            </w:r>
          </w:p>
        </w:tc>
        <w:tc>
          <w:tcPr>
            <w:tcW w:w="990" w:type="dxa"/>
          </w:tcPr>
          <w:p w:rsidR="00040197" w:rsidRPr="006E233D" w:rsidRDefault="00040197" w:rsidP="00E22902">
            <w:pPr>
              <w:rPr>
                <w:color w:val="000000"/>
              </w:rPr>
            </w:pPr>
            <w:r w:rsidRPr="006E233D">
              <w:rPr>
                <w:color w:val="000000"/>
              </w:rPr>
              <w:t>NA</w:t>
            </w:r>
          </w:p>
        </w:tc>
        <w:tc>
          <w:tcPr>
            <w:tcW w:w="1350" w:type="dxa"/>
          </w:tcPr>
          <w:p w:rsidR="00040197" w:rsidRPr="006E233D" w:rsidRDefault="00040197" w:rsidP="00E22902">
            <w:pPr>
              <w:rPr>
                <w:color w:val="000000"/>
              </w:rPr>
            </w:pPr>
            <w:r w:rsidRPr="006E233D">
              <w:rPr>
                <w:color w:val="000000"/>
              </w:rPr>
              <w:t>NA</w:t>
            </w:r>
          </w:p>
        </w:tc>
        <w:tc>
          <w:tcPr>
            <w:tcW w:w="4860" w:type="dxa"/>
            <w:shd w:val="clear" w:color="auto" w:fill="auto"/>
          </w:tcPr>
          <w:p w:rsidR="00040197" w:rsidRPr="006E233D" w:rsidRDefault="00040197" w:rsidP="00E22902">
            <w:pPr>
              <w:rPr>
                <w:color w:val="000000"/>
              </w:rPr>
            </w:pPr>
            <w:r>
              <w:rPr>
                <w:color w:val="000000"/>
              </w:rPr>
              <w:t>Delete the comma between OAR 340 and division 224</w:t>
            </w:r>
          </w:p>
        </w:tc>
        <w:tc>
          <w:tcPr>
            <w:tcW w:w="4320" w:type="dxa"/>
            <w:shd w:val="clear" w:color="auto" w:fill="auto"/>
          </w:tcPr>
          <w:p w:rsidR="00040197" w:rsidRPr="006E233D" w:rsidRDefault="00040197" w:rsidP="00E22902">
            <w:r>
              <w:t>Correction</w:t>
            </w:r>
          </w:p>
        </w:tc>
        <w:tc>
          <w:tcPr>
            <w:tcW w:w="787" w:type="dxa"/>
            <w:shd w:val="clear" w:color="auto" w:fill="auto"/>
          </w:tcPr>
          <w:p w:rsidR="00040197" w:rsidRPr="006E233D" w:rsidRDefault="00040197" w:rsidP="00E2290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0110(3), (4), and (5)</w:t>
            </w:r>
          </w:p>
        </w:tc>
        <w:tc>
          <w:tcPr>
            <w:tcW w:w="990" w:type="dxa"/>
          </w:tcPr>
          <w:p w:rsidR="00D7180A" w:rsidRPr="005A5027" w:rsidRDefault="00D7180A" w:rsidP="004076B8">
            <w:r w:rsidRPr="005A5027">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Make structure of registration requirements similar in each section</w:t>
            </w:r>
          </w:p>
        </w:tc>
        <w:tc>
          <w:tcPr>
            <w:tcW w:w="4320" w:type="dxa"/>
          </w:tcPr>
          <w:p w:rsidR="00D7180A" w:rsidRPr="005A5027" w:rsidRDefault="00D7180A" w:rsidP="004076B8">
            <w:r w:rsidRPr="005A5027">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lastRenderedPageBreak/>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lastRenderedPageBreak/>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lastRenderedPageBreak/>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Emissions are from the source, not individual “stationary sources” for comparison to the netting basis and significant emission rate</w:t>
            </w:r>
          </w:p>
        </w:tc>
        <w:tc>
          <w:tcPr>
            <w:tcW w:w="787" w:type="dxa"/>
          </w:tcPr>
          <w:p w:rsidR="00140BCF" w:rsidRPr="006E233D" w:rsidRDefault="00140BCF"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lastRenderedPageBreak/>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Plant Site Emission Limit by more than the de minimis levels defined in OAR 340-200-0020 before applying unassigned emissions or emissions reduction credits available to the source but less than the significant emission rate after applying unassigned emissions or </w:t>
            </w:r>
            <w:r w:rsidRPr="009D4161">
              <w:lastRenderedPageBreak/>
              <w:t>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t>“</w:t>
            </w:r>
            <w:r w:rsidRPr="00CA2C0B">
              <w:t xml:space="preserve">(5) Hearing. A person against whom an order prohibiting construction or modification is directed may request a contested case hearing within 20 days from the </w:t>
            </w:r>
            <w:r w:rsidRPr="00CA2C0B">
              <w:lastRenderedPageBreak/>
              <w:t>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lastRenderedPageBreak/>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lastRenderedPageBreak/>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(2) DEQ may approve an equivalent or alternative 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lastRenderedPageBreak/>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E22902">
        <w:tc>
          <w:tcPr>
            <w:tcW w:w="918" w:type="dxa"/>
            <w:tcBorders>
              <w:bottom w:val="double" w:sz="6" w:space="0" w:color="auto"/>
            </w:tcBorders>
          </w:tcPr>
          <w:p w:rsidR="00F67B45" w:rsidRPr="006E233D" w:rsidRDefault="00F67B45" w:rsidP="00E22902">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pPr>
              <w:rPr>
                <w:color w:val="000000"/>
              </w:rPr>
            </w:pPr>
            <w:r w:rsidRPr="006E233D">
              <w:rPr>
                <w:color w:val="000000"/>
              </w:rPr>
              <w:t>NA</w:t>
            </w:r>
          </w:p>
        </w:tc>
        <w:tc>
          <w:tcPr>
            <w:tcW w:w="4860" w:type="dxa"/>
            <w:tcBorders>
              <w:bottom w:val="double" w:sz="6" w:space="0" w:color="auto"/>
            </w:tcBorders>
          </w:tcPr>
          <w:p w:rsidR="00F67B45" w:rsidRPr="006E233D" w:rsidRDefault="00F67B45" w:rsidP="00E22902">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E22902">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E22902">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BF08D2">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w:t>
            </w:r>
            <w:r w:rsidRPr="00B02476">
              <w:lastRenderedPageBreak/>
              <w:t>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62E4F" w:rsidRPr="006E233D" w:rsidRDefault="00862E4F" w:rsidP="0066018C">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 xml:space="preserve">Add “Whether the excess emission event was due to an </w:t>
            </w:r>
            <w:r w:rsidRPr="006E233D">
              <w:lastRenderedPageBreak/>
              <w:t>emergency.”</w:t>
            </w:r>
          </w:p>
        </w:tc>
        <w:tc>
          <w:tcPr>
            <w:tcW w:w="4320" w:type="dxa"/>
          </w:tcPr>
          <w:p w:rsidR="002F7E87" w:rsidRPr="006E233D" w:rsidRDefault="002F7E87" w:rsidP="00187E03">
            <w:r w:rsidRPr="006E233D">
              <w:lastRenderedPageBreak/>
              <w:t xml:space="preserve">DEQ is limiting emergency as an affirmative </w:t>
            </w:r>
            <w:r w:rsidRPr="006E233D">
              <w:lastRenderedPageBreak/>
              <w:t>defense to Title V permitted sources but is including emergency as one of the criteria to consider in taking enforcement action.</w:t>
            </w:r>
          </w:p>
        </w:tc>
        <w:tc>
          <w:tcPr>
            <w:tcW w:w="787" w:type="dxa"/>
          </w:tcPr>
          <w:p w:rsidR="002F7E87" w:rsidRPr="006E233D" w:rsidRDefault="002F7E87"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w:t>
            </w:r>
            <w:r w:rsidR="00571F77" w:rsidRPr="00571F77">
              <w:lastRenderedPageBreak/>
              <w:t xml:space="preserve">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lastRenderedPageBreak/>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lastRenderedPageBreak/>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when an application for a permit 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w:t>
            </w:r>
            <w:r w:rsidRPr="005A5027">
              <w:lastRenderedPageBreak/>
              <w:t xml:space="preserve">renewed. </w:t>
            </w:r>
          </w:p>
        </w:tc>
        <w:tc>
          <w:tcPr>
            <w:tcW w:w="4320" w:type="dxa"/>
            <w:tcBorders>
              <w:bottom w:val="double" w:sz="6" w:space="0" w:color="auto"/>
            </w:tcBorders>
          </w:tcPr>
          <w:p w:rsidR="002F7E87" w:rsidRPr="005A5027" w:rsidRDefault="002F7E87" w:rsidP="00CD4350">
            <w:r w:rsidRPr="005A5027">
              <w:lastRenderedPageBreak/>
              <w:t xml:space="preserve">Construction ACDPs are issued for 5 years with an </w:t>
            </w:r>
            <w:r w:rsidRPr="005A5027">
              <w:lastRenderedPageBreak/>
              <w:t>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D66578">
        <w:tc>
          <w:tcPr>
            <w:tcW w:w="918" w:type="dxa"/>
            <w:tcBorders>
              <w:bottom w:val="double" w:sz="6" w:space="0" w:color="auto"/>
            </w:tcBorders>
          </w:tcPr>
          <w:p w:rsidR="002F7E87" w:rsidRPr="005A5027" w:rsidRDefault="002F7E87" w:rsidP="00A65851">
            <w:r>
              <w:lastRenderedPageBreak/>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 xml:space="preserve">s </w:t>
            </w:r>
            <w:r w:rsidR="005B3646">
              <w:lastRenderedPageBreak/>
              <w:t>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w:t>
            </w:r>
            <w:r w:rsidRPr="005A5027">
              <w:lastRenderedPageBreak/>
              <w:t>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 xml:space="preserve">Once the initial permit </w:t>
            </w:r>
            <w:r w:rsidRPr="008D357A">
              <w:lastRenderedPageBreak/>
              <w:t>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E22902">
        <w:tc>
          <w:tcPr>
            <w:tcW w:w="918" w:type="dxa"/>
            <w:tcBorders>
              <w:bottom w:val="double" w:sz="6" w:space="0" w:color="auto"/>
            </w:tcBorders>
          </w:tcPr>
          <w:p w:rsidR="00AF7E72" w:rsidRPr="00D064E0" w:rsidRDefault="00AF7E72" w:rsidP="00E22902">
            <w:r>
              <w:t>NA</w:t>
            </w:r>
          </w:p>
        </w:tc>
        <w:tc>
          <w:tcPr>
            <w:tcW w:w="1350" w:type="dxa"/>
            <w:tcBorders>
              <w:bottom w:val="double" w:sz="6" w:space="0" w:color="auto"/>
            </w:tcBorders>
          </w:tcPr>
          <w:p w:rsidR="00AF7E72" w:rsidRPr="00D064E0" w:rsidRDefault="00AF7E72" w:rsidP="00E22902">
            <w:r>
              <w:t>NA</w:t>
            </w:r>
          </w:p>
        </w:tc>
        <w:tc>
          <w:tcPr>
            <w:tcW w:w="990"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0064(2)(a)(A)(iii)</w:t>
            </w:r>
          </w:p>
        </w:tc>
        <w:tc>
          <w:tcPr>
            <w:tcW w:w="4860" w:type="dxa"/>
            <w:tcBorders>
              <w:bottom w:val="double" w:sz="6" w:space="0" w:color="auto"/>
            </w:tcBorders>
          </w:tcPr>
          <w:p w:rsidR="00AF7E72" w:rsidRDefault="00AF7E72" w:rsidP="00E22902">
            <w:r>
              <w:t>Add:</w:t>
            </w:r>
          </w:p>
          <w:p w:rsidR="00AF7E72" w:rsidRPr="00D064E0" w:rsidRDefault="00AF7E72" w:rsidP="00E22902">
            <w:r>
              <w:t>“</w:t>
            </w:r>
            <w:r w:rsidRPr="00AC1486">
              <w:t>(iii) Category 27. Electric Power Generation;</w:t>
            </w:r>
            <w:r>
              <w:t>”</w:t>
            </w:r>
          </w:p>
        </w:tc>
        <w:tc>
          <w:tcPr>
            <w:tcW w:w="4320" w:type="dxa"/>
            <w:tcBorders>
              <w:bottom w:val="double" w:sz="6" w:space="0" w:color="auto"/>
            </w:tcBorders>
          </w:tcPr>
          <w:p w:rsidR="00AF7E72" w:rsidRPr="005A5027" w:rsidRDefault="00AF7E72" w:rsidP="00E22902">
            <w:r>
              <w:t>Clarification</w:t>
            </w:r>
          </w:p>
        </w:tc>
        <w:tc>
          <w:tcPr>
            <w:tcW w:w="787" w:type="dxa"/>
            <w:tcBorders>
              <w:bottom w:val="double" w:sz="6" w:space="0" w:color="auto"/>
            </w:tcBorders>
          </w:tcPr>
          <w:p w:rsidR="00AF7E72" w:rsidRPr="00D064E0" w:rsidRDefault="00AF7E72" w:rsidP="00E22902">
            <w:pPr>
              <w:jc w:val="center"/>
            </w:pPr>
            <w:r>
              <w:t>SIP</w:t>
            </w:r>
          </w:p>
        </w:tc>
      </w:tr>
      <w:tr w:rsidR="00AF7E72" w:rsidRPr="006E233D" w:rsidTr="008B1F3B">
        <w:tc>
          <w:tcPr>
            <w:tcW w:w="918"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lastRenderedPageBreak/>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w:t>
            </w:r>
            <w:r w:rsidRPr="00435248">
              <w:lastRenderedPageBreak/>
              <w:t>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January 1, 1978 was chosen in the 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t>“</w:t>
            </w:r>
            <w:r w:rsidRPr="00F84C80">
              <w:t xml:space="preserve">(1) Purpose. This rule allows DEQ to add new requirements to existing Simple or Standard ACDPs by assigning the source to an ACDP Attachment issued under section (2). An ACDP Attachment would apply to </w:t>
            </w:r>
            <w:r w:rsidRPr="00F84C80">
              <w:lastRenderedPageBreak/>
              <w:t>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w:t>
            </w:r>
            <w:r w:rsidRPr="004348F2">
              <w:lastRenderedPageBreak/>
              <w:t>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remain in effect until after a final order is issued following the hearing.</w:t>
            </w:r>
            <w:r>
              <w:t>”</w:t>
            </w:r>
          </w:p>
        </w:tc>
        <w:tc>
          <w:tcPr>
            <w:tcW w:w="4320" w:type="dxa"/>
            <w:tcBorders>
              <w:bottom w:val="double" w:sz="6" w:space="0" w:color="auto"/>
            </w:tcBorders>
          </w:tcPr>
          <w:p w:rsidR="00AC1486" w:rsidRPr="005A5027" w:rsidRDefault="00B07579" w:rsidP="00B07579">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7.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B 13.</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lastRenderedPageBreak/>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lastRenderedPageBreak/>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0D2A22" w:rsidRPr="005A5027" w:rsidRDefault="000D2A22" w:rsidP="000D2A22">
            <w:r w:rsidRPr="005A5027">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lastRenderedPageBreak/>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VVVVVV to tank trucks or railcars and are not subject to emission limits in Table 2, 3, 4, 5, 6, </w:t>
            </w:r>
            <w:r w:rsidRPr="00B540D1">
              <w:rPr>
                <w:bCs/>
                <w:color w:val="000000"/>
              </w:rPr>
              <w:lastRenderedPageBreak/>
              <w:t>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lastRenderedPageBreak/>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AC1486" w:rsidRPr="006E233D" w:rsidRDefault="00AC1486" w:rsidP="00BC062C">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xml:space="preserve">, not “Air </w:t>
            </w:r>
            <w:r>
              <w:lastRenderedPageBreak/>
              <w:t>Pollution Agency”</w:t>
            </w:r>
          </w:p>
        </w:tc>
        <w:tc>
          <w:tcPr>
            <w:tcW w:w="4320" w:type="dxa"/>
            <w:tcBorders>
              <w:bottom w:val="double" w:sz="6" w:space="0" w:color="auto"/>
            </w:tcBorders>
          </w:tcPr>
          <w:p w:rsidR="00AC1486" w:rsidRDefault="00AC1486" w:rsidP="00DF4613">
            <w:r>
              <w:lastRenderedPageBreak/>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lastRenderedPageBreak/>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lastRenderedPageBreak/>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w:t>
            </w:r>
            <w:r>
              <w:lastRenderedPageBreak/>
              <w:t xml:space="preserve">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rPr>
          <w:trHeight w:val="198"/>
        </w:trPr>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(2) For sources with potential to emit greater than or equal to the SER, the source specific PSEL will be set equal to the source's potential to emit, netting basis or a level requested by the applicant, whichever is less, except as provided in section (3) or (4)</w:t>
            </w:r>
            <w:r>
              <w:t>.”</w:t>
            </w:r>
          </w:p>
        </w:tc>
        <w:tc>
          <w:tcPr>
            <w:tcW w:w="4320" w:type="dxa"/>
          </w:tcPr>
          <w:p w:rsidR="00AC1486" w:rsidRPr="005A5027" w:rsidRDefault="00AC1486" w:rsidP="0084085B">
            <w:r w:rsidRPr="005A5027">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lastRenderedPageBreak/>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lastRenderedPageBreak/>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w:t>
            </w:r>
            <w:r w:rsidRPr="00B45419">
              <w:lastRenderedPageBreak/>
              <w:t>information, the corrected PM10 PSEL will be used to correct the initial PM2.5 PSEL.”</w:t>
            </w:r>
          </w:p>
        </w:tc>
        <w:tc>
          <w:tcPr>
            <w:tcW w:w="4320" w:type="dxa"/>
          </w:tcPr>
          <w:p w:rsidR="00AC1486" w:rsidRPr="00B45419" w:rsidRDefault="00AC1486" w:rsidP="00166499">
            <w:r w:rsidRPr="00B45419">
              <w:lastRenderedPageBreak/>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 xml:space="preserve">This is a one-time correction only for the </w:t>
            </w:r>
            <w:r w:rsidRPr="00B45419">
              <w:lastRenderedPageBreak/>
              <w:t>initial PSEL and netting basis</w:t>
            </w:r>
            <w:r w:rsidR="00C56E80">
              <w:t xml:space="preserve">. </w:t>
            </w:r>
          </w:p>
        </w:tc>
        <w:tc>
          <w:tcPr>
            <w:tcW w:w="787" w:type="dxa"/>
          </w:tcPr>
          <w:p w:rsidR="00AC1486" w:rsidRPr="00B45419" w:rsidRDefault="00AC1486" w:rsidP="0066018C">
            <w:pPr>
              <w:jc w:val="center"/>
            </w:pPr>
            <w:r w:rsidRPr="00B45419">
              <w:lastRenderedPageBreak/>
              <w:t>SIP</w:t>
            </w:r>
          </w:p>
        </w:tc>
      </w:tr>
      <w:tr w:rsidR="00AC1486" w:rsidRPr="008C2F52" w:rsidTr="00D66578">
        <w:tc>
          <w:tcPr>
            <w:tcW w:w="918" w:type="dxa"/>
          </w:tcPr>
          <w:p w:rsidR="00AC1486" w:rsidRPr="00B45419" w:rsidRDefault="00AC1486" w:rsidP="00A65851">
            <w:r w:rsidRPr="00B45419">
              <w:lastRenderedPageBreak/>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6) If a PSEL is established or revised to include 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 xml:space="preserve">Sources would be required to get a permit if needed but could limit PTE to stay on a general </w:t>
            </w:r>
            <w:r w:rsidRPr="00CE2CFA">
              <w:rPr>
                <w:bCs/>
              </w:rPr>
              <w:lastRenderedPageBreak/>
              <w:t>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AC1486" w:rsidRPr="00994E1A" w:rsidRDefault="00AC1486" w:rsidP="00FE68CE">
            <w:r>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lastRenderedPageBreak/>
              <w:t>“</w:t>
            </w:r>
            <w:r w:rsidRPr="00C21B5D">
              <w:t>(1) A netting basis will only be established for those regulated pollutants subject to OAR 340 division 224</w:t>
            </w:r>
            <w:r>
              <w:t>.”</w:t>
            </w:r>
          </w:p>
        </w:tc>
        <w:tc>
          <w:tcPr>
            <w:tcW w:w="4320" w:type="dxa"/>
          </w:tcPr>
          <w:p w:rsidR="00AC1486" w:rsidRPr="006E233D" w:rsidRDefault="00AC1486" w:rsidP="003E0354">
            <w:r>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t>
            </w:r>
            <w:r w:rsidRPr="006E233D">
              <w:lastRenderedPageBreak/>
              <w:t xml:space="preserve">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lastRenderedPageBreak/>
              <w:t xml:space="preserve">After adding PM2.5 as a regulated pollutant, DEQ found that some PM10 netting bases required correction before they could be used to establish </w:t>
            </w:r>
            <w:r w:rsidRPr="006E233D">
              <w:lastRenderedPageBreak/>
              <w:t>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(d)(D)</w:t>
            </w:r>
          </w:p>
        </w:tc>
        <w:tc>
          <w:tcPr>
            <w:tcW w:w="990" w:type="dxa"/>
          </w:tcPr>
          <w:p w:rsidR="00AC1486" w:rsidRPr="002410A4" w:rsidRDefault="00AC1486" w:rsidP="002410A4">
            <w:r>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t>“</w:t>
            </w:r>
            <w:r w:rsidRPr="002410A4">
              <w:t>(D) Any source with a netting basis calculation resulting in a negative number.</w:t>
            </w:r>
            <w:r>
              <w:t>”</w:t>
            </w:r>
          </w:p>
        </w:tc>
        <w:tc>
          <w:tcPr>
            <w:tcW w:w="4320" w:type="dxa"/>
          </w:tcPr>
          <w:p w:rsidR="00AC1486" w:rsidRPr="006E233D" w:rsidRDefault="00AC1486" w:rsidP="002410A4">
            <w:r>
              <w:t xml:space="preserve">This language is no longer necessary because of the other changes in this rule.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 xml:space="preserve">rule, order or permit condition, to operate the affected </w:t>
            </w:r>
            <w:r w:rsidRPr="00E065C4">
              <w:lastRenderedPageBreak/>
              <w:t>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lastRenderedPageBreak/>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 xml:space="preserve">changes the requirements for the original boilers </w:t>
            </w:r>
            <w:r w:rsidRPr="00E065C4">
              <w:lastRenderedPageBreak/>
              <w:t>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lastRenderedPageBreak/>
              <w:t>SIP</w:t>
            </w:r>
          </w:p>
        </w:tc>
      </w:tr>
      <w:tr w:rsidR="00AC1486" w:rsidRPr="006E233D" w:rsidTr="00EC1D4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 xml:space="preserve">(c) The netting basis will be reduced by the amount of emission reduction credits transferred off site in </w:t>
            </w:r>
            <w:r w:rsidRPr="00ED251E">
              <w:lastRenderedPageBreak/>
              <w:t>accordance with OAR 340 division 268;</w:t>
            </w:r>
            <w:r>
              <w:t>”</w:t>
            </w:r>
          </w:p>
        </w:tc>
        <w:tc>
          <w:tcPr>
            <w:tcW w:w="4320" w:type="dxa"/>
          </w:tcPr>
          <w:p w:rsidR="00AC1486" w:rsidRPr="006E233D" w:rsidRDefault="00AC1486" w:rsidP="00D37AB3">
            <w:r w:rsidRPr="006E233D">
              <w:lastRenderedPageBreak/>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bookmarkStart w:id="11" w:name="_GoBack"/>
            <w:bookmarkEnd w:id="11"/>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lastRenderedPageBreak/>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lastRenderedPageBreak/>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lastRenderedPageBreak/>
              <w:t>Simplification</w:t>
            </w:r>
            <w:r w:rsidR="00C56E80">
              <w:t xml:space="preserve">. </w:t>
            </w:r>
            <w:r w:rsidRPr="006E233D">
              <w:t xml:space="preserve">Division 224 defines what </w:t>
            </w:r>
            <w:r w:rsidRPr="006E233D">
              <w:lastRenderedPageBreak/>
              <w:t>pollutants are regulated.</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lastRenderedPageBreak/>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lastRenderedPageBreak/>
              <w:t>Clarification and r</w:t>
            </w:r>
            <w:r w:rsidRPr="005A5027">
              <w:rPr>
                <w:bCs/>
                <w:color w:val="000000"/>
              </w:rPr>
              <w:t xml:space="preserve">estructure so correct cross </w:t>
            </w:r>
            <w:r w:rsidRPr="005A5027">
              <w:rPr>
                <w:bCs/>
                <w:color w:val="000000"/>
              </w:rPr>
              <w:lastRenderedPageBreak/>
              <w:t>reference</w:t>
            </w:r>
          </w:p>
        </w:tc>
        <w:tc>
          <w:tcPr>
            <w:tcW w:w="787" w:type="dxa"/>
          </w:tcPr>
          <w:p w:rsidR="00AC1486" w:rsidRPr="006E233D" w:rsidRDefault="00AC1486" w:rsidP="0066018C">
            <w:pPr>
              <w:jc w:val="center"/>
            </w:pPr>
            <w:r>
              <w:lastRenderedPageBreak/>
              <w:t>SIP</w:t>
            </w:r>
          </w:p>
        </w:tc>
      </w:tr>
      <w:tr w:rsidR="00AC1486" w:rsidRPr="005A5027"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 xml:space="preserve">For any source or part of a source whose actual emissions of greenhouse gases were determined pursuant to paragraph (1)(c)(B), and for all other sources of all </w:t>
            </w:r>
            <w:r w:rsidRPr="006E233D">
              <w:lastRenderedPageBreak/>
              <w:t>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lastRenderedPageBreak/>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lastRenderedPageBreak/>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to emit.”</w:t>
            </w:r>
          </w:p>
        </w:tc>
        <w:tc>
          <w:tcPr>
            <w:tcW w:w="4320" w:type="dxa"/>
          </w:tcPr>
          <w:p w:rsidR="00AC1486" w:rsidRPr="006E233D" w:rsidRDefault="00AC1486"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 xml:space="preserve">Delete “Table 2,” change “this date” to “that date” and </w:t>
            </w:r>
            <w:r>
              <w:lastRenderedPageBreak/>
              <w:t>delete the ED.NOTE for the table</w:t>
            </w:r>
          </w:p>
        </w:tc>
        <w:tc>
          <w:tcPr>
            <w:tcW w:w="4320" w:type="dxa"/>
          </w:tcPr>
          <w:p w:rsidR="00AC1486" w:rsidRPr="005A5027" w:rsidRDefault="00AC1486" w:rsidP="00FE68CE">
            <w:r>
              <w:lastRenderedPageBreak/>
              <w:t xml:space="preserve">The significant emission rates were moved into the </w:t>
            </w:r>
            <w:r>
              <w:lastRenderedPageBreak/>
              <w:t>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lastRenderedPageBreak/>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lastRenderedPageBreak/>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lastRenderedPageBreak/>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 xml:space="preserve">EPA encourages use of </w:t>
            </w:r>
            <w:r>
              <w:lastRenderedPageBreak/>
              <w:t>combined heat and power facilities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AC1486" w:rsidRPr="006E233D" w:rsidRDefault="00AC1486" w:rsidP="00DA1417">
            <w:r w:rsidRPr="006E233D">
              <w:t>There are areas that violate the NAAQS but have 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 xml:space="preserve">Add an applicability section for reattainment areas which are areas that are currently designated as nonattainment </w:t>
            </w:r>
            <w:r w:rsidRPr="006E233D">
              <w:rPr>
                <w:color w:val="000000"/>
              </w:rPr>
              <w:lastRenderedPageBreak/>
              <w:t>areas but are meeting ambient air quality standards and have not yet been designated as maintenance areas</w:t>
            </w:r>
          </w:p>
        </w:tc>
        <w:tc>
          <w:tcPr>
            <w:tcW w:w="4320" w:type="dxa"/>
          </w:tcPr>
          <w:p w:rsidR="00AC1486" w:rsidRPr="006E233D" w:rsidRDefault="00AC1486" w:rsidP="006E0E58">
            <w:r w:rsidRPr="006E233D">
              <w:lastRenderedPageBreak/>
              <w:t xml:space="preserve">It takes time to develop maintenance plans for nonattainment areas before EPA can redesignate </w:t>
            </w:r>
            <w:r w:rsidRPr="006E233D">
              <w:lastRenderedPageBreak/>
              <w:t>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3F78">
        <w:tc>
          <w:tcPr>
            <w:tcW w:w="918" w:type="dxa"/>
          </w:tcPr>
          <w:p w:rsidR="00AC1486" w:rsidRPr="00B468E4" w:rsidRDefault="00AC1486" w:rsidP="00A65851">
            <w:r w:rsidRPr="00B468E4">
              <w:lastRenderedPageBreak/>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Stationary S</w:t>
            </w:r>
            <w:r>
              <w:rPr>
                <w:color w:val="000000"/>
              </w:rPr>
              <w:t>ources (OAR 340 division 238).”</w:t>
            </w:r>
          </w:p>
        </w:tc>
        <w:tc>
          <w:tcPr>
            <w:tcW w:w="4320" w:type="dxa"/>
          </w:tcPr>
          <w:p w:rsidR="00AC1486" w:rsidRPr="005A5027" w:rsidRDefault="00AC1486" w:rsidP="00D63F78">
            <w:r w:rsidRPr="005A5027">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w:t>
            </w:r>
            <w:r w:rsidRPr="005A5027">
              <w:lastRenderedPageBreak/>
              <w:t xml:space="preserve">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F428CC">
        <w:tc>
          <w:tcPr>
            <w:tcW w:w="918" w:type="dxa"/>
            <w:shd w:val="clear" w:color="auto" w:fill="FABF8F" w:themeFill="accent6" w:themeFillTint="99"/>
          </w:tcPr>
          <w:p w:rsidR="00AC1486" w:rsidRPr="006E233D" w:rsidRDefault="00AC1486" w:rsidP="00150322">
            <w:r w:rsidRPr="006E233D">
              <w:lastRenderedPageBreak/>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 xml:space="preserve">5) For purposes of this section, any change at a source, including production increases, that would result in a Plant Site Emission Limit increase of 1 ton or more for </w:t>
            </w:r>
            <w:r w:rsidR="00B468E4" w:rsidRPr="00B468E4">
              <w:rPr>
                <w:color w:val="000000"/>
              </w:rPr>
              <w:lastRenderedPageBreak/>
              <w:t>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lastRenderedPageBreak/>
              <w:t>DEQ has changed the d</w:t>
            </w:r>
            <w:r>
              <w:t>efinition of major source t</w:t>
            </w:r>
            <w:r w:rsidRPr="006E233D">
              <w:t xml:space="preserve">o </w:t>
            </w:r>
            <w:r>
              <w:t xml:space="preserve">federal major source to accommodate the State New Source Review program for non-federal major sources and changes that are not major </w:t>
            </w:r>
            <w:r>
              <w:lastRenderedPageBreak/>
              <w:t>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BB57E2">
        <w:tc>
          <w:tcPr>
            <w:tcW w:w="918" w:type="dxa"/>
          </w:tcPr>
          <w:p w:rsidR="00AC1486" w:rsidRPr="006E233D" w:rsidRDefault="00AC1486" w:rsidP="00BB57E2">
            <w:r>
              <w:lastRenderedPageBreak/>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because of restructuring</w:t>
            </w:r>
            <w:r w:rsidR="00C56E80">
              <w:t xml:space="preserve">.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 xml:space="preserve">DEQ has changed the definition of major source to federal major source to accommodate the State </w:t>
            </w:r>
            <w:r w:rsidRPr="005A5027">
              <w:lastRenderedPageBreak/>
              <w:t>New Source Review program for non-federal major sources and changes that are not major modifications.</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304C7D" w:rsidRDefault="00AC1486" w:rsidP="00A65851">
            <w:r>
              <w:lastRenderedPageBreak/>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lastRenderedPageBreak/>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lastRenderedPageBreak/>
              <w:t>Clarification</w:t>
            </w:r>
            <w:r w:rsidR="00C56E80">
              <w:t xml:space="preserve">. </w:t>
            </w:r>
            <w:r w:rsidRPr="005A5027">
              <w:t>DEQ will not grant third extensions</w:t>
            </w:r>
            <w:r w:rsidR="00C56E80">
              <w:t xml:space="preserve">. </w:t>
            </w:r>
            <w:r>
              <w:lastRenderedPageBreak/>
              <w:t xml:space="preserve">The owner or operator must apply for a new NSR permit. </w:t>
            </w:r>
          </w:p>
        </w:tc>
        <w:tc>
          <w:tcPr>
            <w:tcW w:w="787" w:type="dxa"/>
          </w:tcPr>
          <w:p w:rsidR="00AC1486" w:rsidRPr="006E233D" w:rsidRDefault="00AC1486" w:rsidP="0066018C">
            <w:pPr>
              <w:jc w:val="center"/>
            </w:pPr>
            <w:r>
              <w:lastRenderedPageBreak/>
              <w:t>SIP</w:t>
            </w:r>
          </w:p>
        </w:tc>
      </w:tr>
      <w:tr w:rsidR="008B1F3B" w:rsidRPr="005A5027" w:rsidTr="008B1F3B">
        <w:tc>
          <w:tcPr>
            <w:tcW w:w="918" w:type="dxa"/>
          </w:tcPr>
          <w:p w:rsidR="008B1F3B" w:rsidRPr="005A5027" w:rsidRDefault="008B1F3B" w:rsidP="008B1F3B">
            <w:r w:rsidRPr="005A5027">
              <w:lastRenderedPageBreak/>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equires an air quality analysis</w:t>
            </w:r>
            <w:r w:rsidRPr="005A5027">
              <w:rPr>
                <w:color w:val="000000"/>
              </w:rPr>
              <w:t>.”</w:t>
            </w:r>
          </w:p>
        </w:tc>
        <w:tc>
          <w:tcPr>
            <w:tcW w:w="4320" w:type="dxa"/>
          </w:tcPr>
          <w:p w:rsidR="00691983" w:rsidRPr="005A5027" w:rsidRDefault="00691983" w:rsidP="00355A1A">
            <w:r w:rsidRPr="00A77520">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 xml:space="preserve">DEQ has changed the definition of major source to </w:t>
            </w:r>
            <w:r w:rsidRPr="005A5027">
              <w:lastRenderedPageBreak/>
              <w:t>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lastRenderedPageBreak/>
              <w:t>SIP</w:t>
            </w:r>
          </w:p>
        </w:tc>
      </w:tr>
      <w:tr w:rsidR="00AC1486" w:rsidRPr="006E233D"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t>Clarification</w:t>
            </w:r>
            <w:r w:rsidR="00C56E80">
              <w:t xml:space="preserve">. </w:t>
            </w:r>
            <w:r w:rsidRPr="005A5027">
              <w:t>Secondary emissions are not included in the emission calculations of potential 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w:t>
            </w:r>
            <w:r w:rsidRPr="006E233D">
              <w:lastRenderedPageBreak/>
              <w:t xml:space="preserve">must be made. </w:t>
            </w:r>
          </w:p>
        </w:tc>
        <w:tc>
          <w:tcPr>
            <w:tcW w:w="787" w:type="dxa"/>
          </w:tcPr>
          <w:p w:rsidR="00AC1486" w:rsidRPr="006E233D" w:rsidRDefault="00DA6589" w:rsidP="0066018C">
            <w:pPr>
              <w:jc w:val="center"/>
            </w:pPr>
            <w:r>
              <w:lastRenderedPageBreak/>
              <w:t>SIP</w:t>
            </w:r>
          </w:p>
        </w:tc>
      </w:tr>
      <w:tr w:rsidR="00AC1486" w:rsidRPr="00396B05" w:rsidTr="00D66578">
        <w:tc>
          <w:tcPr>
            <w:tcW w:w="918" w:type="dxa"/>
          </w:tcPr>
          <w:p w:rsidR="00AC1486" w:rsidRPr="00EF5278" w:rsidRDefault="00AC1486" w:rsidP="00A65851">
            <w:r w:rsidRPr="00EF5278">
              <w:lastRenderedPageBreak/>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lastRenderedPageBreak/>
              <w:t xml:space="preserve">OAR </w:t>
            </w:r>
            <w:r w:rsidRPr="005C76B5">
              <w:t>340-224-0550 for non-ozone areas, whichever is applicable</w:t>
            </w:r>
            <w:r w:rsidRPr="00EB74AF">
              <w:t>.”</w:t>
            </w:r>
          </w:p>
        </w:tc>
        <w:tc>
          <w:tcPr>
            <w:tcW w:w="4320" w:type="dxa"/>
          </w:tcPr>
          <w:p w:rsidR="00AC1486" w:rsidRPr="00EB74AF" w:rsidRDefault="00AC1486" w:rsidP="00022E9F">
            <w:r w:rsidRPr="00EB74AF">
              <w:lastRenderedPageBreak/>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lastRenderedPageBreak/>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(3) The owner or operator must not cause or contribute to a new violation of an ambient air quality standard or PSD increment even if the single source impact is less than the significant impact level under OAR 340-202-0050(2).</w:t>
            </w:r>
            <w:r>
              <w:rPr>
                <w:bCs/>
              </w:rPr>
              <w:t>”</w:t>
            </w:r>
          </w:p>
        </w:tc>
        <w:tc>
          <w:tcPr>
            <w:tcW w:w="4320" w:type="dxa"/>
          </w:tcPr>
          <w:p w:rsidR="00AC1486" w:rsidRPr="005A5027" w:rsidRDefault="00AC1486" w:rsidP="00546A1A">
            <w:r w:rsidRPr="005A5027">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w:t>
            </w:r>
            <w:r w:rsidRPr="007A4981">
              <w:rPr>
                <w:color w:val="000000"/>
              </w:rPr>
              <w:lastRenderedPageBreak/>
              <w:t xml:space="preserve">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lastRenderedPageBreak/>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lastRenderedPageBreak/>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lastRenderedPageBreak/>
              <w:t>DEQ is redefining Net Air Quality Benefit for all sources in all areas</w:t>
            </w:r>
            <w:r w:rsidR="00C56E80">
              <w:t xml:space="preserve">. </w:t>
            </w:r>
            <w:r w:rsidRPr="006E233D">
              <w:t xml:space="preserve">See SEPARATE </w:t>
            </w:r>
            <w:r w:rsidRPr="006E233D">
              <w:lastRenderedPageBreak/>
              <w:t>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lastRenderedPageBreak/>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lastRenderedPageBreak/>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lastRenderedPageBreak/>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Ambient air data from the same monitor that provided the background concentration used in the modeling is used to ensure that air quality is below the NAAQS after 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t>SIP</w:t>
            </w:r>
          </w:p>
        </w:tc>
      </w:tr>
      <w:tr w:rsidR="00AC1486" w:rsidRPr="006E233D"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 xml:space="preserve">b) and must use representative or conservative </w:t>
            </w:r>
            <w:r w:rsidRPr="00AE7714">
              <w:rPr>
                <w:color w:val="000000"/>
              </w:rPr>
              <w:lastRenderedPageBreak/>
              <w:t>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lastRenderedPageBreak/>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lastRenderedPageBreak/>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t>SIP</w:t>
            </w:r>
          </w:p>
        </w:tc>
      </w:tr>
      <w:tr w:rsidR="00AC1486" w:rsidRPr="006E233D" w:rsidTr="00546A1A">
        <w:tc>
          <w:tcPr>
            <w:tcW w:w="918" w:type="dxa"/>
          </w:tcPr>
          <w:p w:rsidR="00AC1486" w:rsidRPr="005C76B5" w:rsidRDefault="00AC1486" w:rsidP="00E73350">
            <w:r w:rsidRPr="005C76B5">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lastRenderedPageBreak/>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lastRenderedPageBreak/>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“(b) The Demonstration Method. An applicant may 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070523" w:rsidRDefault="00BC7A1A" w:rsidP="0066018C">
            <w:pPr>
              <w:jc w:val="center"/>
            </w:pPr>
            <w:r>
              <w:t>SIP</w:t>
            </w:r>
          </w:p>
        </w:tc>
      </w:tr>
      <w:tr w:rsidR="00AC1486" w:rsidRPr="006E233D"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lastRenderedPageBreak/>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lastRenderedPageBreak/>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lastRenderedPageBreak/>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(v) CQ is the contributing emissions reduction in tons 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 xml:space="preserve">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w:t>
            </w:r>
            <w:r w:rsidRPr="005A5027">
              <w:lastRenderedPageBreak/>
              <w:t>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540780">
        <w:tc>
          <w:tcPr>
            <w:tcW w:w="918" w:type="dxa"/>
            <w:tcBorders>
              <w:bottom w:val="double" w:sz="6" w:space="0" w:color="auto"/>
            </w:tcBorders>
          </w:tcPr>
          <w:p w:rsidR="0066662A" w:rsidRPr="005A5027" w:rsidRDefault="0066662A" w:rsidP="00540780">
            <w:r w:rsidRPr="005A5027">
              <w:lastRenderedPageBreak/>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(10) "Source impact area" means a circular area with a 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w:t>
            </w:r>
            <w:r w:rsidRPr="005A5027">
              <w:rPr>
                <w:color w:val="000000"/>
              </w:rPr>
              <w:lastRenderedPageBreak/>
              <w:t>216-0040 pertains to</w:t>
            </w:r>
          </w:p>
        </w:tc>
        <w:tc>
          <w:tcPr>
            <w:tcW w:w="4320" w:type="dxa"/>
          </w:tcPr>
          <w:p w:rsidR="0066662A" w:rsidRPr="005A5027" w:rsidRDefault="0066662A" w:rsidP="00292B87">
            <w:r w:rsidRPr="005A5027">
              <w:lastRenderedPageBreak/>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lastRenderedPageBreak/>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Change “224-0060(2)(c) and (2)(d), NAAQS, and PSD Increments” to “202-0225”</w:t>
            </w:r>
          </w:p>
        </w:tc>
        <w:tc>
          <w:tcPr>
            <w:tcW w:w="4320" w:type="dxa"/>
          </w:tcPr>
          <w:p w:rsidR="0066662A" w:rsidRPr="006E233D" w:rsidRDefault="0066662A" w:rsidP="00A21255">
            <w:r w:rsidRPr="006E233D">
              <w:t>Correction</w:t>
            </w:r>
            <w:r w:rsidR="00C56E80">
              <w:t xml:space="preserve">. </w:t>
            </w:r>
            <w:r w:rsidRPr="006E233D">
              <w:t>Reference the ambient air quality limits for maintenance areas that were moved to division 202.</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w:t>
            </w:r>
            <w:r w:rsidRPr="00076F7B">
              <w:rPr>
                <w:color w:val="000000"/>
              </w:rPr>
              <w:lastRenderedPageBreak/>
              <w:t xml:space="preserve">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lastRenderedPageBreak/>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lastRenderedPageBreak/>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w:t>
            </w:r>
            <w:r w:rsidRPr="006E233D">
              <w:rPr>
                <w:color w:val="000000"/>
              </w:rPr>
              <w:lastRenderedPageBreak/>
              <w:t xml:space="preserve">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lastRenderedPageBreak/>
              <w:t xml:space="preserve">Clarification. AQRV requirements apply to each emissions unit that increases actual emissions </w:t>
            </w:r>
            <w:r w:rsidRPr="006E233D">
              <w:lastRenderedPageBreak/>
              <w:t>above its portion of the netting basis.</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w:t>
            </w:r>
            <w:r w:rsidRPr="006E233D">
              <w:rPr>
                <w:color w:val="000000"/>
              </w:rPr>
              <w:lastRenderedPageBreak/>
              <w:t xml:space="preserve">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lastRenderedPageBreak/>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r>
            <w:r w:rsidRPr="006E233D">
              <w:rPr>
                <w:color w:val="000000"/>
              </w:rPr>
              <w:lastRenderedPageBreak/>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lastRenderedPageBreak/>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r>
              <w:lastRenderedPageBreak/>
              <w:t>)</w:t>
            </w:r>
          </w:p>
        </w:tc>
        <w:tc>
          <w:tcPr>
            <w:tcW w:w="990" w:type="dxa"/>
          </w:tcPr>
          <w:p w:rsidR="0066662A" w:rsidRPr="006E233D" w:rsidRDefault="0066662A" w:rsidP="00914447">
            <w:r>
              <w:lastRenderedPageBreak/>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w:t>
            </w:r>
            <w:r>
              <w:lastRenderedPageBreak/>
              <w:t xml:space="preserve">maintenance and work practice requirements  </w:t>
            </w:r>
          </w:p>
          <w:p w:rsidR="0066662A" w:rsidRPr="006E233D" w:rsidRDefault="0066662A" w:rsidP="00914447"/>
        </w:tc>
        <w:tc>
          <w:tcPr>
            <w:tcW w:w="4320" w:type="dxa"/>
          </w:tcPr>
          <w:p w:rsidR="0066662A" w:rsidRPr="00ED3514" w:rsidRDefault="0066662A" w:rsidP="00914447">
            <w:r>
              <w:lastRenderedPageBreak/>
              <w:t xml:space="preserve">Pressure drop was inadvertently omitted before  </w:t>
            </w:r>
            <w:r w:rsidRPr="00ED3514">
              <w:lastRenderedPageBreak/>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lastRenderedPageBreak/>
              <w:t>SIP</w:t>
            </w:r>
          </w:p>
        </w:tc>
      </w:tr>
      <w:tr w:rsidR="0066662A" w:rsidRPr="006E233D" w:rsidTr="00914447">
        <w:tc>
          <w:tcPr>
            <w:tcW w:w="918" w:type="dxa"/>
          </w:tcPr>
          <w:p w:rsidR="0066662A" w:rsidRPr="006E233D" w:rsidRDefault="0066662A" w:rsidP="00914447">
            <w:r w:rsidRPr="006E233D">
              <w:lastRenderedPageBreak/>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Do not capitalize ambient air quality standard and delete the space before the period</w:t>
            </w:r>
          </w:p>
        </w:tc>
        <w:tc>
          <w:tcPr>
            <w:tcW w:w="4320" w:type="dxa"/>
          </w:tcPr>
          <w:p w:rsidR="0066662A" w:rsidRPr="006E233D" w:rsidRDefault="0066662A" w:rsidP="00355A1A">
            <w:r w:rsidRPr="006E233D">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lastRenderedPageBreak/>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lastRenderedPageBreak/>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lastRenderedPageBreak/>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Change lb/hr and tons/hr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 xml:space="preserve">“(4) Users of coal for direct residential space heating in 1980 who apply in writing by July 1, 1983 and receive written approval from the Department shall be exempted from the requirement of section (2) of this rule provided they certify that they used more than one-half ton of coal </w:t>
            </w:r>
            <w:r w:rsidRPr="005A5027">
              <w:lastRenderedPageBreak/>
              <w:t>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lastRenderedPageBreak/>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w:t>
            </w:r>
            <w:r w:rsidRPr="005A5027">
              <w:lastRenderedPageBreak/>
              <w:t xml:space="preserve">five percent volatile matter remains the same.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lastRenderedPageBreak/>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For external combustion devices that burn fuels other than wood, the emission results are corrected to 50% excess air.”</w:t>
            </w:r>
          </w:p>
        </w:tc>
        <w:tc>
          <w:tcPr>
            <w:tcW w:w="4320" w:type="dxa"/>
          </w:tcPr>
          <w:p w:rsidR="0066662A" w:rsidRPr="005A5027" w:rsidRDefault="0066662A" w:rsidP="00FE68CE">
            <w:r w:rsidRPr="005A5027">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lastRenderedPageBreak/>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w:t>
            </w:r>
            <w:r w:rsidRPr="00863B07">
              <w:lastRenderedPageBreak/>
              <w:t xml:space="preserve">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lastRenderedPageBreak/>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"Major Modification" means any physical change(s) or change(s) in the method of operation that would be subject to Major New Source Review as determined under division 224</w:t>
            </w:r>
            <w:r w:rsidR="00C56E80">
              <w:t xml:space="preserve">. </w:t>
            </w:r>
          </w:p>
        </w:tc>
        <w:tc>
          <w:tcPr>
            <w:tcW w:w="4320" w:type="dxa"/>
          </w:tcPr>
          <w:p w:rsidR="0066662A" w:rsidRPr="00A43FC1" w:rsidRDefault="0066662A"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E22902">
        <w:tc>
          <w:tcPr>
            <w:tcW w:w="918" w:type="dxa"/>
          </w:tcPr>
          <w:p w:rsidR="00436C3B" w:rsidRPr="006E233D" w:rsidRDefault="00436C3B" w:rsidP="00E22902">
            <w:r w:rsidRPr="006E233D">
              <w:t>232</w:t>
            </w:r>
          </w:p>
        </w:tc>
        <w:tc>
          <w:tcPr>
            <w:tcW w:w="1350" w:type="dxa"/>
          </w:tcPr>
          <w:p w:rsidR="00436C3B" w:rsidRPr="006E233D" w:rsidRDefault="00436C3B" w:rsidP="00E22902">
            <w:r>
              <w:t>0030(47</w:t>
            </w:r>
            <w:r w:rsidRPr="006E233D">
              <w:t>)</w:t>
            </w:r>
          </w:p>
        </w:tc>
        <w:tc>
          <w:tcPr>
            <w:tcW w:w="990" w:type="dxa"/>
          </w:tcPr>
          <w:p w:rsidR="00436C3B" w:rsidRPr="006E233D" w:rsidRDefault="00436C3B" w:rsidP="00E22902">
            <w:r w:rsidRPr="006E233D">
              <w:t>232</w:t>
            </w:r>
          </w:p>
        </w:tc>
        <w:tc>
          <w:tcPr>
            <w:tcW w:w="1350" w:type="dxa"/>
          </w:tcPr>
          <w:p w:rsidR="00436C3B" w:rsidRPr="006E233D" w:rsidRDefault="00436C3B" w:rsidP="00E22902">
            <w:r>
              <w:t>0030(53</w:t>
            </w:r>
            <w:r w:rsidRPr="006E233D">
              <w:t>)</w:t>
            </w:r>
          </w:p>
        </w:tc>
        <w:tc>
          <w:tcPr>
            <w:tcW w:w="4860" w:type="dxa"/>
          </w:tcPr>
          <w:p w:rsidR="00436C3B" w:rsidRPr="008A51F0" w:rsidRDefault="00436C3B" w:rsidP="00E22902">
            <w:r>
              <w:t>Delete the parentheses around “but not limited to”</w:t>
            </w:r>
          </w:p>
        </w:tc>
        <w:tc>
          <w:tcPr>
            <w:tcW w:w="4320" w:type="dxa"/>
          </w:tcPr>
          <w:p w:rsidR="00436C3B" w:rsidRPr="008A51F0" w:rsidRDefault="00436C3B" w:rsidP="00E22902">
            <w:r>
              <w:t>Correction</w:t>
            </w:r>
          </w:p>
        </w:tc>
        <w:tc>
          <w:tcPr>
            <w:tcW w:w="787" w:type="dxa"/>
          </w:tcPr>
          <w:p w:rsidR="00436C3B" w:rsidRDefault="00436C3B" w:rsidP="00E22902">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w:t>
            </w:r>
            <w:r w:rsidRPr="00D367AB">
              <w:lastRenderedPageBreak/>
              <w:t xml:space="preserve">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lastRenderedPageBreak/>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E22902">
        <w:tc>
          <w:tcPr>
            <w:tcW w:w="918" w:type="dxa"/>
            <w:tcBorders>
              <w:bottom w:val="double" w:sz="6" w:space="0" w:color="auto"/>
            </w:tcBorders>
          </w:tcPr>
          <w:p w:rsidR="00F67B45" w:rsidRPr="006E233D" w:rsidRDefault="00F67B45" w:rsidP="00E22902">
            <w:r w:rsidRPr="006E233D">
              <w:lastRenderedPageBreak/>
              <w:t>232</w:t>
            </w:r>
          </w:p>
        </w:tc>
        <w:tc>
          <w:tcPr>
            <w:tcW w:w="1350" w:type="dxa"/>
            <w:tcBorders>
              <w:bottom w:val="double" w:sz="6" w:space="0" w:color="auto"/>
            </w:tcBorders>
          </w:tcPr>
          <w:p w:rsidR="00F67B45" w:rsidRPr="006E233D" w:rsidRDefault="00F67B45" w:rsidP="00E22902">
            <w:r w:rsidRPr="006E233D">
              <w:t>0030(71)</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r w:rsidRPr="006E233D">
              <w:t>NA</w:t>
            </w:r>
          </w:p>
        </w:tc>
        <w:tc>
          <w:tcPr>
            <w:tcW w:w="4860" w:type="dxa"/>
            <w:tcBorders>
              <w:bottom w:val="double" w:sz="6" w:space="0" w:color="auto"/>
            </w:tcBorders>
          </w:tcPr>
          <w:p w:rsidR="00F67B45" w:rsidRPr="006E233D" w:rsidRDefault="00F67B45" w:rsidP="00E22902">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E22902">
            <w:r w:rsidRPr="006E233D">
              <w:t>Delete definition</w:t>
            </w:r>
          </w:p>
        </w:tc>
        <w:tc>
          <w:tcPr>
            <w:tcW w:w="787" w:type="dxa"/>
            <w:tcBorders>
              <w:bottom w:val="double" w:sz="6" w:space="0" w:color="auto"/>
            </w:tcBorders>
          </w:tcPr>
          <w:p w:rsidR="00F67B45" w:rsidRPr="006E233D" w:rsidRDefault="00F67B45"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Delete “or some other setting approved in writing by the Department”</w:t>
            </w:r>
          </w:p>
        </w:tc>
        <w:tc>
          <w:tcPr>
            <w:tcW w:w="4320" w:type="dxa"/>
            <w:tcBorders>
              <w:bottom w:val="double" w:sz="6" w:space="0" w:color="auto"/>
            </w:tcBorders>
          </w:tcPr>
          <w:p w:rsidR="0066662A" w:rsidRPr="005A5027" w:rsidRDefault="0066662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 xml:space="preserve">Delete “or other equivalent methods approved in writing </w:t>
            </w:r>
            <w:r w:rsidRPr="005A5027">
              <w:lastRenderedPageBreak/>
              <w:t>by the Department”</w:t>
            </w:r>
          </w:p>
        </w:tc>
        <w:tc>
          <w:tcPr>
            <w:tcW w:w="4320" w:type="dxa"/>
            <w:tcBorders>
              <w:bottom w:val="double" w:sz="6" w:space="0" w:color="auto"/>
            </w:tcBorders>
          </w:tcPr>
          <w:p w:rsidR="0066662A" w:rsidRPr="005A5027" w:rsidRDefault="0066662A" w:rsidP="00271A00">
            <w:r w:rsidRPr="005A5027">
              <w:lastRenderedPageBreak/>
              <w:t xml:space="preserve">This discretionary approval for equivalent methods </w:t>
            </w:r>
            <w:r w:rsidRPr="005A5027">
              <w:lastRenderedPageBreak/>
              <w:t>to EPA Method 21 has never been used 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914447">
        <w:tc>
          <w:tcPr>
            <w:tcW w:w="918" w:type="dxa"/>
            <w:tcBorders>
              <w:bottom w:val="double" w:sz="6" w:space="0" w:color="auto"/>
            </w:tcBorders>
          </w:tcPr>
          <w:p w:rsidR="0066662A" w:rsidRPr="005A5027" w:rsidRDefault="0066662A" w:rsidP="00914447">
            <w:r w:rsidRPr="005A5027">
              <w:lastRenderedPageBreak/>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lb/gal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0190(5)</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 xml:space="preserve">(6) Exhaust ventilation must not exceed 20 cubic meters/minute per square meter (65 cubic feet per minute </w:t>
            </w:r>
            <w:r w:rsidRPr="00FC64A6">
              <w:lastRenderedPageBreak/>
              <w:t>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lastRenderedPageBreak/>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0200(6)</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lastRenderedPageBreak/>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lastRenderedPageBreak/>
              <w:t>"Emission" means a release into the atmosphere of any regulated pollutant or any air contaminant.</w:t>
            </w:r>
          </w:p>
        </w:tc>
        <w:tc>
          <w:tcPr>
            <w:tcW w:w="4320" w:type="dxa"/>
          </w:tcPr>
          <w:p w:rsidR="0066662A" w:rsidRPr="00641EB2" w:rsidRDefault="0066662A" w:rsidP="00641EB2">
            <w:r>
              <w:lastRenderedPageBreak/>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w:t>
            </w:r>
            <w:r w:rsidR="0066662A" w:rsidRPr="0034255F">
              <w:lastRenderedPageBreak/>
              <w:t xml:space="preserve">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lastRenderedPageBreak/>
              <w:t>340-234-0010</w:t>
            </w:r>
            <w:r w:rsidRPr="0034255F">
              <w:t xml:space="preserve">(31) "Plywood" means a flat panel built generally of an odd number of thin sheets of veneers of wood in which the grain direction of </w:t>
            </w:r>
            <w:r w:rsidRPr="0034255F">
              <w:lastRenderedPageBreak/>
              <w:t xml:space="preserve">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Move definition of “wood fired veneer dryer” division 200</w:t>
            </w:r>
          </w:p>
        </w:tc>
        <w:tc>
          <w:tcPr>
            <w:tcW w:w="4320" w:type="dxa"/>
          </w:tcPr>
          <w:p w:rsidR="0066662A" w:rsidRPr="006E233D" w:rsidRDefault="0066662A" w:rsidP="002228FB">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lastRenderedPageBreak/>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lastRenderedPageBreak/>
              <w:t xml:space="preserve">Clarification. </w:t>
            </w:r>
            <w:r w:rsidRPr="003276DA">
              <w:t xml:space="preserve">The defined term was not used in the </w:t>
            </w:r>
            <w:r w:rsidRPr="003276DA">
              <w:lastRenderedPageBreak/>
              <w:t xml:space="preserve">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The 3-minute standard adds more cost to 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 xml:space="preserve">In addition, it is DEQ’s policy that the inspector observes </w:t>
            </w:r>
            <w:r w:rsidRPr="005A5027">
              <w:lastRenderedPageBreak/>
              <w:t>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E22902">
        <w:tc>
          <w:tcPr>
            <w:tcW w:w="918" w:type="dxa"/>
          </w:tcPr>
          <w:p w:rsidR="00E3537E" w:rsidRPr="006E233D" w:rsidRDefault="00E3537E" w:rsidP="00E22902">
            <w:r>
              <w:lastRenderedPageBreak/>
              <w:t>234</w:t>
            </w:r>
          </w:p>
        </w:tc>
        <w:tc>
          <w:tcPr>
            <w:tcW w:w="1350" w:type="dxa"/>
          </w:tcPr>
          <w:p w:rsidR="00E3537E" w:rsidRPr="006E233D" w:rsidRDefault="00E3537E" w:rsidP="00E3537E">
            <w:r>
              <w:t>0240 (1)(c)</w:t>
            </w:r>
          </w:p>
        </w:tc>
        <w:tc>
          <w:tcPr>
            <w:tcW w:w="990" w:type="dxa"/>
          </w:tcPr>
          <w:p w:rsidR="00E3537E" w:rsidRPr="006E233D" w:rsidRDefault="00E3537E" w:rsidP="00E22902">
            <w:r>
              <w:t>NA</w:t>
            </w:r>
          </w:p>
        </w:tc>
        <w:tc>
          <w:tcPr>
            <w:tcW w:w="1350" w:type="dxa"/>
          </w:tcPr>
          <w:p w:rsidR="00E3537E" w:rsidRPr="006E233D" w:rsidRDefault="00E3537E" w:rsidP="00E22902">
            <w:r>
              <w:t>NA</w:t>
            </w:r>
          </w:p>
        </w:tc>
        <w:tc>
          <w:tcPr>
            <w:tcW w:w="4860" w:type="dxa"/>
          </w:tcPr>
          <w:p w:rsidR="00E3537E" w:rsidRPr="006E233D" w:rsidRDefault="00E3537E" w:rsidP="00E22902">
            <w:r>
              <w:t>Do not capitalize other sources</w:t>
            </w:r>
          </w:p>
        </w:tc>
        <w:tc>
          <w:tcPr>
            <w:tcW w:w="4320" w:type="dxa"/>
          </w:tcPr>
          <w:p w:rsidR="00E3537E" w:rsidRPr="006E233D" w:rsidRDefault="00E3537E" w:rsidP="00E22902">
            <w:r>
              <w:t>Correction</w:t>
            </w:r>
          </w:p>
        </w:tc>
        <w:tc>
          <w:tcPr>
            <w:tcW w:w="787" w:type="dxa"/>
          </w:tcPr>
          <w:p w:rsidR="00E3537E" w:rsidRDefault="00E3537E" w:rsidP="00E22902">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w:t>
            </w:r>
            <w:r w:rsidRPr="006E233D">
              <w:lastRenderedPageBreak/>
              <w:t>and MACT would apply. These rules would be more stringent than the existing rules.</w:t>
            </w:r>
          </w:p>
        </w:tc>
        <w:tc>
          <w:tcPr>
            <w:tcW w:w="787" w:type="dxa"/>
          </w:tcPr>
          <w:p w:rsidR="0066662A" w:rsidRPr="006E233D" w:rsidRDefault="0066662A" w:rsidP="0066018C">
            <w:pPr>
              <w:jc w:val="center"/>
            </w:pPr>
            <w:r>
              <w:lastRenderedPageBreak/>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Avoids confusion about indirect heat transfer (e.g., boilers), direct heat transfer (e.g., dryers), and internal combustion devices (e.g., gas turbines).</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lbs/hr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 xml:space="preserve">(a) Every person operating or intending to operate a particleboard manufacturing plant must enclose truck </w:t>
            </w:r>
            <w:r w:rsidRPr="00AF5FE7">
              <w:lastRenderedPageBreak/>
              <w:t>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lastRenderedPageBreak/>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lastRenderedPageBreak/>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“lbs/hr”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“lbs/hr”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 xml:space="preserve">A test method should always be specified with each standard  in order to be able to show </w:t>
            </w:r>
            <w:r w:rsidRPr="006E233D">
              <w:lastRenderedPageBreak/>
              <w:t>compliance</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 xml:space="preserve">Definition different from division 200 definition, </w:t>
            </w:r>
            <w:r w:rsidRPr="006E233D">
              <w:lastRenderedPageBreak/>
              <w:t>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 xml:space="preserve">Definition no longer needed since primary </w:t>
            </w:r>
            <w:r w:rsidRPr="006E233D">
              <w:lastRenderedPageBreak/>
              <w:t>aluminum rules are being repealed</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w:t>
            </w:r>
            <w:r w:rsidRPr="005A5027">
              <w:lastRenderedPageBreak/>
              <w:t xml:space="preserve">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lastRenderedPageBreak/>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lastRenderedPageBreak/>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042</w:t>
            </w:r>
            <w:r w:rsidRPr="006E233D">
              <w:t>0</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AD63A7" w:rsidP="00156BF3">
            <w:r>
              <w:t>Delete “or regulation” at the end of the sentence</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D3658D" w:rsidRPr="006E233D" w:rsidTr="00156BF3">
        <w:tc>
          <w:tcPr>
            <w:tcW w:w="918" w:type="dxa"/>
          </w:tcPr>
          <w:p w:rsidR="00D3658D" w:rsidRPr="006E233D" w:rsidRDefault="00D3658D" w:rsidP="00156BF3">
            <w:r w:rsidRPr="006E233D">
              <w:t>236</w:t>
            </w:r>
          </w:p>
        </w:tc>
        <w:tc>
          <w:tcPr>
            <w:tcW w:w="1350" w:type="dxa"/>
          </w:tcPr>
          <w:p w:rsidR="00D3658D" w:rsidRPr="006E233D" w:rsidRDefault="00D3658D" w:rsidP="00156BF3">
            <w:r>
              <w:t>044</w:t>
            </w:r>
            <w:r w:rsidRPr="006E233D">
              <w:t>0</w:t>
            </w:r>
            <w:r>
              <w:t>(1)</w:t>
            </w:r>
          </w:p>
        </w:tc>
        <w:tc>
          <w:tcPr>
            <w:tcW w:w="990" w:type="dxa"/>
          </w:tcPr>
          <w:p w:rsidR="00D3658D" w:rsidRPr="006E233D" w:rsidRDefault="00D3658D" w:rsidP="00156BF3">
            <w:r w:rsidRPr="006E233D">
              <w:t>NA</w:t>
            </w:r>
          </w:p>
        </w:tc>
        <w:tc>
          <w:tcPr>
            <w:tcW w:w="1350" w:type="dxa"/>
          </w:tcPr>
          <w:p w:rsidR="00D3658D" w:rsidRPr="006E233D" w:rsidRDefault="00D3658D" w:rsidP="00156BF3">
            <w:r w:rsidRPr="006E233D">
              <w:t>NA</w:t>
            </w:r>
          </w:p>
        </w:tc>
        <w:tc>
          <w:tcPr>
            <w:tcW w:w="4860" w:type="dxa"/>
          </w:tcPr>
          <w:p w:rsidR="00D3658D" w:rsidRDefault="00D3658D" w:rsidP="00156BF3">
            <w:r>
              <w:t>Change “from the plant” to “from a hot mix asphalt plant”</w:t>
            </w:r>
          </w:p>
          <w:p w:rsidR="00D3658D" w:rsidRPr="006E233D" w:rsidRDefault="00D3658D" w:rsidP="00156BF3"/>
        </w:tc>
        <w:tc>
          <w:tcPr>
            <w:tcW w:w="4320" w:type="dxa"/>
          </w:tcPr>
          <w:p w:rsidR="00D3658D" w:rsidRPr="006E233D" w:rsidRDefault="00D3658D" w:rsidP="00156BF3">
            <w:r w:rsidRPr="006E233D">
              <w:t>Clarification</w:t>
            </w:r>
          </w:p>
        </w:tc>
        <w:tc>
          <w:tcPr>
            <w:tcW w:w="787" w:type="dxa"/>
          </w:tcPr>
          <w:p w:rsidR="00D3658D" w:rsidRPr="006E233D" w:rsidRDefault="00D3658D" w:rsidP="00156BF3">
            <w:pPr>
              <w:jc w:val="center"/>
            </w:pPr>
            <w:r>
              <w:t>SIP</w:t>
            </w:r>
          </w:p>
        </w:tc>
      </w:tr>
      <w:tr w:rsidR="00AD63A7" w:rsidRPr="006E233D" w:rsidTr="00156BF3">
        <w:tc>
          <w:tcPr>
            <w:tcW w:w="918" w:type="dxa"/>
          </w:tcPr>
          <w:p w:rsidR="00AD63A7" w:rsidRPr="006E233D" w:rsidRDefault="00AD63A7" w:rsidP="00156BF3">
            <w:r w:rsidRPr="006E233D">
              <w:t>236</w:t>
            </w:r>
          </w:p>
        </w:tc>
        <w:tc>
          <w:tcPr>
            <w:tcW w:w="1350" w:type="dxa"/>
          </w:tcPr>
          <w:p w:rsidR="00AD63A7" w:rsidRPr="006E233D" w:rsidRDefault="00AD63A7" w:rsidP="00AD63A7">
            <w:r>
              <w:t>044</w:t>
            </w:r>
            <w:r w:rsidRPr="006E233D">
              <w:t>0</w:t>
            </w:r>
            <w:r w:rsidR="00D3658D">
              <w:t>(2</w:t>
            </w:r>
            <w:r>
              <w:t>)</w:t>
            </w:r>
          </w:p>
        </w:tc>
        <w:tc>
          <w:tcPr>
            <w:tcW w:w="990" w:type="dxa"/>
          </w:tcPr>
          <w:p w:rsidR="00AD63A7" w:rsidRPr="006E233D" w:rsidRDefault="00AD63A7" w:rsidP="00156BF3">
            <w:r w:rsidRPr="006E233D">
              <w:t>NA</w:t>
            </w:r>
          </w:p>
        </w:tc>
        <w:tc>
          <w:tcPr>
            <w:tcW w:w="1350" w:type="dxa"/>
          </w:tcPr>
          <w:p w:rsidR="00AD63A7" w:rsidRPr="006E233D" w:rsidRDefault="00AD63A7" w:rsidP="00156BF3">
            <w:r w:rsidRPr="006E233D">
              <w:t>NA</w:t>
            </w:r>
          </w:p>
        </w:tc>
        <w:tc>
          <w:tcPr>
            <w:tcW w:w="4860" w:type="dxa"/>
          </w:tcPr>
          <w:p w:rsidR="00AD63A7" w:rsidRDefault="00D3658D" w:rsidP="00156BF3">
            <w:r>
              <w:t>Add “truck” to “traffic”</w:t>
            </w:r>
          </w:p>
          <w:p w:rsidR="00AD63A7" w:rsidRPr="006E233D" w:rsidRDefault="00AD63A7" w:rsidP="00156BF3"/>
        </w:tc>
        <w:tc>
          <w:tcPr>
            <w:tcW w:w="4320" w:type="dxa"/>
          </w:tcPr>
          <w:p w:rsidR="00AD63A7" w:rsidRPr="006E233D" w:rsidRDefault="00AD63A7" w:rsidP="00156BF3">
            <w:r w:rsidRPr="006E233D">
              <w:t>Clarification</w:t>
            </w:r>
          </w:p>
        </w:tc>
        <w:tc>
          <w:tcPr>
            <w:tcW w:w="787" w:type="dxa"/>
          </w:tcPr>
          <w:p w:rsidR="00AD63A7" w:rsidRPr="006E233D" w:rsidRDefault="00AD63A7" w:rsidP="00156BF3">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Definition different from division 200 definition but the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04434E" w:rsidRDefault="0066662A" w:rsidP="00A65851">
            <w:r w:rsidRPr="0004434E">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 xml:space="preserve">The definition of “facility” does not agree with the </w:t>
            </w:r>
            <w:r w:rsidRPr="005A5027">
              <w:lastRenderedPageBreak/>
              <w:t>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lastRenderedPageBreak/>
              <w:t>SIP</w:t>
            </w:r>
          </w:p>
        </w:tc>
      </w:tr>
      <w:tr w:rsidR="0066662A" w:rsidRPr="006E233D" w:rsidTr="00693ED3">
        <w:tc>
          <w:tcPr>
            <w:tcW w:w="918" w:type="dxa"/>
          </w:tcPr>
          <w:p w:rsidR="0066662A" w:rsidRPr="00BF4B78" w:rsidRDefault="0066662A" w:rsidP="00693ED3">
            <w:r w:rsidRPr="00BF4B78">
              <w:lastRenderedPageBreak/>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OAR 340-240-0210 contains continuous monitoring requirements for opacity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 xml:space="preserve">The definition of average operating opacity was </w:t>
            </w:r>
            <w:r w:rsidRPr="006E233D">
              <w:lastRenderedPageBreak/>
              <w:t>moved to division 200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66662A" w:rsidRPr="005A5027" w:rsidRDefault="0066662A" w:rsidP="00155BD9">
            <w:r w:rsidRPr="005A5027">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 xml:space="preserve">Required </w:t>
            </w:r>
            <w:r w:rsidRPr="005A5027">
              <w:lastRenderedPageBreak/>
              <w:t>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(2) The owner or operator of an existing source who is unable to comply with OAR 340-226-0210(1</w:t>
            </w:r>
            <w:proofErr w:type="gramStart"/>
            <w:r w:rsidRPr="00C753FA">
              <w:t>)(</w:t>
            </w:r>
            <w:proofErr w:type="gramEnd"/>
            <w:r w:rsidRPr="00C753FA">
              <w:t xml:space="preserve">a)(B) or (b)(C) may request that DEQ grant an extension allowing the source up to one year to comply with the standard, and DEQ may grant such extension if it determines that </w:t>
            </w:r>
            <w:r w:rsidRPr="00C753FA">
              <w:lastRenderedPageBreak/>
              <w:t>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r w:rsidR="00195A20">
              <w:t xml:space="preserve"> and delete “stationary” from asphalt plants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or hardboard plant</w:t>
            </w:r>
            <w:r w:rsidR="00195A20">
              <w:t>s</w:t>
            </w:r>
            <w:r w:rsidRPr="00FC0848">
              <w:t>.</w:t>
            </w:r>
            <w:r w:rsidR="00195A20">
              <w:t xml:space="preserve"> Division 216 regulates both portable and stationary asphalt plants.  </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w:t>
            </w:r>
            <w:r w:rsidRPr="005A5027">
              <w:lastRenderedPageBreak/>
              <w:t xml:space="preserve">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lastRenderedPageBreak/>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5A5027" w:rsidRDefault="0066662A" w:rsidP="00DF24F9">
            <w:r w:rsidRPr="005A5027">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 xml:space="preserve">Change  “340-224-0050 or 340-224-0060” to “division </w:t>
            </w:r>
            <w:r w:rsidRPr="005A5027">
              <w:rPr>
                <w:color w:val="000000"/>
              </w:rPr>
              <w:lastRenderedPageBreak/>
              <w:t>224”</w:t>
            </w:r>
          </w:p>
        </w:tc>
        <w:tc>
          <w:tcPr>
            <w:tcW w:w="4320" w:type="dxa"/>
          </w:tcPr>
          <w:p w:rsidR="0066662A" w:rsidRPr="005A5027" w:rsidRDefault="0066662A" w:rsidP="00DF24F9">
            <w:r w:rsidRPr="005A5027">
              <w:lastRenderedPageBreak/>
              <w:t xml:space="preserve">Division 224 for New Source Review has been </w:t>
            </w:r>
            <w:r w:rsidRPr="005A5027">
              <w:lastRenderedPageBreak/>
              <w:t>changed</w:t>
            </w:r>
          </w:p>
        </w:tc>
        <w:tc>
          <w:tcPr>
            <w:tcW w:w="787" w:type="dxa"/>
          </w:tcPr>
          <w:p w:rsidR="0066662A" w:rsidRPr="006E233D" w:rsidRDefault="0066662A" w:rsidP="0066018C">
            <w:pPr>
              <w:jc w:val="center"/>
            </w:pPr>
            <w:r>
              <w:lastRenderedPageBreak/>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lastRenderedPageBreak/>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spraying. The rules do not require submittal of any information so Exemption from Disclosure to the </w:t>
            </w:r>
            <w:r w:rsidRPr="005A5027">
              <w:lastRenderedPageBreak/>
              <w:t>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provisions is also necessary.</w:t>
            </w:r>
          </w:p>
        </w:tc>
        <w:tc>
          <w:tcPr>
            <w:tcW w:w="787" w:type="dxa"/>
            <w:shd w:val="clear" w:color="auto" w:fill="auto"/>
          </w:tcPr>
          <w:p w:rsidR="0066662A" w:rsidRPr="006E233D" w:rsidRDefault="0066662A" w:rsidP="00C0247E">
            <w:pPr>
              <w:jc w:val="center"/>
            </w:pPr>
            <w:r>
              <w:t>NA</w:t>
            </w:r>
          </w:p>
        </w:tc>
      </w:tr>
      <w:tr w:rsidR="0066662A" w:rsidRPr="006E233D" w:rsidTr="00BC5F1F">
        <w:tc>
          <w:tcPr>
            <w:tcW w:w="918" w:type="dxa"/>
            <w:shd w:val="clear" w:color="auto" w:fill="B2A1C7" w:themeFill="accent4" w:themeFillTint="99"/>
          </w:tcPr>
          <w:p w:rsidR="0066662A" w:rsidRPr="006E233D" w:rsidRDefault="0066662A" w:rsidP="00BC5F1F">
            <w:r>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 xml:space="preserve">Heat Smart Program for Residential Woodstoves and </w:t>
            </w:r>
            <w:r w:rsidRPr="00BC5F1F">
              <w:rPr>
                <w:color w:val="000000"/>
              </w:rPr>
              <w:lastRenderedPageBreak/>
              <w:t>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lastRenderedPageBreak/>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E22902">
        <w:tc>
          <w:tcPr>
            <w:tcW w:w="918" w:type="dxa"/>
            <w:tcBorders>
              <w:bottom w:val="double" w:sz="6" w:space="0" w:color="auto"/>
            </w:tcBorders>
          </w:tcPr>
          <w:p w:rsidR="003C2E53" w:rsidRPr="006E233D" w:rsidRDefault="003C2E53" w:rsidP="00E22902">
            <w:r>
              <w:t>264</w:t>
            </w:r>
          </w:p>
        </w:tc>
        <w:tc>
          <w:tcPr>
            <w:tcW w:w="1350" w:type="dxa"/>
            <w:tcBorders>
              <w:bottom w:val="double" w:sz="6" w:space="0" w:color="auto"/>
            </w:tcBorders>
          </w:tcPr>
          <w:p w:rsidR="003C2E53" w:rsidRPr="006E233D" w:rsidRDefault="003C2E53" w:rsidP="00E22902">
            <w:r>
              <w:t>0010</w:t>
            </w:r>
          </w:p>
        </w:tc>
        <w:tc>
          <w:tcPr>
            <w:tcW w:w="990" w:type="dxa"/>
            <w:tcBorders>
              <w:bottom w:val="double" w:sz="6" w:space="0" w:color="auto"/>
            </w:tcBorders>
          </w:tcPr>
          <w:p w:rsidR="003C2E53" w:rsidRPr="006E233D" w:rsidRDefault="003C2E53" w:rsidP="00E22902">
            <w:pPr>
              <w:rPr>
                <w:color w:val="000000"/>
              </w:rPr>
            </w:pPr>
            <w:r>
              <w:rPr>
                <w:color w:val="000000"/>
              </w:rPr>
              <w:t>NA</w:t>
            </w:r>
          </w:p>
        </w:tc>
        <w:tc>
          <w:tcPr>
            <w:tcW w:w="1350" w:type="dxa"/>
            <w:tcBorders>
              <w:bottom w:val="double" w:sz="6" w:space="0" w:color="auto"/>
            </w:tcBorders>
          </w:tcPr>
          <w:p w:rsidR="003C2E53" w:rsidRPr="006E233D" w:rsidRDefault="003C2E53" w:rsidP="00E22902">
            <w:pPr>
              <w:rPr>
                <w:color w:val="000000"/>
              </w:rPr>
            </w:pPr>
            <w:r>
              <w:rPr>
                <w:color w:val="000000"/>
              </w:rPr>
              <w:t>NA</w:t>
            </w:r>
          </w:p>
        </w:tc>
        <w:tc>
          <w:tcPr>
            <w:tcW w:w="4860" w:type="dxa"/>
            <w:tcBorders>
              <w:bottom w:val="double" w:sz="6" w:space="0" w:color="auto"/>
            </w:tcBorders>
          </w:tcPr>
          <w:p w:rsidR="003C2E53" w:rsidRPr="006E233D" w:rsidRDefault="003C2E53" w:rsidP="00E22902">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E22902">
            <w:r>
              <w:t>Correction</w:t>
            </w:r>
          </w:p>
        </w:tc>
        <w:tc>
          <w:tcPr>
            <w:tcW w:w="787" w:type="dxa"/>
            <w:tcBorders>
              <w:bottom w:val="double" w:sz="6" w:space="0" w:color="auto"/>
            </w:tcBorders>
          </w:tcPr>
          <w:p w:rsidR="003C2E53" w:rsidRPr="006E233D" w:rsidRDefault="003C2E53"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E22902">
        <w:tc>
          <w:tcPr>
            <w:tcW w:w="918" w:type="dxa"/>
            <w:tcBorders>
              <w:bottom w:val="double" w:sz="6" w:space="0" w:color="auto"/>
            </w:tcBorders>
          </w:tcPr>
          <w:p w:rsidR="003C2E53" w:rsidRPr="00C92AC8" w:rsidRDefault="003C2E53" w:rsidP="00E22902">
            <w:r w:rsidRPr="00C92AC8">
              <w:t>264</w:t>
            </w:r>
          </w:p>
        </w:tc>
        <w:tc>
          <w:tcPr>
            <w:tcW w:w="1350" w:type="dxa"/>
            <w:tcBorders>
              <w:bottom w:val="double" w:sz="6" w:space="0" w:color="auto"/>
            </w:tcBorders>
          </w:tcPr>
          <w:p w:rsidR="003C2E53" w:rsidRPr="00C92AC8" w:rsidRDefault="003C2E53" w:rsidP="00E22902">
            <w:r>
              <w:t>0030(10</w:t>
            </w:r>
            <w:r w:rsidRPr="00C92AC8">
              <w:t>)</w:t>
            </w:r>
          </w:p>
        </w:tc>
        <w:tc>
          <w:tcPr>
            <w:tcW w:w="990" w:type="dxa"/>
            <w:tcBorders>
              <w:bottom w:val="double" w:sz="6" w:space="0" w:color="auto"/>
            </w:tcBorders>
          </w:tcPr>
          <w:p w:rsidR="003C2E53" w:rsidRPr="00C92AC8" w:rsidRDefault="003C2E53" w:rsidP="00E22902">
            <w:pPr>
              <w:rPr>
                <w:color w:val="000000"/>
              </w:rPr>
            </w:pPr>
            <w:r>
              <w:rPr>
                <w:color w:val="000000"/>
              </w:rPr>
              <w:t>200</w:t>
            </w:r>
          </w:p>
        </w:tc>
        <w:tc>
          <w:tcPr>
            <w:tcW w:w="1350" w:type="dxa"/>
            <w:tcBorders>
              <w:bottom w:val="double" w:sz="6" w:space="0" w:color="auto"/>
            </w:tcBorders>
          </w:tcPr>
          <w:p w:rsidR="003C2E53" w:rsidRPr="00B21316" w:rsidRDefault="003C2E53" w:rsidP="00E22902">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E22902">
            <w:r w:rsidRPr="00C92AC8">
              <w:t>Delete and use division 200 definition</w:t>
            </w:r>
          </w:p>
        </w:tc>
        <w:tc>
          <w:tcPr>
            <w:tcW w:w="787" w:type="dxa"/>
            <w:tcBorders>
              <w:bottom w:val="double" w:sz="6" w:space="0" w:color="auto"/>
            </w:tcBorders>
          </w:tcPr>
          <w:p w:rsidR="003C2E53" w:rsidRPr="00C92AC8" w:rsidRDefault="003C2E53" w:rsidP="00E22902">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E22902">
        <w:tc>
          <w:tcPr>
            <w:tcW w:w="918" w:type="dxa"/>
            <w:tcBorders>
              <w:bottom w:val="double" w:sz="6" w:space="0" w:color="auto"/>
            </w:tcBorders>
          </w:tcPr>
          <w:p w:rsidR="00F00C01" w:rsidRPr="00C92AC8" w:rsidRDefault="00F00C01" w:rsidP="00E22902">
            <w:r w:rsidRPr="00C92AC8">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E22902">
            <w:pPr>
              <w:rPr>
                <w:color w:val="000000"/>
              </w:rPr>
            </w:pPr>
            <w:r w:rsidRPr="005A5027">
              <w:rPr>
                <w:color w:val="000000"/>
              </w:rPr>
              <w:t>NA</w:t>
            </w:r>
          </w:p>
        </w:tc>
        <w:tc>
          <w:tcPr>
            <w:tcW w:w="1350" w:type="dxa"/>
            <w:tcBorders>
              <w:bottom w:val="double" w:sz="6" w:space="0" w:color="auto"/>
            </w:tcBorders>
          </w:tcPr>
          <w:p w:rsidR="00F00C01" w:rsidRPr="005A5027" w:rsidRDefault="00F00C01" w:rsidP="00E22902">
            <w:pPr>
              <w:rPr>
                <w:color w:val="000000"/>
              </w:rPr>
            </w:pPr>
            <w:r w:rsidRPr="005A5027">
              <w:rPr>
                <w:color w:val="000000"/>
              </w:rPr>
              <w:t>NA</w:t>
            </w:r>
          </w:p>
        </w:tc>
        <w:tc>
          <w:tcPr>
            <w:tcW w:w="4860" w:type="dxa"/>
            <w:tcBorders>
              <w:bottom w:val="double" w:sz="6" w:space="0" w:color="auto"/>
            </w:tcBorders>
          </w:tcPr>
          <w:p w:rsidR="00F00C01" w:rsidRPr="00C92AC8" w:rsidRDefault="00F00C01" w:rsidP="00E22902">
            <w:r>
              <w:t>Delete chapter and the comma between OAR 340 and division 266</w:t>
            </w:r>
          </w:p>
        </w:tc>
        <w:tc>
          <w:tcPr>
            <w:tcW w:w="4320" w:type="dxa"/>
            <w:tcBorders>
              <w:bottom w:val="double" w:sz="6" w:space="0" w:color="auto"/>
            </w:tcBorders>
          </w:tcPr>
          <w:p w:rsidR="00F00C01" w:rsidRPr="00C92AC8" w:rsidRDefault="00F00C01" w:rsidP="00E22902">
            <w:r>
              <w:t>Correction</w:t>
            </w:r>
          </w:p>
        </w:tc>
        <w:tc>
          <w:tcPr>
            <w:tcW w:w="787" w:type="dxa"/>
            <w:tcBorders>
              <w:bottom w:val="double" w:sz="6" w:space="0" w:color="auto"/>
            </w:tcBorders>
          </w:tcPr>
          <w:p w:rsidR="00F00C01" w:rsidRPr="006E233D" w:rsidRDefault="00F00C01" w:rsidP="00E22902">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lastRenderedPageBreak/>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2"/>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3D65" w:rsidRDefault="00303D65" w:rsidP="00213A82">
      <w:r>
        <w:separator/>
      </w:r>
    </w:p>
  </w:endnote>
  <w:endnote w:type="continuationSeparator" w:id="0">
    <w:p w:rsidR="00303D65" w:rsidRDefault="00303D65"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D65" w:rsidRDefault="00B65451" w:rsidP="00213A82">
    <w:pPr>
      <w:pStyle w:val="Footer"/>
      <w:jc w:val="center"/>
    </w:pPr>
    <w:r>
      <w:fldChar w:fldCharType="begin"/>
    </w:r>
    <w:r w:rsidR="00303D65">
      <w:instrText xml:space="preserve"> DATE \@ "M/d/yyyy" </w:instrText>
    </w:r>
    <w:r>
      <w:fldChar w:fldCharType="separate"/>
    </w:r>
    <w:r w:rsidR="00195A20">
      <w:rPr>
        <w:noProof/>
      </w:rPr>
      <w:t>9/23/2013</w:t>
    </w:r>
    <w:r>
      <w:rPr>
        <w:noProof/>
      </w:rPr>
      <w:fldChar w:fldCharType="end"/>
    </w:r>
    <w:r w:rsidR="00303D65">
      <w:tab/>
    </w:r>
    <w:r w:rsidR="00303D65">
      <w:tab/>
    </w:r>
    <w:r w:rsidR="00303D65">
      <w:tab/>
    </w:r>
    <w:r w:rsidR="00303D65">
      <w:tab/>
    </w:r>
    <w:r w:rsidR="00303D65">
      <w:tab/>
    </w:r>
    <w:r w:rsidR="00303D65">
      <w:tab/>
      <w:t xml:space="preserve">Page </w:t>
    </w:r>
    <w:r>
      <w:rPr>
        <w:b/>
        <w:sz w:val="24"/>
        <w:szCs w:val="24"/>
      </w:rPr>
      <w:fldChar w:fldCharType="begin"/>
    </w:r>
    <w:r w:rsidR="00303D65">
      <w:rPr>
        <w:b/>
      </w:rPr>
      <w:instrText xml:space="preserve"> PAGE </w:instrText>
    </w:r>
    <w:r>
      <w:rPr>
        <w:b/>
        <w:sz w:val="24"/>
        <w:szCs w:val="24"/>
      </w:rPr>
      <w:fldChar w:fldCharType="separate"/>
    </w:r>
    <w:r w:rsidR="00856951">
      <w:rPr>
        <w:b/>
        <w:noProof/>
      </w:rPr>
      <w:t>25</w:t>
    </w:r>
    <w:r>
      <w:rPr>
        <w:b/>
        <w:sz w:val="24"/>
        <w:szCs w:val="24"/>
      </w:rPr>
      <w:fldChar w:fldCharType="end"/>
    </w:r>
    <w:r w:rsidR="00303D65">
      <w:t xml:space="preserve"> of </w:t>
    </w:r>
    <w:r>
      <w:rPr>
        <w:b/>
        <w:sz w:val="24"/>
        <w:szCs w:val="24"/>
      </w:rPr>
      <w:fldChar w:fldCharType="begin"/>
    </w:r>
    <w:r w:rsidR="00303D65">
      <w:rPr>
        <w:b/>
      </w:rPr>
      <w:instrText xml:space="preserve"> NUMPAGES  </w:instrText>
    </w:r>
    <w:r>
      <w:rPr>
        <w:b/>
        <w:sz w:val="24"/>
        <w:szCs w:val="24"/>
      </w:rPr>
      <w:fldChar w:fldCharType="separate"/>
    </w:r>
    <w:r w:rsidR="00856951">
      <w:rPr>
        <w:b/>
        <w:noProof/>
      </w:rPr>
      <w:t>140</w:t>
    </w:r>
    <w:r>
      <w:rPr>
        <w:b/>
        <w:sz w:val="24"/>
        <w:szCs w:val="24"/>
      </w:rPr>
      <w:fldChar w:fldCharType="end"/>
    </w:r>
  </w:p>
  <w:p w:rsidR="00303D65" w:rsidRDefault="00303D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3D65" w:rsidRDefault="00303D65" w:rsidP="00213A82">
      <w:r>
        <w:separator/>
      </w:r>
    </w:p>
  </w:footnote>
  <w:footnote w:type="continuationSeparator" w:id="0">
    <w:p w:rsidR="00303D65" w:rsidRDefault="00303D65"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5A2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51"/>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5683"/>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D63A7"/>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451"/>
    <w:rsid w:val="00B65845"/>
    <w:rsid w:val="00B65ADA"/>
    <w:rsid w:val="00B66F22"/>
    <w:rsid w:val="00B67CB6"/>
    <w:rsid w:val="00B702AA"/>
    <w:rsid w:val="00B70633"/>
    <w:rsid w:val="00B707ED"/>
    <w:rsid w:val="00B711C2"/>
    <w:rsid w:val="00B711DA"/>
    <w:rsid w:val="00B71977"/>
    <w:rsid w:val="00B719B3"/>
    <w:rsid w:val="00B71CDE"/>
    <w:rsid w:val="00B73778"/>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8D2"/>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2617"/>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58D"/>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Preview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7431B-4C87-4AC4-A4C8-5A5BD6C8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140</Pages>
  <Words>56356</Words>
  <Characters>299085</Characters>
  <Application>Microsoft Office Word</Application>
  <DocSecurity>0</DocSecurity>
  <Lines>2492</Lines>
  <Paragraphs>709</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47</cp:revision>
  <cp:lastPrinted>2013-09-13T21:39:00Z</cp:lastPrinted>
  <dcterms:created xsi:type="dcterms:W3CDTF">2013-09-20T21:31:00Z</dcterms:created>
  <dcterms:modified xsi:type="dcterms:W3CDTF">2013-09-23T21:34:00Z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