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CB2B2A" w:rsidP="008D3CB4">
      <w:pPr>
        <w:pStyle w:val="DEQTITLE"/>
        <w:outlineLvl w:val="0"/>
      </w:pPr>
      <w:r w:rsidRPr="00CB2B2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CB2B2A">
            <w:fldChar w:fldCharType="begin"/>
          </w:r>
          <w:r>
            <w:instrText xml:space="preserve"> FILLIN  "Key-in the division(s) number."  \* MERGEFORMAT </w:instrText>
          </w:r>
          <w:r w:rsidR="00CB2B2A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CB2B2A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CB2B2A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  <w:r w:rsidR="00611F96">
        <w:rPr>
          <w:rFonts w:eastAsia="Times New Roman"/>
          <w:color w:val="000000"/>
        </w:rPr>
        <w:t xml:space="preserve">, one of the two new air quality designations proposed under this rule. 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</w:t>
      </w:r>
      <w:r w:rsidR="003C6517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r w:rsidR="00F7580C">
        <w:t xml:space="preserve"> stations and other low volume </w:t>
      </w:r>
      <w:r w:rsidRPr="00955053">
        <w:t>facilities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E21A0D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CB2B2A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Nov. 1</w:t>
          </w:r>
          <w:r w:rsidR="003C6517">
            <w:rPr>
              <w:rFonts w:ascii="Times" w:hAnsi="Times"/>
            </w:rPr>
            <w:t>8</w:t>
          </w:r>
          <w:r w:rsidR="005A4842" w:rsidRPr="005A4842">
            <w:rPr>
              <w:rFonts w:ascii="Times" w:hAnsi="Times"/>
            </w:rPr>
            <w:t>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>5 p.m. on Wednes</w:t>
          </w:r>
          <w:r w:rsidR="00011789" w:rsidRPr="00011789">
            <w:rPr>
              <w:rFonts w:ascii="Times" w:hAnsi="Times"/>
            </w:rPr>
            <w:t xml:space="preserve">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="00011789" w:rsidRPr="00011789">
            <w:rPr>
              <w:rFonts w:ascii="Times" w:hAnsi="Times"/>
            </w:rPr>
            <w:t xml:space="preserve"> </w:t>
          </w:r>
          <w:r>
            <w:rPr>
              <w:rFonts w:ascii="Times" w:hAnsi="Times"/>
            </w:rPr>
            <w:t>20</w:t>
          </w:r>
          <w:r w:rsidR="00011789"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CB2B2A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CB2B2A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</w:t>
      </w:r>
      <w:proofErr w:type="gramStart"/>
      <w:r w:rsidR="00E21A0D">
        <w:rPr>
          <w:rFonts w:ascii="Times New Roman" w:hAnsi="Times New Roman"/>
          <w:b w:val="0"/>
        </w:rPr>
        <w:t xml:space="preserve">is </w:t>
      </w:r>
      <w:r>
        <w:rPr>
          <w:rFonts w:ascii="Times New Roman" w:hAnsi="Times New Roman"/>
          <w:b w:val="0"/>
        </w:rPr>
        <w:t xml:space="preserve"> incorporated</w:t>
      </w:r>
      <w:proofErr w:type="gramEnd"/>
      <w:r>
        <w:rPr>
          <w:rFonts w:ascii="Times New Roman" w:hAnsi="Times New Roman"/>
          <w:b w:val="0"/>
        </w:rPr>
        <w:t xml:space="preserve">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4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CB2B2A" w:rsidP="003F6504">
      <w:pPr>
        <w:pStyle w:val="DEQTEXTforFACTSHEET"/>
      </w:pPr>
      <w:hyperlink r:id="rId15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6"/>
      <w:footerReference w:type="default" r:id="rId17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CB2B2A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3C6517"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="003C6517"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D4A71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B2B2A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a.gov/ttn/emc/rounding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63485"/>
    <w:rsid w:val="007A5437"/>
    <w:rsid w:val="00813616"/>
    <w:rsid w:val="008201EE"/>
    <w:rsid w:val="00873BD8"/>
    <w:rsid w:val="00903985"/>
    <w:rsid w:val="0092166B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Preview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F36C-E48A-4E13-A3E4-9DECBB481B3D}"/>
</file>

<file path=customXml/itemProps2.xml><?xml version="1.0" encoding="utf-8"?>
<ds:datastoreItem xmlns:ds="http://schemas.openxmlformats.org/officeDocument/2006/customXml" ds:itemID="{9F0BF2F3-592F-46FD-96E5-3B439FF97DD0}"/>
</file>

<file path=customXml/itemProps3.xml><?xml version="1.0" encoding="utf-8"?>
<ds:datastoreItem xmlns:ds="http://schemas.openxmlformats.org/officeDocument/2006/customXml" ds:itemID="{F0873AF8-3A35-4222-8705-3F6696861A76}"/>
</file>

<file path=customXml/itemProps4.xml><?xml version="1.0" encoding="utf-8"?>
<ds:datastoreItem xmlns:ds="http://schemas.openxmlformats.org/officeDocument/2006/customXml" ds:itemID="{544C7327-42D6-4666-B266-82B039CFF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739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5029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27</cp:revision>
  <cp:lastPrinted>2011-02-23T00:30:00Z</cp:lastPrinted>
  <dcterms:created xsi:type="dcterms:W3CDTF">2013-08-16T04:59:00Z</dcterms:created>
  <dcterms:modified xsi:type="dcterms:W3CDTF">2013-09-16T17:19:00Z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