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D5EDE" w:rsidP="00B34CF8">
      <w:pPr>
        <w:spacing w:after="120"/>
        <w:ind w:left="0" w:right="18"/>
        <w:outlineLvl w:val="0"/>
        <w:rPr>
          <w:rFonts w:ascii="Times New Roman" w:eastAsia="Times New Roman" w:hAnsi="Times New Roman" w:cs="Times New Roman"/>
        </w:rPr>
      </w:pPr>
      <w:r w:rsidRPr="00ED5ED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520F96" w:rsidRPr="00C74D58" w:rsidRDefault="00520F9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20F96" w:rsidRPr="00C74D58" w:rsidRDefault="00520F96" w:rsidP="006751BA">
                  <w:pPr>
                    <w:tabs>
                      <w:tab w:val="left" w:pos="908"/>
                      <w:tab w:val="left" w:pos="16582"/>
                    </w:tabs>
                    <w:ind w:left="108"/>
                    <w:jc w:val="center"/>
                    <w:rPr>
                      <w:rFonts w:ascii="Times New Roman" w:eastAsia="Times New Roman" w:hAnsi="Times New Roman" w:cs="Times New Roman"/>
                      <w:b/>
                      <w:color w:val="000000"/>
                    </w:rPr>
                  </w:pPr>
                </w:p>
                <w:p w:rsidR="00520F96" w:rsidRPr="00A019B4" w:rsidRDefault="00520F9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520F96" w:rsidRPr="00A019B4" w:rsidRDefault="00520F9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0023608C">
        <w:rPr>
          <w:rFonts w:asciiTheme="minorHAnsi" w:eastAsia="Times New Roman" w:hAnsiTheme="minorHAnsi" w:cstheme="minorHAnsi"/>
        </w:rPr>
        <w:t xml:space="preserve"> pre</w:t>
      </w:r>
      <w:r w:rsidRPr="00D35ED0">
        <w:rPr>
          <w:rFonts w:asciiTheme="minorHAnsi" w:eastAsia="Times New Roman" w:hAnsiTheme="minorHAnsi" w:cstheme="minorHAnsi"/>
        </w:rPr>
        <w:t xml:space="preserve">construction permitting flexibility for smaller </w:t>
      </w:r>
      <w:r w:rsidR="006E70C6">
        <w:rPr>
          <w:rFonts w:asciiTheme="minorHAnsi" w:eastAsia="Times New Roman" w:hAnsiTheme="minorHAnsi" w:cstheme="minorHAnsi"/>
        </w:rPr>
        <w:t>facilities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Change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1329B8" w:rsidRPr="001329B8" w:rsidRDefault="006E70C6" w:rsidP="001329B8">
      <w:pPr>
        <w:ind w:left="720" w:right="630"/>
        <w:rPr>
          <w:rFonts w:ascii="Times New Roman" w:eastAsia="Times New Roman" w:hAnsi="Times New Roman" w:cs="Times New Roman"/>
        </w:rPr>
      </w:pPr>
      <w:commentRangeStart w:id="2"/>
      <w:r>
        <w:rPr>
          <w:rFonts w:ascii="Times New Roman" w:eastAsia="Times New Roman" w:hAnsi="Times New Roman" w:cs="Times New Roman"/>
        </w:rPr>
        <w:t xml:space="preserve">Since DEQ is clarifying </w:t>
      </w:r>
      <w:r w:rsidR="005D4478">
        <w:rPr>
          <w:rFonts w:ascii="Times New Roman" w:eastAsia="Times New Roman" w:hAnsi="Times New Roman" w:cs="Times New Roman"/>
        </w:rPr>
        <w:t xml:space="preserve">that state rules apply to </w:t>
      </w:r>
      <w:r>
        <w:rPr>
          <w:rFonts w:ascii="Times New Roman" w:eastAsia="Times New Roman" w:hAnsi="Times New Roman" w:cs="Times New Roman"/>
        </w:rPr>
        <w:t>Lane Regional Air Protection Agency</w:t>
      </w:r>
      <w:r w:rsidR="005D4478">
        <w:rPr>
          <w:rFonts w:ascii="Times New Roman" w:eastAsia="Times New Roman" w:hAnsi="Times New Roman" w:cs="Times New Roman"/>
        </w:rPr>
        <w:t xml:space="preserve"> unless they adopt their own rules, </w:t>
      </w:r>
      <w:r>
        <w:rPr>
          <w:rFonts w:ascii="Times New Roman" w:eastAsia="Times New Roman" w:hAnsi="Times New Roman" w:cs="Times New Roman"/>
        </w:rPr>
        <w:t xml:space="preserve">DEQ </w:t>
      </w:r>
      <w:r w:rsidR="001A6A1C">
        <w:rPr>
          <w:rFonts w:ascii="Times New Roman" w:eastAsia="Times New Roman" w:hAnsi="Times New Roman" w:cs="Times New Roman"/>
        </w:rPr>
        <w:t xml:space="preserve">also requests public comment on </w:t>
      </w:r>
      <w:r w:rsidR="001329B8" w:rsidRPr="001329B8">
        <w:rPr>
          <w:rFonts w:ascii="Times New Roman" w:eastAsia="Times New Roman" w:hAnsi="Times New Roman" w:cs="Times New Roman"/>
        </w:rPr>
        <w:t xml:space="preserve">which DEQ rule amendments LRAPA </w:t>
      </w:r>
      <w:r w:rsidR="00FA589F" w:rsidRPr="001329B8">
        <w:rPr>
          <w:rFonts w:ascii="Times New Roman" w:eastAsia="Times New Roman" w:hAnsi="Times New Roman" w:cs="Times New Roman"/>
        </w:rPr>
        <w:t xml:space="preserve">should </w:t>
      </w:r>
      <w:r w:rsidR="001329B8" w:rsidRPr="001329B8">
        <w:rPr>
          <w:rFonts w:ascii="Times New Roman" w:eastAsia="Times New Roman" w:hAnsi="Times New Roman" w:cs="Times New Roman"/>
        </w:rPr>
        <w:t>be required to enforce.</w:t>
      </w:r>
      <w:commentRangeEnd w:id="2"/>
      <w:r w:rsidR="00EE5642">
        <w:rPr>
          <w:rStyle w:val="CommentReference"/>
        </w:rPr>
        <w:commentReference w:id="2"/>
      </w:r>
    </w:p>
    <w:p w:rsidR="005C7B20" w:rsidRDefault="005C7B20" w:rsidP="00520F96">
      <w:pPr>
        <w:ind w:left="0" w:right="63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4"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Change the pre</w:t>
            </w:r>
            <w:r w:rsidR="007631A7" w:rsidRPr="005E19B4">
              <w:rPr>
                <w:rFonts w:ascii="Times New Roman" w:eastAsia="Times New Roman" w:hAnsi="Times New Roman" w:cs="Times New Roman"/>
              </w:rPr>
              <w:t>construction permitting program (New Source Review)</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5"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could be permitted by obtaining offsets 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Change the pre</w:t>
            </w:r>
            <w:r>
              <w:rPr>
                <w:rFonts w:asciiTheme="majorHAnsi" w:hAnsiTheme="majorHAnsi" w:cstheme="majorHAnsi"/>
                <w:color w:val="FFFFFF"/>
                <w:sz w:val="26"/>
                <w:szCs w:val="26"/>
              </w:rPr>
              <w:t>construction permitting program (New Source Review)</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6"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pre</w:t>
      </w:r>
      <w:r w:rsidRPr="00407D77">
        <w:rPr>
          <w:rFonts w:ascii="Times New Roman" w:hAnsi="Times New Roman" w:cs="Times New Roman"/>
        </w:rPr>
        <w:t>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ED5EDE"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ED5EDE"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ED5EDE" w:rsidP="006C4D74">
            <w:pPr>
              <w:ind w:left="0" w:right="18"/>
              <w:rPr>
                <w:rFonts w:asciiTheme="minorHAnsi" w:hAnsiTheme="minorHAnsi" w:cstheme="minorHAnsi"/>
              </w:rPr>
            </w:pPr>
            <w:hyperlink r:id="rId20"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ED5EDE"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ED5EDE"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ED5EDE"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ED5EDE"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ED5EDE" w:rsidP="006C4D74">
            <w:pPr>
              <w:ind w:left="0" w:right="18"/>
              <w:rPr>
                <w:rFonts w:asciiTheme="minorHAnsi" w:eastAsia="Times New Roman" w:hAnsiTheme="minorHAnsi" w:cstheme="minorHAnsi"/>
                <w:bCs/>
                <w:sz w:val="24"/>
                <w:szCs w:val="24"/>
              </w:rPr>
            </w:pPr>
            <w:hyperlink r:id="rId25"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ED5EDE"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ED5EDE" w:rsidP="006C4D74">
            <w:pPr>
              <w:ind w:left="0" w:right="18"/>
              <w:rPr>
                <w:rFonts w:asciiTheme="minorHAnsi" w:hAnsiTheme="minorHAnsi" w:cstheme="minorHAnsi"/>
                <w:bCs/>
              </w:rPr>
            </w:pPr>
            <w:hyperlink r:id="rId27"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ED5EDE" w:rsidP="006C4D74">
            <w:pPr>
              <w:ind w:left="0" w:right="18"/>
              <w:rPr>
                <w:rFonts w:asciiTheme="minorHAnsi" w:eastAsia="Times New Roman" w:hAnsiTheme="minorHAnsi" w:cstheme="minorHAnsi"/>
                <w:bCs/>
              </w:rPr>
            </w:pPr>
            <w:hyperlink r:id="rId28"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ED5EDE" w:rsidP="006C4D74">
            <w:pPr>
              <w:ind w:left="0" w:right="18"/>
              <w:rPr>
                <w:rFonts w:asciiTheme="minorHAnsi" w:hAnsiTheme="minorHAnsi" w:cstheme="minorHAnsi"/>
              </w:rPr>
            </w:pPr>
            <w:hyperlink r:id="rId29"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ED5EDE" w:rsidP="006C4D74">
            <w:pPr>
              <w:ind w:left="0" w:right="18"/>
              <w:rPr>
                <w:rFonts w:asciiTheme="minorHAnsi" w:eastAsia="Times New Roman" w:hAnsiTheme="minorHAnsi" w:cstheme="minorHAnsi"/>
                <w:bCs/>
              </w:rPr>
            </w:pPr>
            <w:hyperlink r:id="rId30"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ED5EDE" w:rsidP="00411417">
            <w:pPr>
              <w:ind w:left="0"/>
              <w:rPr>
                <w:rFonts w:asciiTheme="minorHAnsi" w:eastAsia="Times New Roman" w:hAnsiTheme="minorHAnsi" w:cstheme="minorHAnsi"/>
                <w:bCs/>
              </w:rPr>
            </w:pPr>
            <w:hyperlink r:id="rId31"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ED5EDE" w:rsidP="006C4D74">
            <w:pPr>
              <w:ind w:left="0" w:right="18"/>
              <w:rPr>
                <w:rFonts w:asciiTheme="minorHAnsi" w:eastAsia="Times New Roman" w:hAnsiTheme="minorHAnsi" w:cstheme="minorHAnsi"/>
                <w:bCs/>
              </w:rPr>
            </w:pPr>
            <w:hyperlink r:id="rId32"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ED5EDE" w:rsidP="00411417">
            <w:pPr>
              <w:ind w:left="0" w:right="288"/>
              <w:rPr>
                <w:rFonts w:asciiTheme="minorHAnsi" w:hAnsiTheme="minorHAnsi" w:cstheme="minorHAnsi"/>
                <w:bCs/>
              </w:rPr>
            </w:pPr>
            <w:hyperlink r:id="rId33"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3" w:name="RANGE!A226:B243"/>
      <w:bookmarkEnd w:id="3"/>
    </w:p>
    <w:p w:rsidR="00090B88" w:rsidRDefault="00090B88">
      <w:pPr>
        <w:spacing w:after="120"/>
        <w:rPr>
          <w:rFonts w:ascii="Times New Roman" w:eastAsia="Times New Roman" w:hAnsi="Times New Roman" w:cs="Times New Roman"/>
        </w:rPr>
      </w:pPr>
    </w:p>
    <w:p w:rsidR="00945817" w:rsidRDefault="00945817">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D224B4" w:rsidRPr="009B5A69">
        <w:rPr>
          <w:rFonts w:ascii="Times New Roman" w:eastAsia="Times New Roman" w:hAnsi="Times New Roman" w:cs="Times New Roman"/>
          <w:b/>
          <w:bCs/>
        </w:rPr>
        <w:t>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2E7578" w:rsidRPr="003E691F">
        <w:rPr>
          <w:rFonts w:ascii="Times New Roman" w:eastAsia="Times New Roman" w:hAnsi="Times New Roman" w:cs="Times New Roman"/>
          <w:b/>
          <w:bCs/>
        </w:rPr>
        <w:t>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ED5EDE" w:rsidP="00411417">
      <w:pPr>
        <w:ind w:left="1080" w:right="288"/>
        <w:rPr>
          <w:rFonts w:asciiTheme="minorHAnsi" w:hAnsiTheme="minorHAnsi" w:cstheme="minorHAnsi"/>
        </w:rPr>
      </w:pPr>
      <w:hyperlink r:id="rId36"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3"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Change the pre</w:t>
      </w:r>
      <w:r w:rsidR="00411417" w:rsidRPr="00677E59">
        <w:rPr>
          <w:rFonts w:ascii="Times New Roman" w:eastAsia="Times New Roman" w:hAnsi="Times New Roman" w:cs="Times New Roman"/>
          <w:b/>
          <w:bCs/>
        </w:rPr>
        <w:t>construction permitting program (New Source Review):</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5"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6"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Change the pre</w:t>
      </w:r>
      <w:r w:rsidR="005B5BB9" w:rsidRPr="006D66C1">
        <w:rPr>
          <w:rFonts w:ascii="Times New Roman" w:hAnsi="Times New Roman" w:cs="Times New Roman"/>
          <w:b/>
          <w:bCs/>
        </w:rPr>
        <w:t>construction permitting program (New Source Review)</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D5ED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1"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DA718D">
      <w:pPr>
        <w:spacing w:afterLines="120"/>
        <w:ind w:left="360" w:right="18"/>
        <w:outlineLvl w:val="0"/>
        <w:rPr>
          <w:rFonts w:asciiTheme="minorHAnsi" w:eastAsia="Times New Roman" w:hAnsiTheme="minorHAnsi" w:cstheme="minorHAnsi"/>
          <w:bCs/>
          <w:sz w:val="22"/>
          <w:szCs w:val="22"/>
        </w:rPr>
      </w:pPr>
    </w:p>
    <w:p w:rsidR="00411417" w:rsidRDefault="00411417" w:rsidP="00DA718D">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4" w:name="_MON_1463557011"/>
    <w:bookmarkEnd w:id="4"/>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4" o:title=""/>
          </v:shape>
          <o:OLEObject Type="Embed" ProgID="Excel.Sheet.12" ShapeID="_x0000_i1025" DrawAspect="Content" ObjectID="_1463929513" r:id="rId5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6"/>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4-06-10T16:46:00Z" w:initials="j">
    <w:p w:rsidR="00EE5642" w:rsidRDefault="00EE5642">
      <w:pPr>
        <w:pStyle w:val="CommentText"/>
      </w:pPr>
      <w:r>
        <w:rPr>
          <w:rStyle w:val="CommentReference"/>
        </w:rPr>
        <w:annotationRef/>
      </w:r>
      <w:r>
        <w:t>Check with Uri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96" w:rsidRDefault="00520F96" w:rsidP="00BD316E">
      <w:r>
        <w:separator/>
      </w:r>
    </w:p>
  </w:endnote>
  <w:endnote w:type="continuationSeparator" w:id="0">
    <w:p w:rsidR="00520F96" w:rsidRDefault="00520F9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F96" w:rsidRPr="00BD316E" w:rsidRDefault="00520F96" w:rsidP="002A2040">
    <w:pPr>
      <w:pStyle w:val="Footer"/>
      <w:pBdr>
        <w:top w:val="thinThickSmallGap" w:sz="24" w:space="1" w:color="655900" w:themeColor="accent2" w:themeShade="7F"/>
      </w:pBdr>
      <w:ind w:left="360"/>
      <w:rPr>
        <w:rFonts w:asciiTheme="minorHAnsi" w:hAnsiTheme="minorHAnsi" w:cstheme="minorHAnsi"/>
        <w:sz w:val="20"/>
        <w:szCs w:val="20"/>
      </w:rPr>
    </w:pPr>
    <w:r>
      <w:rPr>
        <w:rFonts w:asciiTheme="minorHAnsi" w:hAnsiTheme="minorHAnsi" w:cstheme="minorHAnsi"/>
        <w:sz w:val="20"/>
        <w:szCs w:val="20"/>
      </w:rPr>
      <w:t>June 16, 2014</w:t>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00ED5EDE"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00ED5EDE" w:rsidRPr="00BD316E">
      <w:rPr>
        <w:rFonts w:asciiTheme="minorHAnsi" w:hAnsiTheme="minorHAnsi" w:cstheme="minorHAnsi"/>
        <w:sz w:val="20"/>
        <w:szCs w:val="20"/>
      </w:rPr>
      <w:fldChar w:fldCharType="separate"/>
    </w:r>
    <w:r w:rsidR="00DA718D">
      <w:rPr>
        <w:rFonts w:asciiTheme="minorHAnsi" w:hAnsiTheme="minorHAnsi" w:cstheme="minorHAnsi"/>
        <w:noProof/>
        <w:sz w:val="20"/>
        <w:szCs w:val="20"/>
      </w:rPr>
      <w:t>29</w:t>
    </w:r>
    <w:r w:rsidR="00ED5EDE"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96" w:rsidRDefault="00520F96" w:rsidP="00BD316E">
      <w:r>
        <w:separator/>
      </w:r>
    </w:p>
  </w:footnote>
  <w:footnote w:type="continuationSeparator" w:id="0">
    <w:p w:rsidR="00520F96" w:rsidRDefault="00520F96"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6"/>
  </w:num>
  <w:num w:numId="30">
    <w:abstractNumId w:val="44"/>
  </w:num>
  <w:num w:numId="31">
    <w:abstractNumId w:val="95"/>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A6C3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epa.gov/ttn/emc/rounding.pdf" TargetMode="External"/><Relationship Id="rId26" Type="http://schemas.openxmlformats.org/officeDocument/2006/relationships/hyperlink" Target="http://www.deq.state.or.us/aq/forms/2011AirQualityAnnualReport.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IIII.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45.html" TargetMode="External"/><Relationship Id="rId33" Type="http://schemas.openxmlformats.org/officeDocument/2006/relationships/hyperlink" Target="http://www.wflccenter.org/news_pdf/361_pdf.pdf"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www.oregonlaws.org/ors/468A.327" TargetMode="External"/><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oregon.gov/deq/RulesandRegulations/Documents/AQPermNSR.pdf" TargetMode="External"/><Relationship Id="rId20" Type="http://schemas.openxmlformats.org/officeDocument/2006/relationships/hyperlink" Target="http://www.epa.gov/ttn/emc/promgate/m-22.pdf" TargetMode="External"/><Relationship Id="rId29" Type="http://schemas.openxmlformats.org/officeDocument/2006/relationships/hyperlink" Target="http://www.gpo.gov/fdsys/granule/CFR-2012-title40-vol6/CFR-2012-title40-vol6-part58-appD/content-detail.html" TargetMode="External"/><Relationship Id="rId41" Type="http://schemas.openxmlformats.org/officeDocument/2006/relationships/hyperlink" Target="http://www.oregonlaws.org/ors/183.540"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ttn/atw/area/fr18ja08.pdf" TargetMode="External"/><Relationship Id="rId32" Type="http://schemas.openxmlformats.org/officeDocument/2006/relationships/hyperlink" Target="http://www.epa.gov/ttn/catc/dir1/c_allchs.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arcweb.sos.state.or.us/pages/rules/oars_300/oar_340/340_011.html" TargetMode="External"/><Relationship Id="rId53" Type="http://schemas.openxmlformats.org/officeDocument/2006/relationships/hyperlink" Target="http://www.leg.state.or.us/ors/183.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Documents/AQPermLakeview.pdf" TargetMode="External"/><Relationship Id="rId23" Type="http://schemas.openxmlformats.org/officeDocument/2006/relationships/hyperlink" Target="http://www.gpo.gov/fdsys/pkg/FR-2013-01-30/pdf/2013-01288.pdf" TargetMode="External"/><Relationship Id="rId28" Type="http://schemas.openxmlformats.org/officeDocument/2006/relationships/hyperlink" Target="http://arcweb.sos.state.or.us/pages/rules/oars_300/oar_340/340_214.html" TargetMode="External"/><Relationship Id="rId36" Type="http://schemas.openxmlformats.org/officeDocument/2006/relationships/hyperlink" Target="http://arcweb.sos.state.or.us/pages/rules/oars_300/oar_340/_340_tables/340-216-0020_10-24.pdf" TargetMode="External"/><Relationship Id="rId49" Type="http://schemas.openxmlformats.org/officeDocument/2006/relationships/hyperlink" Target="http://www.deq.state.or.us/pubs/permithandbook/lucs.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emc/promgate/m-09.pdf" TargetMode="External"/><Relationship Id="rId31" Type="http://schemas.openxmlformats.org/officeDocument/2006/relationships/hyperlink" Target="http://oregonstate.edu/cla/polisci/sites/default/files/faculty-research/sahr/inflation-conversion/excel/cv1998.xls" TargetMode="External"/><Relationship Id="rId44" Type="http://schemas.openxmlformats.org/officeDocument/2006/relationships/hyperlink" Target="http://www.oregonlaws.org/ors/183.332" TargetMode="External"/><Relationship Id="rId52"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CFR-2011-title40-vol6/pdf/CFR-2011-title40-vol6-part60-subpartJJJJ.pdf" TargetMode="External"/><Relationship Id="rId27" Type="http://schemas.openxmlformats.org/officeDocument/2006/relationships/hyperlink" Target="http://www.gpo.gov/fdsys/pkg/FR-2013-02-01/pdf/2012-31645.pdf" TargetMode="External"/><Relationship Id="rId30" Type="http://schemas.openxmlformats.org/officeDocument/2006/relationships/hyperlink" Target="http://arcweb.sos.state.or.us/pages/rules/oars_300/oar_340/_340_tables/340-216-0020_10-24.pdf"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540" TargetMode="External"/><Relationship Id="rId48" Type="http://schemas.openxmlformats.org/officeDocument/2006/relationships/hyperlink" Target="http://arcweb.sos.state.or.us/pages/rules/oars_300/oar_340/340_018.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9BECA9A-797C-4962-B955-6460DAB6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18463</Words>
  <Characters>105245</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2014-06-10T18:04:00Z</cp:lastPrinted>
  <dcterms:created xsi:type="dcterms:W3CDTF">2014-06-11T01:19:00Z</dcterms:created>
  <dcterms:modified xsi:type="dcterms:W3CDTF">2014-06-11T01:19:00Z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