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7D0F98" w:rsidP="00B34CF8">
      <w:pPr>
        <w:spacing w:after="120"/>
        <w:ind w:left="0" w:right="18"/>
        <w:outlineLvl w:val="0"/>
        <w:rPr>
          <w:rFonts w:ascii="Times New Roman" w:eastAsia="Times New Roman" w:hAnsi="Times New Roman" w:cs="Times New Roman"/>
        </w:rPr>
      </w:pPr>
      <w:r w:rsidRPr="007D0F98">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next-textbox:#Text Box 24;mso-fit-shape-to-text:t">
              <w:txbxContent>
                <w:p w:rsidR="00296948" w:rsidRPr="00C74D58" w:rsidRDefault="00296948" w:rsidP="006751BA">
                  <w:pPr>
                    <w:tabs>
                      <w:tab w:val="left" w:pos="16582"/>
                    </w:tabs>
                    <w:ind w:left="0"/>
                    <w:jc w:val="center"/>
                    <w:rPr>
                      <w:rFonts w:ascii="Times New Roman" w:eastAsia="Times New Roman" w:hAnsi="Times New Roman" w:cs="Times New Roman"/>
                      <w:b/>
                      <w:color w:val="000000"/>
                    </w:rPr>
                  </w:pPr>
                </w:p>
                <w:p w:rsidR="00296948" w:rsidRPr="00C74D58" w:rsidRDefault="0029694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96948" w:rsidRPr="00C74D58" w:rsidRDefault="00296948" w:rsidP="006751BA">
                  <w:pPr>
                    <w:tabs>
                      <w:tab w:val="left" w:pos="908"/>
                      <w:tab w:val="left" w:pos="16582"/>
                    </w:tabs>
                    <w:ind w:left="108"/>
                    <w:jc w:val="center"/>
                    <w:rPr>
                      <w:rFonts w:ascii="Times New Roman" w:eastAsia="Times New Roman" w:hAnsi="Times New Roman" w:cs="Times New Roman"/>
                      <w:b/>
                      <w:color w:val="000000"/>
                    </w:rPr>
                  </w:pPr>
                </w:p>
                <w:p w:rsidR="00296948" w:rsidRPr="00A019B4" w:rsidRDefault="0029694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 2014</w:t>
                  </w:r>
                </w:p>
                <w:p w:rsidR="00296948" w:rsidRPr="00A019B4" w:rsidRDefault="0029694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 xml:space="preserve">mprovement efforts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EA27BD"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DEQ proposes changes to statewide particulate matter standards and the pre-construction permitting program </w:t>
      </w:r>
      <w:r w:rsidR="004228DE" w:rsidRPr="00D35ED0">
        <w:rPr>
          <w:rFonts w:asciiTheme="minorHAnsi" w:eastAsia="Times New Roman" w:hAnsiTheme="minorHAnsi" w:cstheme="minorHAnsi"/>
        </w:rPr>
        <w:t xml:space="preserve">that would </w:t>
      </w:r>
      <w:r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respond to </w:t>
      </w:r>
      <w:r w:rsidR="005664EB" w:rsidRPr="00D35ED0">
        <w:rPr>
          <w:rFonts w:asciiTheme="minorHAnsi" w:eastAsia="Times New Roman" w:hAnsiTheme="minorHAnsi" w:cstheme="minorHAnsi"/>
        </w:rPr>
        <w:t xml:space="preserve">problems </w:t>
      </w:r>
      <w:r w:rsidR="000F38D9" w:rsidRPr="00D35ED0">
        <w:rPr>
          <w:rFonts w:asciiTheme="minorHAnsi" w:eastAsia="Times New Roman" w:hAnsiTheme="minorHAnsi" w:cstheme="minorHAnsi"/>
        </w:rPr>
        <w:t xml:space="preserve">identified </w:t>
      </w:r>
      <w:r w:rsidR="005664EB" w:rsidRPr="00D35ED0">
        <w:rPr>
          <w:rFonts w:asciiTheme="minorHAnsi" w:eastAsia="Times New Roman" w:hAnsiTheme="minorHAnsi" w:cstheme="minorHAnsi"/>
        </w:rPr>
        <w:t xml:space="preserve">with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 xml:space="preserve">permitting program that must </w:t>
      </w:r>
      <w:r w:rsidR="008E5D1D" w:rsidRPr="00D35ED0">
        <w:rPr>
          <w:rFonts w:asciiTheme="minorHAnsi" w:eastAsia="Times New Roman" w:hAnsiTheme="minorHAnsi" w:cstheme="minorHAnsi"/>
        </w:rPr>
        <w:t xml:space="preserve">be </w:t>
      </w:r>
      <w:r w:rsidR="005664EB" w:rsidRPr="00D35ED0">
        <w:rPr>
          <w:rFonts w:asciiTheme="minorHAnsi" w:eastAsia="Times New Roman" w:hAnsiTheme="minorHAnsi" w:cstheme="minorHAnsi"/>
        </w:rPr>
        <w:t>address</w:t>
      </w:r>
      <w:r w:rsidR="008E5D1D" w:rsidRPr="00D35ED0">
        <w:rPr>
          <w:rFonts w:asciiTheme="minorHAnsi" w:eastAsia="Times New Roman" w:hAnsiTheme="minorHAnsi" w:cstheme="minorHAnsi"/>
        </w:rPr>
        <w:t>ed</w:t>
      </w:r>
      <w:r w:rsidR="005664EB" w:rsidRPr="00D35ED0">
        <w:rPr>
          <w:rFonts w:asciiTheme="minorHAnsi" w:eastAsia="Times New Roman" w:hAnsiTheme="minorHAnsi" w:cstheme="minorHAnsi"/>
        </w:rPr>
        <w:t xml:space="preserve"> to protect air quality. </w:t>
      </w:r>
      <w:r w:rsidR="009E04FF" w:rsidRPr="00D35ED0">
        <w:rPr>
          <w:rFonts w:asciiTheme="minorHAnsi" w:eastAsia="Times New Roman" w:hAnsiTheme="minorHAnsi" w:cstheme="minorHAnsi"/>
        </w:rPr>
        <w:t>Along with these changes, DEQ propos</w:t>
      </w:r>
      <w:r w:rsidR="005C3744" w:rsidRPr="00D35ED0">
        <w:rPr>
          <w:rFonts w:asciiTheme="minorHAnsi" w:eastAsia="Times New Roman" w:hAnsiTheme="minorHAnsi" w:cstheme="minorHAnsi"/>
        </w:rPr>
        <w:t>e</w:t>
      </w:r>
      <w:r w:rsidR="00A415F3" w:rsidRPr="00D35ED0">
        <w:rPr>
          <w:rFonts w:asciiTheme="minorHAnsi" w:eastAsia="Times New Roman" w:hAnsiTheme="minorHAnsi" w:cstheme="minorHAnsi"/>
        </w:rPr>
        <w:t>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DEQ proposes rules to 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EA27BD" w:rsidRPr="00D35ED0">
        <w:rPr>
          <w:rFonts w:asciiTheme="minorHAnsi" w:eastAsia="Times New Roman" w:hAnsiTheme="minorHAnsi" w:cstheme="minorHAnsi"/>
        </w:rPr>
        <w:t>n</w:t>
      </w:r>
      <w:r w:rsidR="00040479" w:rsidRPr="00D35ED0">
        <w:rPr>
          <w:rFonts w:asciiTheme="minorHAnsi" w:eastAsia="Times New Roman" w:hAnsiTheme="minorHAnsi" w:cstheme="minorHAnsi"/>
        </w:rPr>
        <w:t>otice</w:t>
      </w:r>
      <w:r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D35ED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D35ED0">
      <w:pPr>
        <w:ind w:left="1440" w:right="1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361CB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5C3744">
      <w:pPr>
        <w:ind w:left="1080" w:right="1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 (</w:t>
      </w:r>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p>
    <w:p w:rsidR="007F2758" w:rsidRPr="00D35ED0" w:rsidRDefault="00396AC2" w:rsidP="007F2758">
      <w:pPr>
        <w:ind w:left="1080" w:right="1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361CB0">
      <w:pPr>
        <w:tabs>
          <w:tab w:val="left" w:pos="1440"/>
        </w:tabs>
        <w:ind w:left="1440" w:right="14"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are regulated by the permitting program </w:t>
      </w:r>
    </w:p>
    <w:p w:rsidR="00BD5BC2" w:rsidRPr="00D35ED0" w:rsidRDefault="00BD5BC2" w:rsidP="005C3744">
      <w:pPr>
        <w:ind w:left="1080" w:right="18"/>
        <w:outlineLvl w:val="0"/>
        <w:rPr>
          <w:rFonts w:ascii="Times New Roman" w:eastAsia="Times New Roman" w:hAnsi="Times New Roman" w:cs="Times New Roman"/>
          <w:b/>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640A1C" w:rsidRPr="00E638D3" w:rsidRDefault="00640A1C" w:rsidP="00C9650B">
      <w:pPr>
        <w:ind w:left="360" w:right="18"/>
        <w:outlineLvl w:val="0"/>
        <w:rPr>
          <w:rFonts w:ascii="Times New Roman" w:eastAsia="Times New Roman" w:hAnsi="Times New Roman" w:cs="Times New Roman"/>
        </w:rPr>
      </w:pPr>
    </w:p>
    <w:p w:rsidR="002E76F1" w:rsidRDefault="002E76F1" w:rsidP="00B34CF8">
      <w:pPr>
        <w:spacing w:after="120"/>
        <w:ind w:left="720" w:right="18"/>
        <w:outlineLvl w:val="0"/>
        <w:rPr>
          <w:rFonts w:eastAsia="Times New Roman"/>
          <w:bCs/>
          <w:color w:val="70481C" w:themeColor="accent6" w:themeShade="80"/>
          <w:sz w:val="22"/>
          <w:szCs w:val="22"/>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ach of the nine</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Clarify and update </w:t>
      </w:r>
      <w:r w:rsidR="00361CB0">
        <w:rPr>
          <w:rFonts w:ascii="Times New Roman" w:eastAsia="Times New Roman" w:hAnsi="Times New Roman" w:cs="Times New Roman"/>
          <w:u w:val="single"/>
        </w:rPr>
        <w:t>air quality regulations</w:t>
      </w:r>
      <w:r w:rsidR="004272FD" w:rsidRPr="00D35ED0">
        <w:rPr>
          <w:rFonts w:ascii="Times New Roman" w:eastAsia="Times New Roman" w:hAnsi="Times New Roman" w:cs="Times New Roman"/>
          <w:u w:val="single"/>
        </w:rPr>
        <w:t xml:space="preserve"> </w:t>
      </w:r>
    </w:p>
    <w:p w:rsidR="00EE6E51" w:rsidRPr="00D35ED0" w:rsidRDefault="00FD22F2" w:rsidP="00EE6E51">
      <w:pPr>
        <w:ind w:left="1080" w:right="14"/>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Oregon’s a</w:t>
      </w:r>
      <w:r w:rsidR="004272FD" w:rsidRPr="00D35ED0">
        <w:rPr>
          <w:rFonts w:ascii="Times New Roman" w:eastAsia="Times New Roman" w:hAnsi="Times New Roman" w:cs="Times New Roman"/>
        </w:rPr>
        <w:t xml:space="preserve">ir quality rules </w:t>
      </w:r>
      <w:r>
        <w:rPr>
          <w:rFonts w:ascii="Times New Roman" w:eastAsia="Times New Roman" w:hAnsi="Times New Roman" w:cs="Times New Roman"/>
        </w:rPr>
        <w:t xml:space="preserve">need to be reorganized.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3C2903">
      <w:pPr>
        <w:ind w:left="1080" w:right="14"/>
        <w:outlineLvl w:val="0"/>
        <w:rPr>
          <w:rFonts w:ascii="Times New Roman" w:eastAsia="Times New Roman" w:hAnsi="Times New Roman" w:cs="Times New Roman"/>
        </w:rPr>
      </w:pPr>
    </w:p>
    <w:p w:rsidR="004272FD" w:rsidRPr="00D35ED0" w:rsidRDefault="004272FD"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Update particulate matter </w:t>
      </w:r>
      <w:r w:rsidR="007D695C">
        <w:rPr>
          <w:rFonts w:ascii="Times New Roman" w:eastAsia="Times New Roman" w:hAnsi="Times New Roman" w:cs="Times New Roman"/>
          <w:u w:val="single"/>
        </w:rPr>
        <w:t xml:space="preserve">emission </w:t>
      </w:r>
      <w:r w:rsidRPr="00D35ED0">
        <w:rPr>
          <w:rFonts w:ascii="Times New Roman" w:eastAsia="Times New Roman" w:hAnsi="Times New Roman" w:cs="Times New Roman"/>
          <w:u w:val="single"/>
        </w:rPr>
        <w:t>standards</w:t>
      </w:r>
    </w:p>
    <w:p w:rsidR="004272FD" w:rsidRDefault="0007703C" w:rsidP="003C2903">
      <w:pPr>
        <w:ind w:left="1080" w:right="14"/>
        <w:outlineLvl w:val="0"/>
        <w:rPr>
          <w:rFonts w:ascii="Times New Roman" w:hAnsi="Times New Roman" w:cs="Times New Roman"/>
          <w:bCs/>
        </w:rPr>
      </w:pPr>
      <w:r>
        <w:rPr>
          <w:rFonts w:ascii="Times New Roman" w:hAnsi="Times New Roman" w:cs="Times New Roman"/>
          <w:bCs/>
        </w:rPr>
        <w:t xml:space="preserve">Like many </w:t>
      </w:r>
      <w:r w:rsidR="00613D52" w:rsidRPr="00D35ED0">
        <w:rPr>
          <w:rFonts w:ascii="Times New Roman" w:hAnsi="Times New Roman" w:cs="Times New Roman"/>
          <w:bCs/>
        </w:rPr>
        <w:t xml:space="preserve">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r w:rsidR="00613D52" w:rsidRPr="00D35ED0">
        <w:rPr>
          <w:rFonts w:ascii="Times New Roman" w:hAnsi="Times New Roman" w:cs="Times New Roman"/>
          <w:bCs/>
        </w:rPr>
        <w:t xml:space="preserve"> </w:t>
      </w:r>
      <w:r>
        <w:rPr>
          <w:rFonts w:ascii="Times New Roman" w:hAnsi="Times New Roman" w:cs="Times New Roman"/>
          <w:bCs/>
        </w:rPr>
        <w:t xml:space="preserve"> that included less protective standards for “grandfathered” businesses that were operating at that time</w:t>
      </w:r>
      <w:r w:rsidR="005C3744" w:rsidRPr="00D35ED0">
        <w:rPr>
          <w:rFonts w:ascii="Times New Roman" w:hAnsi="Times New Roman" w:cs="Times New Roman"/>
          <w:bCs/>
        </w:rPr>
        <w:t xml:space="preserve">. </w:t>
      </w:r>
      <w:r w:rsidR="002112F6" w:rsidRPr="00D35ED0">
        <w:rPr>
          <w:rFonts w:ascii="Times New Roman" w:hAnsi="Times New Roman" w:cs="Times New Roman"/>
          <w:bCs/>
        </w:rPr>
        <w:t xml:space="preserve">With changes in ambient air quality standards over the years, the statewide standards for </w:t>
      </w:r>
      <w:r w:rsidR="00DA1CFC">
        <w:rPr>
          <w:rFonts w:ascii="Times New Roman" w:hAnsi="Times New Roman" w:cs="Times New Roman"/>
          <w:bCs/>
        </w:rPr>
        <w:t xml:space="preserve">grandfathered </w:t>
      </w:r>
      <w:r w:rsidR="002112F6" w:rsidRPr="00D35ED0">
        <w:rPr>
          <w:rFonts w:ascii="Times New Roman" w:hAnsi="Times New Roman" w:cs="Times New Roman"/>
          <w:bCs/>
        </w:rPr>
        <w:t>businesses no longer protect air quality</w:t>
      </w:r>
      <w:r w:rsidR="005C3744" w:rsidRPr="00D35ED0">
        <w:rPr>
          <w:rFonts w:ascii="Times New Roman" w:hAnsi="Times New Roman" w:cs="Times New Roman"/>
          <w:bCs/>
        </w:rPr>
        <w:t xml:space="preserve">. </w:t>
      </w:r>
      <w:r w:rsidR="00136667">
        <w:rPr>
          <w:rFonts w:ascii="Times New Roman" w:hAnsi="Times New Roman" w:cs="Times New Roman"/>
          <w:bCs/>
        </w:rPr>
        <w:t>Therefor</w:t>
      </w:r>
      <w:r w:rsidR="00E169BE">
        <w:rPr>
          <w:rFonts w:ascii="Times New Roman" w:hAnsi="Times New Roman" w:cs="Times New Roman"/>
          <w:bCs/>
        </w:rPr>
        <w:t>e</w:t>
      </w:r>
      <w:r w:rsidR="00136667">
        <w:rPr>
          <w:rFonts w:ascii="Times New Roman" w:hAnsi="Times New Roman" w:cs="Times New Roman"/>
          <w:bCs/>
        </w:rPr>
        <w:t xml:space="preserve">, DEQ proposes to phase-in a transition for the few remaining grandfathered businesses that have not already upgraded to the standard that applies to businesses built since 1970. </w:t>
      </w:r>
      <w:r w:rsidR="00DA1CFC">
        <w:rPr>
          <w:rFonts w:ascii="Times New Roman" w:hAnsi="Times New Roman" w:cs="Times New Roman"/>
          <w:bCs/>
        </w:rPr>
        <w:t xml:space="preserve">The proposal includes flexible options and potential extensions to </w:t>
      </w:r>
      <w:r w:rsidR="000334BE">
        <w:rPr>
          <w:rFonts w:ascii="Times New Roman" w:hAnsi="Times New Roman" w:cs="Times New Roman"/>
          <w:bCs/>
        </w:rPr>
        <w:t>minimize c</w:t>
      </w:r>
      <w:r w:rsidR="00C85681">
        <w:rPr>
          <w:rFonts w:ascii="Times New Roman" w:hAnsi="Times New Roman" w:cs="Times New Roman"/>
          <w:bCs/>
        </w:rPr>
        <w:t>osts and</w:t>
      </w:r>
      <w:r w:rsidR="000334BE">
        <w:rPr>
          <w:rFonts w:ascii="Times New Roman" w:hAnsi="Times New Roman" w:cs="Times New Roman"/>
          <w:bCs/>
        </w:rPr>
        <w:t xml:space="preserve"> ensure that no biomass boilers would need to be converted to fossil fuel</w:t>
      </w:r>
      <w:r w:rsidR="00DA1CFC">
        <w:rPr>
          <w:rFonts w:ascii="Times New Roman" w:hAnsi="Times New Roman" w:cs="Times New Roman"/>
          <w:bCs/>
        </w:rPr>
        <w:t xml:space="preserve">.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proposes changes to the compliance demonstration method used for </w:t>
      </w:r>
      <w:r w:rsidR="00A82406">
        <w:rPr>
          <w:rFonts w:ascii="Times New Roman" w:hAnsi="Times New Roman" w:cs="Times New Roman"/>
          <w:bCs/>
        </w:rPr>
        <w:t xml:space="preserve">the </w:t>
      </w:r>
      <w:r w:rsidR="00C55357">
        <w:rPr>
          <w:rFonts w:ascii="Times New Roman" w:hAnsi="Times New Roman" w:cs="Times New Roman"/>
          <w:bCs/>
        </w:rPr>
        <w:t>visible emission</w:t>
      </w:r>
      <w:r w:rsidR="00A82406">
        <w:rPr>
          <w:rFonts w:ascii="Times New Roman" w:hAnsi="Times New Roman" w:cs="Times New Roman"/>
          <w:bCs/>
        </w:rPr>
        <w:t xml:space="preserve">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00C55357">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sidR="00C55357">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sidR="00C55357">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sidR="00C55357">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sidR="00C55357">
        <w:rPr>
          <w:rFonts w:ascii="Times New Roman" w:eastAsia="Times New Roman" w:hAnsi="Times New Roman" w:cs="Times New Roman"/>
          <w:bCs/>
        </w:rPr>
        <w:t>e</w:t>
      </w:r>
      <w:r w:rsidRPr="00D35ED0">
        <w:rPr>
          <w:rFonts w:ascii="Times New Roman" w:eastAsia="Times New Roman" w:hAnsi="Times New Roman" w:cs="Times New Roman"/>
          <w:bCs/>
        </w:rPr>
        <w:t>ngines. Th</w:t>
      </w:r>
      <w:r w:rsidR="00095E31">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that </w:t>
      </w:r>
      <w:r w:rsidR="00E169BE">
        <w:rPr>
          <w:rFonts w:ascii="Times New Roman" w:eastAsia="Times New Roman" w:hAnsi="Times New Roman" w:cs="Times New Roman"/>
          <w:bCs/>
        </w:rPr>
        <w:t xml:space="preserve">are currently exempt from permitting </w:t>
      </w:r>
      <w:r w:rsidR="00095E31">
        <w:rPr>
          <w:rFonts w:ascii="Times New Roman" w:eastAsia="Times New Roman" w:hAnsi="Times New Roman" w:cs="Times New Roman"/>
          <w:bCs/>
        </w:rPr>
        <w:t xml:space="preserve">in Oregon </w:t>
      </w:r>
      <w:r w:rsidR="00E169BE">
        <w:rPr>
          <w:rFonts w:ascii="Times New Roman" w:eastAsia="Times New Roman" w:hAnsi="Times New Roman" w:cs="Times New Roman"/>
          <w:bCs/>
        </w:rPr>
        <w:t>because</w:t>
      </w:r>
      <w:r w:rsidR="00095E31">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DEQ thought </w:t>
      </w:r>
      <w:r w:rsidR="00095E31">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E169BE">
        <w:rPr>
          <w:rFonts w:ascii="Times New Roman" w:eastAsia="Times New Roman" w:hAnsi="Times New Roman" w:cs="Times New Roman"/>
          <w:bCs/>
        </w:rPr>
        <w:t xml:space="preserve">Similarly,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w:t>
      </w:r>
      <w:r w:rsidR="00396AC2">
        <w:rPr>
          <w:rFonts w:ascii="Times New Roman" w:eastAsia="Times New Roman" w:hAnsi="Times New Roman" w:cs="Times New Roman"/>
          <w:bCs/>
        </w:rPr>
        <w:t>are</w:t>
      </w:r>
      <w:r w:rsidR="00E169BE">
        <w:rPr>
          <w:rFonts w:ascii="Times New Roman" w:eastAsia="Times New Roman" w:hAnsi="Times New Roman" w:cs="Times New Roman"/>
          <w:bCs/>
        </w:rPr>
        <w:t xml:space="preserve"> exempt from </w:t>
      </w:r>
      <w:r w:rsidR="005A08B2">
        <w:rPr>
          <w:rFonts w:ascii="Times New Roman" w:eastAsia="Times New Roman" w:hAnsi="Times New Roman" w:cs="Times New Roman"/>
          <w:bCs/>
        </w:rPr>
        <w:t>permitting</w:t>
      </w:r>
      <w:r w:rsidR="00095E31">
        <w:rPr>
          <w:rFonts w:ascii="Times New Roman" w:eastAsia="Times New Roman" w:hAnsi="Times New Roman" w:cs="Times New Roman"/>
          <w:bCs/>
        </w:rPr>
        <w:t xml:space="preserve">, although the emissions from groups of this equipment can be significant in the </w:t>
      </w:r>
      <w:r w:rsidRPr="00D35ED0">
        <w:rPr>
          <w:rFonts w:ascii="Times New Roman" w:eastAsia="Times New Roman" w:hAnsi="Times New Roman" w:cs="Times New Roman"/>
          <w:bCs/>
        </w:rPr>
        <w:t>aggregate</w:t>
      </w:r>
      <w:r w:rsidR="00095E31">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sidR="00095E31">
        <w:rPr>
          <w:rFonts w:ascii="Times New Roman" w:eastAsia="Times New Roman" w:hAnsi="Times New Roman" w:cs="Times New Roman"/>
          <w:bCs/>
        </w:rPr>
        <w:t>The proposal</w:t>
      </w:r>
      <w:r w:rsidR="00521A8B">
        <w:rPr>
          <w:rFonts w:ascii="Times New Roman" w:eastAsia="Times New Roman" w:hAnsi="Times New Roman" w:cs="Times New Roman"/>
          <w:bCs/>
        </w:rPr>
        <w:t xml:space="preserve"> would require permit</w:t>
      </w:r>
      <w:r w:rsidR="00514E58">
        <w:rPr>
          <w:rFonts w:ascii="Times New Roman" w:eastAsia="Times New Roman" w:hAnsi="Times New Roman" w:cs="Times New Roman"/>
          <w:bCs/>
        </w:rPr>
        <w:t>s</w:t>
      </w:r>
      <w:r w:rsidR="00095E31">
        <w:rPr>
          <w:rFonts w:ascii="Times New Roman" w:eastAsia="Times New Roman" w:hAnsi="Times New Roman" w:cs="Times New Roman"/>
          <w:bCs/>
        </w:rPr>
        <w:t xml:space="preserve"> for these </w:t>
      </w:r>
      <w:r w:rsidR="00514E58">
        <w:rPr>
          <w:rFonts w:ascii="Times New Roman" w:eastAsia="Times New Roman" w:hAnsi="Times New Roman" w:cs="Times New Roman"/>
          <w:bCs/>
        </w:rPr>
        <w:t xml:space="preserve">types of </w:t>
      </w:r>
      <w:r w:rsidR="00095E31">
        <w:rPr>
          <w:rFonts w:ascii="Times New Roman" w:eastAsia="Times New Roman" w:hAnsi="Times New Roman" w:cs="Times New Roman"/>
          <w:bCs/>
        </w:rPr>
        <w:t>sources</w:t>
      </w:r>
      <w:r w:rsidRPr="00D35ED0">
        <w:rPr>
          <w:rFonts w:ascii="Times New Roman" w:eastAsia="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40767" w:rsidRPr="00935508" w:rsidRDefault="00440767" w:rsidP="00440767">
      <w:pPr>
        <w:pStyle w:val="ListParagraph"/>
        <w:numPr>
          <w:ilvl w:val="0"/>
          <w:numId w:val="19"/>
        </w:numPr>
        <w:ind w:right="18"/>
        <w:outlineLvl w:val="0"/>
        <w:rPr>
          <w:rFonts w:asciiTheme="minorHAnsi" w:eastAsia="Times New Roman" w:hAnsiTheme="minorHAnsi" w:cstheme="minorHAnsi"/>
          <w:u w:val="single"/>
        </w:rPr>
      </w:pPr>
      <w:r w:rsidRPr="00935508">
        <w:rPr>
          <w:rFonts w:asciiTheme="minorHAnsi" w:eastAsia="Times New Roman" w:hAnsiTheme="minorHAnsi" w:cstheme="minorHAnsi"/>
          <w:u w:val="single"/>
        </w:rPr>
        <w:t xml:space="preserve">Establish two new state air quality area designations – “sustainment” and “reattainment” </w:t>
      </w:r>
      <w:r w:rsidR="00396AC2" w:rsidRPr="00935508">
        <w:rPr>
          <w:rFonts w:asciiTheme="minorHAnsi" w:eastAsia="Times New Roman" w:hAnsiTheme="minorHAnsi" w:cstheme="minorHAnsi"/>
          <w:u w:val="single"/>
        </w:rPr>
        <w:t xml:space="preserve">– </w:t>
      </w:r>
      <w:r w:rsidRPr="00935508">
        <w:rPr>
          <w:rFonts w:asciiTheme="minorHAnsi" w:eastAsia="Times New Roman" w:hAnsiTheme="minorHAnsi" w:cstheme="minorHAnsi"/>
          <w:u w:val="single"/>
        </w:rPr>
        <w:t>to help areas avoid and more quickly end a fe</w:t>
      </w:r>
      <w:r w:rsidR="00C36B5C">
        <w:rPr>
          <w:rFonts w:asciiTheme="minorHAnsi" w:eastAsia="Times New Roman" w:hAnsiTheme="minorHAnsi" w:cstheme="minorHAnsi"/>
          <w:u w:val="single"/>
        </w:rPr>
        <w:t>deral nonattainment designation</w:t>
      </w:r>
    </w:p>
    <w:p w:rsidR="00440767" w:rsidRPr="00396AC2" w:rsidRDefault="006E204D" w:rsidP="00440767">
      <w:pPr>
        <w:pStyle w:val="ListParagraph"/>
        <w:ind w:left="1080" w:right="18"/>
        <w:outlineLvl w:val="0"/>
        <w:rPr>
          <w:rFonts w:ascii="Times New Roman" w:eastAsia="Times New Roman" w:hAnsi="Times New Roman" w:cs="Times New Roman"/>
        </w:rPr>
      </w:pPr>
      <w:r w:rsidRPr="00396AC2">
        <w:rPr>
          <w:rFonts w:ascii="Times New Roman" w:eastAsia="Times New Roman" w:hAnsi="Times New Roman" w:cs="Times New Roman"/>
        </w:rPr>
        <w:t xml:space="preserve">Areas that violate federal air quality standards are designed by EPA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nonattainment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while all other areas are designated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or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unclassifiable</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Under current Oregon law, former nonattainment areas that are reclassified by EPA to attainment are designated as “maintenance” areas under state law to </w:t>
      </w:r>
      <w:r w:rsidR="007130E8" w:rsidRPr="00396AC2">
        <w:rPr>
          <w:rFonts w:ascii="Times New Roman" w:eastAsia="Times New Roman" w:hAnsi="Times New Roman" w:cs="Times New Roman"/>
        </w:rPr>
        <w:t xml:space="preserve">ensure that they avoid future violations. DEQ proposes to add two new state-only classifications – </w:t>
      </w:r>
      <w:r w:rsidR="002B1149" w:rsidRPr="00396AC2">
        <w:rPr>
          <w:rFonts w:ascii="Times New Roman" w:eastAsia="Times New Roman" w:hAnsi="Times New Roman" w:cs="Times New Roman"/>
        </w:rPr>
        <w:t>“</w:t>
      </w:r>
      <w:r w:rsidR="007130E8" w:rsidRPr="00396AC2">
        <w:rPr>
          <w:rFonts w:ascii="Times New Roman" w:eastAsia="Times New Roman" w:hAnsi="Times New Roman" w:cs="Times New Roman"/>
        </w:rPr>
        <w:t xml:space="preserve">sustainment” and “reattainment” areas. Based on DEQ recommendations and public comment, EQC would designate specific areas of the state as sustainment or reattainment based on a local air quality analysis. DEQ would recommend a state sustainment area designation for a federal attainment area that is approaching or over federal air quality standards but is not yet designated as nonattainment by EPA. DEQ would recommend a state reattainment area </w:t>
      </w:r>
      <w:r w:rsidR="005A08B2" w:rsidRPr="00396AC2">
        <w:rPr>
          <w:rFonts w:ascii="Times New Roman" w:eastAsia="Times New Roman" w:hAnsi="Times New Roman" w:cs="Times New Roman"/>
        </w:rPr>
        <w:t>designation</w:t>
      </w:r>
      <w:r w:rsidR="007130E8" w:rsidRPr="00396AC2">
        <w:rPr>
          <w:rFonts w:ascii="Times New Roman" w:eastAsia="Times New Roman" w:hAnsi="Times New Roman" w:cs="Times New Roman"/>
        </w:rPr>
        <w:t xml:space="preserve"> for a federal nonattainment area that is meeting air quality standards but has not yet been redesignated to attainment by EPA. These designations would provide communities and businesses with additional tools and incentives to improve air quality.</w:t>
      </w:r>
    </w:p>
    <w:p w:rsidR="00440767" w:rsidRDefault="00440767" w:rsidP="00440767">
      <w:pPr>
        <w:pStyle w:val="ListParagraph"/>
        <w:ind w:left="1080" w:right="18"/>
        <w:outlineLvl w:val="0"/>
        <w:rPr>
          <w:rFonts w:ascii="Times New Roman" w:eastAsia="Times New Roman" w:hAnsi="Times New Roman" w:cs="Times New Roman"/>
          <w:u w:val="single"/>
        </w:rPr>
      </w:pPr>
    </w:p>
    <w:p w:rsidR="007F2758" w:rsidRPr="00E73B91" w:rsidRDefault="007F2758" w:rsidP="003C2903">
      <w:pPr>
        <w:pStyle w:val="ListParagraph"/>
        <w:numPr>
          <w:ilvl w:val="0"/>
          <w:numId w:val="19"/>
        </w:numPr>
        <w:ind w:right="18"/>
        <w:outlineLvl w:val="0"/>
        <w:rPr>
          <w:rFonts w:ascii="Times New Roman" w:eastAsia="Times New Roman" w:hAnsi="Times New Roman" w:cs="Times New Roman"/>
          <w:u w:val="single"/>
        </w:rPr>
      </w:pPr>
      <w:r w:rsidRPr="00E73B91">
        <w:rPr>
          <w:rFonts w:asciiTheme="minorHAnsi" w:eastAsia="Times New Roman" w:hAnsiTheme="minorHAnsi" w:cstheme="minorHAnsi"/>
          <w:u w:val="single"/>
        </w:rPr>
        <w:t xml:space="preserve">Identify Lakeview </w:t>
      </w:r>
      <w:r w:rsidR="00E67421" w:rsidRPr="00E73B91">
        <w:rPr>
          <w:rFonts w:asciiTheme="minorHAnsi" w:eastAsia="Times New Roman" w:hAnsiTheme="minorHAnsi" w:cstheme="minorHAnsi"/>
          <w:u w:val="single"/>
        </w:rPr>
        <w:t xml:space="preserve">as a </w:t>
      </w:r>
      <w:r w:rsidRPr="00E73B91">
        <w:rPr>
          <w:rFonts w:asciiTheme="minorHAnsi" w:eastAsia="Times New Roman" w:hAnsiTheme="minorHAnsi" w:cstheme="minorHAnsi"/>
          <w:u w:val="single"/>
        </w:rPr>
        <w:t>state sustainment area while retaining its federal attainment designation</w:t>
      </w:r>
    </w:p>
    <w:p w:rsidR="007F2758" w:rsidRDefault="007F2758" w:rsidP="007F2758">
      <w:pPr>
        <w:ind w:left="1080" w:right="18"/>
        <w:outlineLvl w:val="0"/>
        <w:rPr>
          <w:rFonts w:ascii="Times New Roman" w:eastAsia="Times New Roman" w:hAnsi="Times New Roman" w:cs="Times New Roman"/>
          <w:u w:val="single"/>
        </w:rPr>
      </w:pPr>
      <w:r w:rsidRPr="00FB1B05">
        <w:rPr>
          <w:rFonts w:ascii="Times New Roman" w:eastAsia="Times New Roman" w:hAnsi="Times New Roman" w:cs="Times New Roman"/>
        </w:rPr>
        <w:t xml:space="preserve">Air quality in Lakeview currently exceeds the ambient air quality standards for fine particulates. However, EPA has not </w:t>
      </w:r>
      <w:r w:rsidR="00537B1E" w:rsidRPr="00FB1B05">
        <w:rPr>
          <w:rFonts w:ascii="Times New Roman" w:eastAsia="Times New Roman" w:hAnsi="Times New Roman" w:cs="Times New Roman"/>
        </w:rPr>
        <w:t xml:space="preserve">yet </w:t>
      </w:r>
      <w:r w:rsidRPr="00FB1B05">
        <w:rPr>
          <w:rFonts w:ascii="Times New Roman" w:eastAsia="Times New Roman" w:hAnsi="Times New Roman" w:cs="Times New Roman"/>
        </w:rPr>
        <w:t>designated Lakeview as a nonattainment area</w:t>
      </w:r>
      <w:r w:rsidR="00C85681">
        <w:rPr>
          <w:rFonts w:ascii="Times New Roman" w:eastAsia="Times New Roman" w:hAnsi="Times New Roman" w:cs="Times New Roman"/>
        </w:rPr>
        <w:t xml:space="preserve"> because Lakeview was not exceeding the standard at the time EPA was making designations throughout the country</w:t>
      </w:r>
      <w:r w:rsidRPr="00FB1B05">
        <w:rPr>
          <w:rFonts w:ascii="Times New Roman" w:eastAsia="Times New Roman" w:hAnsi="Times New Roman" w:cs="Times New Roman"/>
        </w:rPr>
        <w:t xml:space="preserve">. This makes it nearly impossible for </w:t>
      </w:r>
      <w:r w:rsidR="00E818B3" w:rsidRPr="00FB1B05">
        <w:rPr>
          <w:rFonts w:ascii="Times New Roman" w:eastAsia="Times New Roman" w:hAnsi="Times New Roman" w:cs="Times New Roman"/>
        </w:rPr>
        <w:t>industrial</w:t>
      </w:r>
      <w:r w:rsidRPr="00FB1B05">
        <w:rPr>
          <w:rFonts w:ascii="Times New Roman" w:eastAsia="Times New Roman" w:hAnsi="Times New Roman" w:cs="Times New Roman"/>
        </w:rPr>
        <w:t xml:space="preserve"> business to build or expand in the Lakeview area because </w:t>
      </w:r>
      <w:r w:rsidRPr="00FB1B05">
        <w:rPr>
          <w:rFonts w:ascii="Times New Roman" w:eastAsia="Times New Roman" w:hAnsi="Times New Roman" w:cs="Times New Roman"/>
        </w:rPr>
        <w:lastRenderedPageBreak/>
        <w:t xml:space="preserve">permitting provisions for areas that </w:t>
      </w:r>
      <w:r w:rsidR="007D0FC4" w:rsidRPr="00FB1B05">
        <w:rPr>
          <w:rFonts w:ascii="Times New Roman" w:eastAsia="Times New Roman" w:hAnsi="Times New Roman" w:cs="Times New Roman"/>
        </w:rPr>
        <w:t>violate</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federal</w:t>
      </w:r>
      <w:r w:rsidRPr="00FB1B05">
        <w:rPr>
          <w:rFonts w:ascii="Times New Roman" w:eastAsia="Times New Roman" w:hAnsi="Times New Roman" w:cs="Times New Roman"/>
        </w:rPr>
        <w:t xml:space="preserve"> air quality standards</w:t>
      </w:r>
      <w:r w:rsidR="007D0FC4" w:rsidRPr="00FB1B05">
        <w:rPr>
          <w:rFonts w:ascii="Times New Roman" w:eastAsia="Times New Roman" w:hAnsi="Times New Roman" w:cs="Times New Roman"/>
        </w:rPr>
        <w:t xml:space="preserve"> are not available in attainment areas</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 xml:space="preserve">However, designating Lakeview as a nonattainment area would preclude the community’s active voluntary efforts to meet federal air quality standards under the “PM Advance” program. Designating Lakeview as a state sustainment area would retain the benefits of a federal attainment designation while </w:t>
      </w:r>
      <w:r w:rsidRPr="00FB1B05">
        <w:rPr>
          <w:rFonts w:ascii="Times New Roman" w:eastAsia="Times New Roman" w:hAnsi="Times New Roman" w:cs="Times New Roman"/>
        </w:rPr>
        <w:t>providing Lakeview with new tools to improve ambient air quality</w:t>
      </w:r>
      <w:r w:rsidR="00537B1E" w:rsidRPr="00FB1B05">
        <w:rPr>
          <w:rFonts w:ascii="Times New Roman" w:eastAsia="Times New Roman" w:hAnsi="Times New Roman" w:cs="Times New Roman"/>
        </w:rPr>
        <w:t xml:space="preserve"> and more flexible permitting requirements</w:t>
      </w:r>
      <w:r w:rsidRPr="00FB1B05">
        <w:rPr>
          <w:rFonts w:ascii="Times New Roman" w:eastAsia="Times New Roman" w:hAnsi="Times New Roman" w:cs="Times New Roman"/>
        </w:rPr>
        <w:t>.</w:t>
      </w:r>
    </w:p>
    <w:p w:rsidR="007F2758" w:rsidRPr="007F2758" w:rsidRDefault="007F2758" w:rsidP="007F2758">
      <w:pPr>
        <w:ind w:left="720" w:right="18"/>
        <w:outlineLvl w:val="0"/>
        <w:rPr>
          <w:rFonts w:ascii="Times New Roman" w:eastAsia="Times New Roman" w:hAnsi="Times New Roman" w:cs="Times New Roman"/>
          <w:u w:val="single"/>
        </w:rPr>
      </w:pPr>
    </w:p>
    <w:p w:rsidR="004272FD" w:rsidRPr="00D35ED0" w:rsidRDefault="004A1CB2"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 (</w:t>
      </w:r>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r w:rsidR="00137086">
        <w:rPr>
          <w:rFonts w:ascii="Times New Roman" w:eastAsia="Times New Roman" w:hAnsi="Times New Roman" w:cs="Times New Roman"/>
          <w:bCs/>
        </w:rPr>
        <w:t xml:space="preserve"> The proposal would </w:t>
      </w:r>
      <w:r w:rsidR="005A08B2">
        <w:rPr>
          <w:rFonts w:ascii="Times New Roman" w:eastAsia="Times New Roman" w:hAnsi="Times New Roman" w:cs="Times New Roman"/>
          <w:bCs/>
        </w:rPr>
        <w:t>separate</w:t>
      </w:r>
      <w:r w:rsidR="00137086">
        <w:rPr>
          <w:rFonts w:ascii="Times New Roman" w:eastAsia="Times New Roman" w:hAnsi="Times New Roman" w:cs="Times New Roman"/>
          <w:bCs/>
        </w:rPr>
        <w:t xml:space="preserve">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sources above and below the federal major source threshold and would establish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the proposed new sustainment and reattainment area designations.</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3D4960" w:rsidP="003C2903">
      <w:pPr>
        <w:pStyle w:val="ListParagraph"/>
        <w:numPr>
          <w:ilvl w:val="0"/>
          <w:numId w:val="19"/>
        </w:numPr>
        <w:ind w:right="18"/>
        <w:outlineLvl w:val="0"/>
        <w:rPr>
          <w:rFonts w:ascii="Times New Roman" w:eastAsia="Times New Roman" w:hAnsi="Times New Roman" w:cs="Times New Roman"/>
          <w:u w:val="single"/>
        </w:rPr>
      </w:pPr>
      <w:r>
        <w:rPr>
          <w:rFonts w:ascii="Times New Roman" w:eastAsia="Times New Roman" w:hAnsi="Times New Roman" w:cs="Times New Roman"/>
          <w:u w:val="single"/>
        </w:rPr>
        <w:t>Provide more flexibility for pu</w:t>
      </w:r>
      <w:r w:rsidR="004A1CB2" w:rsidRPr="00D35ED0">
        <w:rPr>
          <w:rFonts w:ascii="Times New Roman" w:eastAsia="Times New Roman" w:hAnsi="Times New Roman" w:cs="Times New Roman"/>
          <w:u w:val="single"/>
        </w:rPr>
        <w:t>blic hearings and meetings</w:t>
      </w:r>
    </w:p>
    <w:p w:rsidR="004272FD" w:rsidRPr="00D35ED0" w:rsidRDefault="004228DE"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CC6C82">
        <w:rPr>
          <w:rFonts w:ascii="Times New Roman" w:eastAsia="Times New Roman" w:hAnsi="Times New Roman" w:cs="Times New Roman"/>
        </w:rPr>
        <w:t xml:space="preserve">staying </w:t>
      </w:r>
      <w:r w:rsidR="0079478B">
        <w:rPr>
          <w:rFonts w:ascii="Times New Roman" w:eastAsia="Times New Roman" w:hAnsi="Times New Roman" w:cs="Times New Roman"/>
        </w:rPr>
        <w:t>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3C2903">
      <w:pPr>
        <w:rPr>
          <w:rFonts w:ascii="Times New Roman" w:eastAsia="Times New Roman" w:hAnsi="Times New Roman" w:cs="Times New Roman"/>
          <w:u w:val="single"/>
        </w:rPr>
      </w:pPr>
    </w:p>
    <w:p w:rsidR="004272FD" w:rsidRPr="000954CE" w:rsidRDefault="000954CE" w:rsidP="003C2903">
      <w:pPr>
        <w:pStyle w:val="ListParagraph"/>
        <w:numPr>
          <w:ilvl w:val="0"/>
          <w:numId w:val="19"/>
        </w:numPr>
        <w:ind w:right="18"/>
        <w:outlineLvl w:val="0"/>
        <w:rPr>
          <w:rFonts w:ascii="Times New Roman" w:eastAsia="Times New Roman" w:hAnsi="Times New Roman" w:cs="Times New Roman"/>
          <w:u w:val="single"/>
        </w:rPr>
      </w:pPr>
      <w:r w:rsidRPr="000954CE">
        <w:rPr>
          <w:rFonts w:ascii="Times New Roman" w:eastAsia="Times New Roman" w:hAnsi="Times New Roman" w:cs="Times New Roman"/>
          <w:u w:val="single"/>
        </w:rPr>
        <w:t>Reestablish Heat Smart exemption for small commercial solid fuel boilers that are regulated by the permitting program</w:t>
      </w:r>
    </w:p>
    <w:p w:rsidR="00B01263" w:rsidRDefault="00EC0C81" w:rsidP="00CC307C">
      <w:pPr>
        <w:ind w:left="1080"/>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sidR="00AD5303">
        <w:rPr>
          <w:rFonts w:ascii="Times New Roman" w:eastAsia="Times New Roman" w:hAnsi="Times New Roman" w:cs="Times New Roman"/>
        </w:rPr>
        <w:t xml:space="preserve">to revise </w:t>
      </w:r>
      <w:r w:rsidRPr="00D35ED0">
        <w:rPr>
          <w:rFonts w:ascii="Times New Roman" w:eastAsia="Times New Roman" w:hAnsi="Times New Roman" w:cs="Times New Roman"/>
        </w:rPr>
        <w:t xml:space="preserve">rules </w:t>
      </w:r>
      <w:r w:rsidR="00AD5303">
        <w:rPr>
          <w:rFonts w:ascii="Times New Roman" w:eastAsia="Times New Roman" w:hAnsi="Times New Roman" w:cs="Times New Roman"/>
        </w:rPr>
        <w:t>for residential wood heating that inadvertently prevent</w:t>
      </w:r>
      <w:r w:rsidRPr="00D35ED0">
        <w:rPr>
          <w:rFonts w:ascii="Times New Roman" w:eastAsia="Times New Roman" w:hAnsi="Times New Roman" w:cs="Times New Roman"/>
        </w:rPr>
        <w:t xml:space="preserve"> small </w:t>
      </w:r>
      <w:r w:rsidR="00911091">
        <w:rPr>
          <w:rFonts w:ascii="Times New Roman" w:eastAsia="Times New Roman" w:hAnsi="Times New Roman" w:cs="Times New Roman"/>
        </w:rPr>
        <w:t>commercial</w:t>
      </w:r>
      <w:r w:rsidR="00AD5303">
        <w:rPr>
          <w:rFonts w:ascii="Times New Roman" w:eastAsia="Times New Roman" w:hAnsi="Times New Roman" w:cs="Times New Roman"/>
        </w:rPr>
        <w:t xml:space="preserve"> </w:t>
      </w:r>
      <w:r w:rsidRPr="00D35ED0">
        <w:rPr>
          <w:rFonts w:ascii="Times New Roman" w:eastAsia="Times New Roman" w:hAnsi="Times New Roman" w:cs="Times New Roman"/>
        </w:rPr>
        <w:t xml:space="preserve">biomass boilers </w:t>
      </w:r>
      <w:r w:rsidR="00AD5303">
        <w:rPr>
          <w:rFonts w:ascii="Times New Roman" w:eastAsia="Times New Roman" w:hAnsi="Times New Roman" w:cs="Times New Roman"/>
        </w:rPr>
        <w:t xml:space="preserve">from </w:t>
      </w:r>
      <w:r w:rsidRPr="00D35ED0">
        <w:rPr>
          <w:rFonts w:ascii="Times New Roman" w:eastAsia="Times New Roman" w:hAnsi="Times New Roman" w:cs="Times New Roman"/>
        </w:rPr>
        <w:t>be</w:t>
      </w:r>
      <w:r w:rsidR="00AD5303">
        <w:rPr>
          <w:rFonts w:ascii="Times New Roman" w:eastAsia="Times New Roman" w:hAnsi="Times New Roman" w:cs="Times New Roman"/>
        </w:rPr>
        <w:t>ing</w:t>
      </w:r>
      <w:r w:rsidRPr="00D35ED0">
        <w:rPr>
          <w:rFonts w:ascii="Times New Roman" w:eastAsia="Times New Roman" w:hAnsi="Times New Roman" w:cs="Times New Roman"/>
        </w:rPr>
        <w:t xml:space="preserv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sidR="00911091">
        <w:rPr>
          <w:rFonts w:ascii="Times New Roman" w:eastAsia="Times New Roman" w:hAnsi="Times New Roman" w:cs="Times New Roman"/>
        </w:rPr>
        <w:t xml:space="preserve">requires </w:t>
      </w:r>
      <w:r w:rsidR="006051D9">
        <w:rPr>
          <w:rFonts w:ascii="Times New Roman" w:eastAsia="Times New Roman" w:hAnsi="Times New Roman" w:cs="Times New Roman"/>
        </w:rPr>
        <w:t xml:space="preserve">biomass and other </w:t>
      </w:r>
      <w:r w:rsidR="00911091">
        <w:rPr>
          <w:rFonts w:ascii="Times New Roman" w:eastAsia="Times New Roman" w:hAnsi="Times New Roman" w:cs="Times New Roman"/>
        </w:rPr>
        <w:t xml:space="preserve">solid fuel burning devices </w:t>
      </w:r>
      <w:r w:rsidRPr="00D35ED0">
        <w:rPr>
          <w:rFonts w:ascii="Times New Roman" w:eastAsia="Times New Roman" w:hAnsi="Times New Roman" w:cs="Times New Roman"/>
        </w:rPr>
        <w:t xml:space="preserve">that have heat output less than 1 million Btu per hour </w:t>
      </w:r>
      <w:r w:rsidR="00911091">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sidR="00911091">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00911091" w:rsidRPr="00060528">
        <w:rPr>
          <w:rFonts w:ascii="Times New Roman" w:eastAsia="Times New Roman" w:hAnsi="Times New Roman" w:cs="Times New Roman"/>
        </w:rPr>
        <w:t xml:space="preserve">from certification requirements </w:t>
      </w:r>
      <w:r w:rsidRPr="00060528">
        <w:rPr>
          <w:rFonts w:ascii="Times New Roman" w:eastAsia="Times New Roman" w:hAnsi="Times New Roman" w:cs="Times New Roman"/>
        </w:rPr>
        <w:t xml:space="preserve">if they are subject to federal </w:t>
      </w:r>
      <w:r w:rsidR="003745F7">
        <w:rPr>
          <w:rFonts w:ascii="Times New Roman" w:eastAsia="Times New Roman" w:hAnsi="Times New Roman" w:cs="Times New Roman"/>
        </w:rPr>
        <w:t>N</w:t>
      </w:r>
      <w:r w:rsidR="0079478B" w:rsidRPr="00060528">
        <w:rPr>
          <w:rFonts w:ascii="Times New Roman" w:eastAsia="Times New Roman" w:hAnsi="Times New Roman" w:cs="Times New Roman"/>
        </w:rPr>
        <w:t xml:space="preserve">ational </w:t>
      </w:r>
      <w:r w:rsidRPr="00060528">
        <w:rPr>
          <w:rFonts w:ascii="Times New Roman" w:eastAsia="Times New Roman" w:hAnsi="Times New Roman" w:cs="Times New Roman"/>
        </w:rPr>
        <w:t>Emission Standards for Hazardous Air Pollutants</w:t>
      </w:r>
      <w:r w:rsidR="00911091" w:rsidRPr="00060528">
        <w:rPr>
          <w:rFonts w:ascii="Times New Roman" w:eastAsia="Times New Roman" w:hAnsi="Times New Roman" w:cs="Times New Roman"/>
        </w:rPr>
        <w:t>.</w:t>
      </w:r>
      <w:r w:rsidRPr="00060528">
        <w:rPr>
          <w:rFonts w:ascii="Times New Roman" w:eastAsia="Times New Roman" w:hAnsi="Times New Roman" w:cs="Times New Roman"/>
        </w:rPr>
        <w:t xml:space="preserve"> </w:t>
      </w:r>
      <w:r w:rsidR="00911091" w:rsidRPr="00060528">
        <w:rPr>
          <w:rFonts w:ascii="Times New Roman" w:eastAsia="Times New Roman" w:hAnsi="Times New Roman" w:cs="Times New Roman"/>
        </w:rPr>
        <w:t>H</w:t>
      </w:r>
      <w:r w:rsidRPr="00060528">
        <w:rPr>
          <w:rFonts w:ascii="Times New Roman" w:eastAsia="Times New Roman" w:hAnsi="Times New Roman" w:cs="Times New Roman"/>
        </w:rPr>
        <w:t xml:space="preserve">owever, EPA revised its rules in 2012 to exempt small biomass boilers from </w:t>
      </w:r>
      <w:r w:rsidR="0079478B" w:rsidRPr="00060528">
        <w:rPr>
          <w:rFonts w:ascii="Times New Roman" w:eastAsia="Times New Roman" w:hAnsi="Times New Roman" w:cs="Times New Roman"/>
        </w:rPr>
        <w:t>these standards</w:t>
      </w:r>
      <w:r w:rsidRPr="00060528">
        <w:rPr>
          <w:rFonts w:ascii="Times New Roman" w:eastAsia="Times New Roman" w:hAnsi="Times New Roman" w:cs="Times New Roman"/>
        </w:rPr>
        <w:t xml:space="preserve">. The proposed rules </w:t>
      </w:r>
      <w:r w:rsidR="001912CF">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sidR="001912CF">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sidR="001912CF">
        <w:rPr>
          <w:rFonts w:ascii="Times New Roman" w:eastAsia="Times New Roman" w:hAnsi="Times New Roman" w:cs="Times New Roman"/>
        </w:rPr>
        <w:t>that are regulated through the construction approval and permit programs</w:t>
      </w:r>
      <w:r w:rsidRPr="00060528">
        <w:rPr>
          <w:rFonts w:ascii="Times New Roman" w:eastAsia="Times New Roman" w:hAnsi="Times New Roman" w:cs="Times New Roman"/>
        </w:rPr>
        <w:t>.</w:t>
      </w:r>
    </w:p>
    <w:p w:rsidR="00360B6F" w:rsidRPr="00D35ED0" w:rsidRDefault="00360B6F" w:rsidP="003C2903">
      <w:pPr>
        <w:pStyle w:val="ListParagraph"/>
        <w:ind w:left="1800" w:right="378"/>
        <w:outlineLvl w:val="0"/>
        <w:rPr>
          <w:rFonts w:ascii="Times New Roman" w:eastAsia="Times New Roman" w:hAnsi="Times New Roman" w:cs="Times New Roman"/>
        </w:rPr>
      </w:pPr>
    </w:p>
    <w:p w:rsidR="004272FD" w:rsidRPr="00D35ED0" w:rsidRDefault="00EC0C81" w:rsidP="003C2903">
      <w:pPr>
        <w:pStyle w:val="ListParagraph"/>
        <w:numPr>
          <w:ilvl w:val="0"/>
          <w:numId w:val="19"/>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Remove annual reporting requirement</w:t>
      </w:r>
      <w:r w:rsidR="009F06CF">
        <w:rPr>
          <w:rFonts w:ascii="Times New Roman" w:eastAsia="Times New Roman" w:hAnsi="Times New Roman" w:cs="Times New Roman"/>
          <w:u w:val="single"/>
        </w:rPr>
        <w:t>s</w:t>
      </w:r>
      <w:r w:rsidRPr="00D35ED0">
        <w:rPr>
          <w:rFonts w:ascii="Times New Roman" w:eastAsia="Times New Roman" w:hAnsi="Times New Roman" w:cs="Times New Roman"/>
          <w:u w:val="single"/>
        </w:rPr>
        <w:t xml:space="preserve"> for small gas</w:t>
      </w:r>
      <w:r w:rsidR="009F06CF">
        <w:rPr>
          <w:rFonts w:ascii="Times New Roman" w:eastAsia="Times New Roman" w:hAnsi="Times New Roman" w:cs="Times New Roman"/>
          <w:u w:val="single"/>
        </w:rPr>
        <w:t xml:space="preserve"> stations</w:t>
      </w:r>
    </w:p>
    <w:p w:rsidR="00281104" w:rsidRPr="00D35ED0"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sidR="00CA7E08">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p w:rsidR="002E76F1" w:rsidRDefault="002E76F1" w:rsidP="00B34CF8">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and regulated by non-permitting rules included in this rulemaking</w:t>
      </w:r>
      <w:r>
        <w:rPr>
          <w:rFonts w:ascii="Times New Roman" w:eastAsia="Times New Roman" w:hAnsi="Times New Roman" w:cs="Times New Roman"/>
        </w:rPr>
        <w:t>.</w:t>
      </w:r>
    </w:p>
    <w:p w:rsidR="002E76F1" w:rsidRDefault="002E76F1">
      <w:pPr>
        <w:spacing w:after="120"/>
        <w:rPr>
          <w:rFonts w:ascii="Times New Roman" w:eastAsia="Times New Roman" w:hAnsi="Times New Roman" w:cs="Times New Roman"/>
        </w:rPr>
      </w:pPr>
      <w:r>
        <w:rPr>
          <w:rFonts w:ascii="Times New Roman" w:eastAsia="Times New Roman" w:hAnsi="Times New Roman" w:cs="Times New Roman"/>
        </w:rPr>
        <w:br w:type="page"/>
      </w:r>
    </w:p>
    <w:p w:rsidR="00B54125" w:rsidRPr="00E638D3" w:rsidRDefault="00B54125" w:rsidP="00B34CF8">
      <w:pPr>
        <w:ind w:left="1080" w:right="18"/>
        <w:outlineLvl w:val="0"/>
        <w:rPr>
          <w:rFonts w:ascii="Times New Roman" w:eastAsia="Times New Roman" w:hAnsi="Times New Roman" w:cs="Times New Roman"/>
        </w:rPr>
      </w:pP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B01263" w:rsidRDefault="00B9609C" w:rsidP="00CC307C">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w:t>
            </w:r>
            <w:r w:rsidR="00361CB0">
              <w:rPr>
                <w:rFonts w:ascii="Times New Roman" w:eastAsia="Times New Roman" w:hAnsi="Times New Roman" w:cs="Times New Roman"/>
              </w:rPr>
              <w:t>air quality regulations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tted" w:sz="4" w:space="0" w:color="auto"/>
            </w:tcBorders>
            <w:shd w:val="clear" w:color="auto" w:fill="auto"/>
            <w:hideMark/>
          </w:tcPr>
          <w:p w:rsidR="000F38D9" w:rsidRPr="00DB69C1" w:rsidRDefault="00C56A67"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3539AD" w:rsidRPr="00DB69C1" w:rsidRDefault="00EC0C81"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Procedures included in definition</w:t>
            </w:r>
            <w:r w:rsidR="00C56A67" w:rsidRPr="00DB69C1">
              <w:rPr>
                <w:rFonts w:ascii="Times New Roman" w:eastAsia="Times New Roman" w:hAnsi="Times New Roman" w:cs="Times New Roman"/>
              </w:rPr>
              <w:t>s</w:t>
            </w:r>
            <w:r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 xml:space="preserve">rather than specific rules </w:t>
            </w:r>
            <w:r w:rsidRPr="00DB69C1">
              <w:rPr>
                <w:rFonts w:ascii="Times New Roman" w:eastAsia="Times New Roman" w:hAnsi="Times New Roman" w:cs="Times New Roman"/>
              </w:rPr>
              <w:t>cause confusion. Examples of procedures included in definitions are</w:t>
            </w:r>
            <w:r w:rsidR="007B114D" w:rsidRPr="00DB69C1">
              <w:rPr>
                <w:rFonts w:ascii="Times New Roman" w:eastAsia="Times New Roman" w:hAnsi="Times New Roman" w:cs="Times New Roman"/>
              </w:rPr>
              <w:t xml:space="preserve"> those for determining a</w:t>
            </w:r>
            <w:r w:rsidR="007029A0"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definitions located in multiple divisions </w:t>
            </w:r>
            <w:r w:rsidR="003848B2" w:rsidRPr="00DB69C1">
              <w:rPr>
                <w:rFonts w:ascii="Times New Roman" w:eastAsia="Times New Roman" w:hAnsi="Times New Roman" w:cs="Times New Roman"/>
              </w:rPr>
              <w:t>makes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DB69C1" w:rsidRPr="00DB69C1" w:rsidRDefault="00DB69C1">
            <w:pPr>
              <w:pStyle w:val="ListParagraph"/>
              <w:numPr>
                <w:ilvl w:val="0"/>
                <w:numId w:val="30"/>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Separate tables containing numbers are difficult to find</w:t>
            </w:r>
            <w:r w:rsidR="0097311A">
              <w:rPr>
                <w:rFonts w:ascii="Times New Roman" w:eastAsia="Times New Roman" w:hAnsi="Times New Roman" w:cs="Times New Roman"/>
              </w:rPr>
              <w:t>.</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or rules specific to these industries</w:t>
            </w:r>
            <w:r w:rsidR="00510B7C">
              <w:rPr>
                <w:rFonts w:ascii="Times New Roman" w:eastAsia="Times New Roman" w:hAnsi="Times New Roman" w:cs="Times New Roman"/>
              </w:rPr>
              <w:t xml:space="preserve">. </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EPA standards</w:t>
            </w:r>
            <w:r w:rsidR="0097311A">
              <w:rPr>
                <w:rFonts w:ascii="Times New Roman" w:eastAsia="Times New Roman" w:hAnsi="Times New Roman" w:cs="Times New Roman"/>
              </w:rPr>
              <w:t>.</w:t>
            </w:r>
          </w:p>
          <w:p w:rsidR="003539AD" w:rsidRPr="00DB69C1" w:rsidRDefault="00EC0C81" w:rsidP="00CC307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 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trHeight w:val="1034"/>
        </w:trPr>
        <w:tc>
          <w:tcPr>
            <w:tcW w:w="2160" w:type="dxa"/>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Pr="00DB69C1" w:rsidRDefault="00EC0C81" w:rsidP="00F26E66">
            <w:pPr>
              <w:numPr>
                <w:ilvl w:val="0"/>
                <w:numId w:val="33"/>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r w:rsidR="00F26E66" w:rsidRPr="00DB69C1">
              <w:rPr>
                <w:rFonts w:ascii="Times New Roman" w:eastAsia="Times New Roman" w:hAnsi="Times New Roman" w:cs="Times New Roman"/>
                <w:bCs/>
              </w:rPr>
              <w:t xml:space="preserve"> missing 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w:t>
            </w:r>
            <w:r w:rsidR="00A815D1">
              <w:rPr>
                <w:rFonts w:ascii="Times New Roman" w:eastAsia="Times New Roman" w:hAnsi="Times New Roman" w:cs="Times New Roman"/>
                <w:bCs/>
              </w:rPr>
              <w:t xml:space="preserve">DEQ proposes to move this to </w:t>
            </w:r>
            <w:r>
              <w:rPr>
                <w:rFonts w:ascii="Times New Roman" w:eastAsia="Times New Roman" w:hAnsi="Times New Roman" w:cs="Times New Roman"/>
                <w:bCs/>
              </w:rPr>
              <w:t>a procedural rule.</w:t>
            </w:r>
          </w:p>
          <w:p w:rsidR="00613231" w:rsidRPr="00214B5B" w:rsidRDefault="00AE2B55" w:rsidP="00214B5B">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all </w:t>
            </w:r>
            <w:r w:rsidR="00214B5B">
              <w:rPr>
                <w:rFonts w:ascii="Times New Roman" w:hAnsi="Times New Roman" w:cs="Times New Roman"/>
                <w:bCs/>
              </w:rPr>
              <w:t xml:space="preserve">common </w:t>
            </w:r>
            <w:r w:rsidR="00EA26F5">
              <w:rPr>
                <w:rFonts w:ascii="Times New Roman" w:hAnsi="Times New Roman" w:cs="Times New Roman"/>
                <w:bCs/>
              </w:rPr>
              <w:t xml:space="preserve">definitions </w:t>
            </w:r>
            <w:r w:rsidR="003848B2" w:rsidRPr="00DB69C1">
              <w:rPr>
                <w:rFonts w:ascii="Times New Roman" w:hAnsi="Times New Roman" w:cs="Times New Roman"/>
                <w:bCs/>
              </w:rPr>
              <w:t>to division 200, General Air Pollution Procedures and Definitions</w:t>
            </w:r>
            <w:r w:rsidR="00510B7C">
              <w:rPr>
                <w:rFonts w:ascii="Times New Roman" w:hAnsi="Times New Roman" w:cs="Times New Roman"/>
                <w:bCs/>
              </w:rPr>
              <w:t xml:space="preserve">. </w:t>
            </w:r>
            <w:r w:rsidR="00214B5B">
              <w:rPr>
                <w:rFonts w:ascii="Times New Roman" w:hAnsi="Times New Roman" w:cs="Times New Roman"/>
                <w:bCs/>
              </w:rPr>
              <w:t>P</w:t>
            </w:r>
            <w:r w:rsidR="00214B5B" w:rsidRPr="00DB69C1">
              <w:rPr>
                <w:rFonts w:ascii="Times New Roman" w:hAnsi="Times New Roman" w:cs="Times New Roman"/>
                <w:bCs/>
              </w:rPr>
              <w:t>rovid</w:t>
            </w:r>
            <w:r w:rsidR="00214B5B">
              <w:rPr>
                <w:rFonts w:ascii="Times New Roman" w:hAnsi="Times New Roman" w:cs="Times New Roman"/>
                <w:bCs/>
              </w:rPr>
              <w:t>e</w:t>
            </w:r>
            <w:r w:rsidR="00214B5B" w:rsidRPr="00DB69C1">
              <w:rPr>
                <w:rFonts w:ascii="Times New Roman" w:hAnsi="Times New Roman" w:cs="Times New Roman"/>
                <w:bCs/>
              </w:rPr>
              <w:t xml:space="preserve"> only one definition per term; and add definitions for undefined terms such as “control efficiency”, “internal combustion source” and “removal efficiency</w:t>
            </w:r>
            <w:r w:rsidR="00214B5B">
              <w:rPr>
                <w:rFonts w:ascii="Times New Roman" w:hAnsi="Times New Roman" w:cs="Times New Roman"/>
                <w:bCs/>
              </w:rPr>
              <w:t>.</w:t>
            </w:r>
            <w:r w:rsidR="00214B5B" w:rsidRPr="00DB69C1">
              <w:rPr>
                <w:rFonts w:ascii="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sidRPr="00214B5B">
              <w:rPr>
                <w:rFonts w:ascii="Times New Roman" w:hAnsi="Times New Roman" w:cs="Times New Roman"/>
                <w:bCs/>
              </w:rPr>
              <w:t>M</w:t>
            </w:r>
            <w:r w:rsidR="00530B59" w:rsidRPr="00214B5B">
              <w:rPr>
                <w:rFonts w:ascii="Times New Roman" w:hAnsi="Times New Roman" w:cs="Times New Roman"/>
                <w:bCs/>
              </w:rPr>
              <w:t>ov</w:t>
            </w:r>
            <w:r w:rsidRPr="00214B5B">
              <w:rPr>
                <w:rFonts w:ascii="Times New Roman" w:hAnsi="Times New Roman" w:cs="Times New Roman"/>
                <w:bCs/>
              </w:rPr>
              <w:t>e</w:t>
            </w:r>
            <w:r w:rsidR="00530B59" w:rsidRPr="00214B5B">
              <w:rPr>
                <w:rFonts w:ascii="Times New Roman" w:hAnsi="Times New Roman" w:cs="Times New Roman"/>
                <w:bCs/>
              </w:rPr>
              <w:t xml:space="preserve"> </w:t>
            </w:r>
            <w:r w:rsidR="0059713A" w:rsidRPr="00214B5B">
              <w:rPr>
                <w:rFonts w:ascii="Times New Roman" w:hAnsi="Times New Roman" w:cs="Times New Roman"/>
                <w:bCs/>
              </w:rPr>
              <w:t>tables containing numbers into the text whenever possible to make t</w:t>
            </w:r>
            <w:r w:rsidR="00530B59" w:rsidRPr="00214B5B">
              <w:rPr>
                <w:rFonts w:ascii="Times New Roman" w:hAnsi="Times New Roman" w:cs="Times New Roman"/>
                <w:bCs/>
              </w:rPr>
              <w:t xml:space="preserve">he information </w:t>
            </w:r>
            <w:r w:rsidR="0059713A" w:rsidRPr="00214B5B">
              <w:rPr>
                <w:rFonts w:ascii="Times New Roman" w:hAnsi="Times New Roman" w:cs="Times New Roman"/>
                <w:bCs/>
              </w:rPr>
              <w:t>easier to find, such as</w:t>
            </w:r>
            <w:r w:rsidR="00C472FB" w:rsidRPr="00214B5B">
              <w:rPr>
                <w:rFonts w:ascii="Times New Roman" w:hAnsi="Times New Roman" w:cs="Times New Roman"/>
                <w:bCs/>
              </w:rPr>
              <w:t>:</w:t>
            </w:r>
            <w:r w:rsidR="0059713A" w:rsidRPr="00214B5B">
              <w:rPr>
                <w:rFonts w:ascii="Times New Roman" w:hAnsi="Times New Roman" w:cs="Times New Roman"/>
                <w:bCs/>
              </w:rPr>
              <w:t xml:space="preserve"> significant emission rates, de minimis levels, generic Plant Site Emission Limits, significant impact lev</w:t>
            </w:r>
            <w:r w:rsidR="002B68A3" w:rsidRPr="00214B5B">
              <w:rPr>
                <w:rFonts w:ascii="Times New Roman" w:hAnsi="Times New Roman" w:cs="Times New Roman"/>
                <w:bCs/>
              </w:rPr>
              <w:t>els and PSD increments</w:t>
            </w:r>
            <w:r w:rsidRPr="00214B5B">
              <w:rPr>
                <w:rFonts w:ascii="Times New Roman" w:eastAsia="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 xml:space="preserve">no longer exist in </w:t>
            </w:r>
            <w:r w:rsidR="00A1795E" w:rsidRPr="000D40BC">
              <w:rPr>
                <w:rFonts w:ascii="Times New Roman" w:hAnsi="Times New Roman" w:cs="Times New Roman"/>
                <w:bCs/>
              </w:rPr>
              <w:lastRenderedPageBreak/>
              <w:t>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0D40BC">
            <w:pPr>
              <w:pStyle w:val="ListParagraph"/>
              <w:numPr>
                <w:ilvl w:val="1"/>
                <w:numId w:val="34"/>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t xml:space="preserve">Neutral Sulfite Semi-Chemical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 xml:space="preserve">more stringent federal </w:t>
            </w:r>
            <w:r w:rsidR="00A815D1">
              <w:rPr>
                <w:rFonts w:ascii="Times New Roman" w:hAnsi="Times New Roman" w:cs="Times New Roman"/>
                <w:bCs/>
              </w:rPr>
              <w:t xml:space="preserve">requirements for new sources already incorporated into Oregon’s </w:t>
            </w:r>
            <w:r w:rsidR="006477B8" w:rsidRPr="006477B8">
              <w:rPr>
                <w:rFonts w:ascii="Times New Roman" w:hAnsi="Times New Roman" w:cs="Times New Roman"/>
                <w:bCs/>
              </w:rPr>
              <w:t>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pPr>
              <w:pStyle w:val="ListParagraph"/>
              <w:numPr>
                <w:ilvl w:val="0"/>
                <w:numId w:val="34"/>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r w:rsidR="00372C6F" w:rsidRPr="00DB69C1">
              <w:rPr>
                <w:rFonts w:ascii="Times New Roman" w:hAnsi="Times New Roman" w:cs="Times New Roman"/>
                <w:bCs/>
              </w:rPr>
              <w:t>adopt</w:t>
            </w:r>
            <w:r w:rsidRPr="00DB69C1">
              <w:rPr>
                <w:rFonts w:ascii="Times New Roman" w:hAnsi="Times New Roman" w:cs="Times New Roman"/>
                <w:bCs/>
              </w:rPr>
              <w:t xml:space="preserve">ion of </w:t>
            </w:r>
            <w:r w:rsidR="00A5255B">
              <w:rPr>
                <w:rFonts w:ascii="Times New Roman" w:hAnsi="Times New Roman" w:cs="Times New Roman"/>
                <w:bCs/>
              </w:rPr>
              <w:t xml:space="preserve">other federal or state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w:t>
            </w:r>
            <w:r w:rsidR="005A08B2">
              <w:rPr>
                <w:rFonts w:ascii="Times New Roman" w:hAnsi="Times New Roman" w:cs="Times New Roman"/>
                <w:bCs/>
              </w:rPr>
              <w:t>incompatible</w:t>
            </w:r>
            <w:r w:rsidR="00A5255B">
              <w:rPr>
                <w:rFonts w:ascii="Times New Roman" w:hAnsi="Times New Roman" w:cs="Times New Roman"/>
                <w:bCs/>
              </w:rPr>
              <w:t xml:space="preserve"> </w:t>
            </w:r>
            <w:r w:rsidRPr="00DB69C1">
              <w:rPr>
                <w:rFonts w:ascii="Times New Roman" w:hAnsi="Times New Roman" w:cs="Times New Roman"/>
                <w:bCs/>
              </w:rPr>
              <w:t xml:space="preserve">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 xml:space="preserve">DEQ worked with the western states on a </w:t>
            </w:r>
            <w:r w:rsidR="00712AA9" w:rsidRPr="00DB69C1">
              <w:rPr>
                <w:rFonts w:ascii="Times New Roman" w:hAnsi="Times New Roman" w:cs="Times New Roman"/>
                <w:bCs/>
              </w:rPr>
              <w:t xml:space="preserve">general </w:t>
            </w:r>
            <w:r w:rsidR="0047155E">
              <w:rPr>
                <w:rFonts w:ascii="Times New Roman" w:hAnsi="Times New Roman" w:cs="Times New Roman"/>
                <w:bCs/>
              </w:rPr>
              <w:t>sulfur dioxide</w:t>
            </w:r>
            <w:r w:rsidR="0047155E" w:rsidRPr="00DB69C1">
              <w:rPr>
                <w:rFonts w:ascii="Times New Roman" w:hAnsi="Times New Roman" w:cs="Times New Roman"/>
                <w:bCs/>
              </w:rPr>
              <w:t xml:space="preserve"> </w:t>
            </w:r>
            <w:r w:rsidRPr="00DB69C1">
              <w:rPr>
                <w:rFonts w:ascii="Times New Roman" w:hAnsi="Times New Roman" w:cs="Times New Roman"/>
                <w:bCs/>
              </w:rPr>
              <w:t xml:space="preserve">trading program </w:t>
            </w:r>
            <w:r w:rsidR="00712AA9" w:rsidRPr="00DB69C1">
              <w:rPr>
                <w:rFonts w:ascii="Times New Roman" w:hAnsi="Times New Roman" w:cs="Times New Roman"/>
                <w:bCs/>
              </w:rPr>
              <w:t xml:space="preserve">to address regional haze. </w:t>
            </w:r>
            <w:r w:rsidR="00A5255B">
              <w:rPr>
                <w:rFonts w:ascii="Times New Roman" w:hAnsi="Times New Roman" w:cs="Times New Roman"/>
                <w:bCs/>
              </w:rPr>
              <w:t>The trading program is no longer needed becau</w:t>
            </w:r>
            <w:r w:rsidR="00CC307C">
              <w:rPr>
                <w:rFonts w:ascii="Times New Roman" w:hAnsi="Times New Roman" w:cs="Times New Roman"/>
                <w:bCs/>
              </w:rPr>
              <w:t>s</w:t>
            </w:r>
            <w:r w:rsidR="00A5255B">
              <w:rPr>
                <w:rFonts w:ascii="Times New Roman" w:hAnsi="Times New Roman" w:cs="Times New Roman"/>
                <w:bCs/>
              </w:rPr>
              <w:t>e Oregon subsequently adopted individual emission limits based on</w:t>
            </w:r>
            <w:r w:rsidR="00712AA9" w:rsidRPr="00DB69C1">
              <w:rPr>
                <w:rFonts w:ascii="Times New Roman" w:hAnsi="Times New Roman" w:cs="Times New Roman"/>
                <w:bCs/>
              </w:rPr>
              <w:t xml:space="preserve"> Best Available Retrofit Technology requirements </w:t>
            </w:r>
            <w:r w:rsidR="00A5255B">
              <w:rPr>
                <w:rFonts w:ascii="Times New Roman" w:hAnsi="Times New Roman" w:cs="Times New Roman"/>
                <w:bCs/>
              </w:rPr>
              <w:t>to directly reduce</w:t>
            </w:r>
            <w:r w:rsidR="00712AA9" w:rsidRPr="00DB69C1">
              <w:rPr>
                <w:rFonts w:ascii="Times New Roman" w:hAnsi="Times New Roman" w:cs="Times New Roman"/>
                <w:bCs/>
              </w:rPr>
              <w:t xml:space="preserve"> </w:t>
            </w:r>
            <w:r w:rsidR="004546DB" w:rsidRPr="00DB69C1">
              <w:rPr>
                <w:rFonts w:ascii="Times New Roman" w:hAnsi="Times New Roman" w:cs="Times New Roman"/>
                <w:bCs/>
              </w:rPr>
              <w:t>haze</w:t>
            </w:r>
            <w:r w:rsidR="00A5255B">
              <w:rPr>
                <w:rFonts w:ascii="Times New Roman" w:hAnsi="Times New Roman" w:cs="Times New Roman"/>
                <w:bCs/>
              </w:rPr>
              <w:t>-</w:t>
            </w:r>
            <w:r w:rsidR="004546DB" w:rsidRPr="00DB69C1">
              <w:rPr>
                <w:rFonts w:ascii="Times New Roman" w:hAnsi="Times New Roman" w:cs="Times New Roman"/>
                <w:bCs/>
              </w:rPr>
              <w:t xml:space="preserve">causing </w:t>
            </w:r>
            <w:r w:rsidR="00A5255B">
              <w:rPr>
                <w:rFonts w:ascii="Times New Roman" w:hAnsi="Times New Roman" w:cs="Times New Roman"/>
                <w:bCs/>
              </w:rPr>
              <w:t xml:space="preserve">emissions </w:t>
            </w:r>
            <w:r w:rsidR="002C11AE">
              <w:rPr>
                <w:rFonts w:ascii="Times New Roman" w:hAnsi="Times New Roman" w:cs="Times New Roman"/>
                <w:bCs/>
              </w:rPr>
              <w:t xml:space="preserve">from </w:t>
            </w:r>
            <w:r w:rsidR="004546DB" w:rsidRPr="00DB69C1">
              <w:rPr>
                <w:rFonts w:ascii="Times New Roman" w:hAnsi="Times New Roman" w:cs="Times New Roman"/>
                <w:bCs/>
              </w:rPr>
              <w:t xml:space="preserve">sources like </w:t>
            </w:r>
            <w:r w:rsidR="00712AA9" w:rsidRPr="00DB69C1">
              <w:rPr>
                <w:rFonts w:ascii="Times New Roman" w:hAnsi="Times New Roman" w:cs="Times New Roman"/>
                <w:bCs/>
              </w:rPr>
              <w:t xml:space="preserve">the PGE Boardman plant. </w:t>
            </w:r>
          </w:p>
          <w:p w:rsidR="00372C6F" w:rsidRPr="00DB69C1" w:rsidRDefault="00372C6F" w:rsidP="00137427">
            <w:pPr>
              <w:numPr>
                <w:ilvl w:val="0"/>
                <w:numId w:val="6"/>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r w:rsidR="00D9179D">
              <w:rPr>
                <w:rFonts w:ascii="Times New Roman" w:hAnsi="Times New Roman" w:cs="Times New Roman"/>
                <w:bCs/>
              </w:rPr>
              <w:t xml:space="preserve">are </w:t>
            </w:r>
            <w:r w:rsidR="00A35D63" w:rsidRPr="00DB69C1">
              <w:rPr>
                <w:rFonts w:ascii="Times New Roman" w:hAnsi="Times New Roman" w:cs="Times New Roman"/>
                <w:bCs/>
              </w:rPr>
              <w:t xml:space="preserve">no longer </w:t>
            </w:r>
            <w:r w:rsidR="00D9179D">
              <w:rPr>
                <w:rFonts w:ascii="Times New Roman" w:hAnsi="Times New Roman" w:cs="Times New Roman"/>
                <w:bCs/>
              </w:rPr>
              <w:t xml:space="preserve">needed to regulate emissions from </w:t>
            </w:r>
            <w:r w:rsidR="00F66260" w:rsidRPr="00DB69C1">
              <w:rPr>
                <w:rFonts w:ascii="Times New Roman" w:hAnsi="Times New Roman" w:cs="Times New Roman"/>
                <w:bCs/>
              </w:rPr>
              <w:t>forced-air pit or air curtain inc</w:t>
            </w:r>
            <w:r w:rsidR="005A08B2">
              <w:rPr>
                <w:rFonts w:ascii="Times New Roman" w:hAnsi="Times New Roman" w:cs="Times New Roman"/>
                <w:bCs/>
              </w:rPr>
              <w:t>inerators</w:t>
            </w:r>
            <w:r w:rsidR="00157409">
              <w:rPr>
                <w:rFonts w:ascii="Times New Roman" w:hAnsi="Times New Roman" w:cs="Times New Roman"/>
                <w:bCs/>
              </w:rPr>
              <w:t xml:space="preserve"> because the less stringent DEQ rules would create a conflict with EPA’s rules</w:t>
            </w:r>
            <w:r w:rsidRPr="00DB69C1">
              <w:rPr>
                <w:rFonts w:ascii="Times New Roman" w:hAnsi="Times New Roman" w:cs="Times New Roman"/>
                <w:bCs/>
              </w:rPr>
              <w:t>.</w:t>
            </w:r>
          </w:p>
          <w:p w:rsidR="005E4475" w:rsidRPr="00DB69C1" w:rsidRDefault="005E4475" w:rsidP="005E4475">
            <w:pPr>
              <w:ind w:left="0" w:right="18"/>
              <w:rPr>
                <w:rFonts w:ascii="Times New Roman" w:hAnsi="Times New Roman" w:cs="Times New Roman"/>
              </w:rPr>
            </w:pPr>
          </w:p>
          <w:p w:rsidR="005E4475" w:rsidRPr="00DB69C1" w:rsidRDefault="00A47273" w:rsidP="00D9179D">
            <w:pPr>
              <w:pStyle w:val="ListParagraph"/>
              <w:numPr>
                <w:ilvl w:val="0"/>
                <w:numId w:val="34"/>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 xml:space="preserve">he </w:t>
            </w:r>
            <w:r w:rsidR="00D9179D">
              <w:rPr>
                <w:rFonts w:ascii="Times New Roman" w:hAnsi="Times New Roman" w:cs="Times New Roman"/>
              </w:rPr>
              <w:t xml:space="preserve">proposal would adopt updates to the </w:t>
            </w:r>
            <w:r w:rsidR="00A35D63" w:rsidRPr="00DB69C1">
              <w:rPr>
                <w:rFonts w:ascii="Times New Roman" w:hAnsi="Times New Roman" w:cs="Times New Roman"/>
              </w:rPr>
              <w:t xml:space="preserve">manuals </w:t>
            </w:r>
            <w:r w:rsidR="00BE6CAC">
              <w:rPr>
                <w:rFonts w:ascii="Times New Roman" w:hAnsi="Times New Roman" w:cs="Times New Roman"/>
              </w:rPr>
              <w:t>that</w:t>
            </w:r>
            <w:r w:rsidR="00D9179D">
              <w:rPr>
                <w:rFonts w:ascii="Times New Roman" w:hAnsi="Times New Roman" w:cs="Times New Roman"/>
              </w:rPr>
              <w:t xml:space="preserve"> incorporate revised </w:t>
            </w:r>
            <w:r w:rsidRPr="00DB69C1">
              <w:rPr>
                <w:rFonts w:ascii="Times New Roman" w:hAnsi="Times New Roman" w:cs="Times New Roman"/>
              </w:rPr>
              <w:t xml:space="preserve">EPA methods </w:t>
            </w:r>
            <w:r w:rsidR="00D9179D">
              <w:rPr>
                <w:rFonts w:ascii="Times New Roman" w:hAnsi="Times New Roman" w:cs="Times New Roman"/>
              </w:rPr>
              <w:t>for</w:t>
            </w:r>
            <w:r w:rsidRPr="00DB69C1">
              <w:rPr>
                <w:rFonts w:ascii="Times New Roman" w:hAnsi="Times New Roman" w:cs="Times New Roman"/>
              </w:rPr>
              <w:t xml:space="preserve"> </w:t>
            </w:r>
            <w:r w:rsidR="0047155E">
              <w:rPr>
                <w:rFonts w:ascii="Times New Roman" w:hAnsi="Times New Roman" w:cs="Times New Roman"/>
              </w:rPr>
              <w:t>fine particulate</w:t>
            </w:r>
            <w:r w:rsidRPr="00DB69C1">
              <w:rPr>
                <w:rFonts w:ascii="Times New Roman" w:hAnsi="Times New Roman" w:cs="Times New Roman"/>
              </w:rPr>
              <w:t xml:space="preserve"> standards </w:t>
            </w:r>
            <w:r w:rsidR="00D9179D">
              <w:rPr>
                <w:rFonts w:ascii="Times New Roman" w:hAnsi="Times New Roman" w:cs="Times New Roman"/>
              </w:rPr>
              <w:t>and other changes to sampling and monitoring methods made since 1992</w:t>
            </w:r>
            <w:r w:rsidRPr="00DB69C1">
              <w:rPr>
                <w:rFonts w:ascii="Times New Roman" w:hAnsi="Times New Roman" w:cs="Times New Roman"/>
              </w:rPr>
              <w:t>.</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 xml:space="preserve">Update particulate matter </w:t>
            </w:r>
            <w:r w:rsidR="007D695C">
              <w:rPr>
                <w:rFonts w:ascii="Times New Roman" w:eastAsia="Times New Roman" w:hAnsi="Times New Roman" w:cs="Times New Roman"/>
              </w:rPr>
              <w:t xml:space="preserve">emission </w:t>
            </w:r>
            <w:r w:rsidRPr="004272FD">
              <w:rPr>
                <w:rFonts w:ascii="Times New Roman" w:eastAsia="Times New Roman" w:hAnsi="Times New Roman" w:cs="Times New Roman"/>
              </w:rPr>
              <w:t>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CE60DE" w:rsidP="005B7826">
            <w:pPr>
              <w:ind w:left="0" w:right="18"/>
              <w:rPr>
                <w:rFonts w:ascii="Times New Roman" w:eastAsia="Times New Roman" w:hAnsi="Times New Roman" w:cs="Times New Roman"/>
              </w:rPr>
            </w:pPr>
            <w:r>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that are subject to </w:t>
            </w:r>
            <w:r>
              <w:rPr>
                <w:rFonts w:ascii="Times New Roman" w:eastAsia="Times New Roman" w:hAnsi="Times New Roman" w:cs="Times New Roman"/>
              </w:rPr>
              <w:t xml:space="preserve">particulate matter </w:t>
            </w:r>
            <w:r w:rsidR="00574160">
              <w:rPr>
                <w:rFonts w:ascii="Times New Roman" w:eastAsia="Times New Roman" w:hAnsi="Times New Roman" w:cs="Times New Roman"/>
              </w:rPr>
              <w:t>standards for sources built before 1970 can harm public health and create barriers to economic development.</w:t>
            </w:r>
            <w:r w:rsidR="005B7826" w:rsidRPr="00E638D3">
              <w:rPr>
                <w:rFonts w:ascii="Times New Roman" w:eastAsia="Times New Roman" w:hAnsi="Times New Roman" w:cs="Times New Roman"/>
              </w:rPr>
              <w:t xml:space="preserve"> Work on the Klamath Falls </w:t>
            </w:r>
            <w:r w:rsidR="00574160">
              <w:rPr>
                <w:rFonts w:ascii="Times New Roman" w:eastAsia="Times New Roman" w:hAnsi="Times New Roman" w:cs="Times New Roman"/>
              </w:rPr>
              <w:t xml:space="preserve">fine particulate </w:t>
            </w:r>
            <w:r w:rsidR="005B7826"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r w:rsidR="00CF4995">
              <w:rPr>
                <w:rFonts w:ascii="Times New Roman" w:eastAsia="Times New Roman" w:hAnsi="Times New Roman" w:cs="Times New Roman"/>
              </w:rPr>
              <w:t xml:space="preserve">grandfathered </w:t>
            </w:r>
            <w:r w:rsidR="00712AA9">
              <w:rPr>
                <w:rFonts w:ascii="Times New Roman" w:eastAsia="Times New Roman" w:hAnsi="Times New Roman" w:cs="Times New Roman"/>
              </w:rPr>
              <w:t xml:space="preserve">business could </w:t>
            </w:r>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r w:rsidR="00CF4995">
              <w:rPr>
                <w:rFonts w:ascii="Times New Roman" w:eastAsia="Times New Roman" w:hAnsi="Times New Roman" w:cs="Times New Roman"/>
              </w:rPr>
              <w:t xml:space="preserve"> </w:t>
            </w:r>
            <w:r w:rsidR="00E44F53">
              <w:rPr>
                <w:rFonts w:ascii="Times New Roman" w:eastAsia="Times New Roman" w:hAnsi="Times New Roman" w:cs="Times New Roman"/>
              </w:rPr>
              <w:t>a significant portion</w:t>
            </w:r>
            <w:r w:rsidR="005B7826"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 xml:space="preserve">DEQ found similar 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005B7826"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005B7826"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lastRenderedPageBreak/>
              <w:t xml:space="preserve">risk </w:t>
            </w:r>
            <w:r w:rsidR="00CF4995">
              <w:rPr>
                <w:rFonts w:ascii="Times New Roman" w:eastAsia="Times New Roman" w:hAnsi="Times New Roman" w:cs="Times New Roman"/>
              </w:rPr>
              <w:t>to</w:t>
            </w:r>
            <w:r w:rsidR="005B7826"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005B7826" w:rsidRPr="00E638D3">
              <w:rPr>
                <w:rFonts w:ascii="Times New Roman" w:eastAsia="Times New Roman" w:hAnsi="Times New Roman" w:cs="Times New Roman"/>
              </w:rPr>
              <w:t xml:space="preserve"> economic development</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consumes </w:t>
            </w:r>
            <w:r w:rsidR="005B7826"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 </w:t>
            </w:r>
            <w:r w:rsidR="009254D0">
              <w:rPr>
                <w:rFonts w:ascii="Times New Roman" w:eastAsia="Times New Roman" w:hAnsi="Times New Roman" w:cs="Times New Roman"/>
              </w:rPr>
              <w:t xml:space="preserve">other businesses may not be able to expand and </w:t>
            </w:r>
            <w:r w:rsidR="005B7826"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t xml:space="preserve">may </w:t>
            </w:r>
            <w:r w:rsidR="000E4491">
              <w:rPr>
                <w:rFonts w:ascii="Times New Roman" w:eastAsia="Times New Roman" w:hAnsi="Times New Roman" w:cs="Times New Roman"/>
              </w:rPr>
              <w:t>not</w:t>
            </w:r>
            <w:r w:rsidR="005B7826" w:rsidRPr="00E638D3">
              <w:rPr>
                <w:rFonts w:ascii="Times New Roman" w:eastAsia="Times New Roman" w:hAnsi="Times New Roman" w:cs="Times New Roman"/>
              </w:rPr>
              <w:t xml:space="preserve"> </w:t>
            </w:r>
            <w:r w:rsidR="009254D0">
              <w:rPr>
                <w:rFonts w:ascii="Times New Roman" w:eastAsia="Times New Roman" w:hAnsi="Times New Roman" w:cs="Times New Roman"/>
              </w:rPr>
              <w:t xml:space="preserve">be </w:t>
            </w:r>
            <w:r w:rsidR="005B7826"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00772E64">
              <w:rPr>
                <w:rFonts w:ascii="Times New Roman" w:eastAsia="Times New Roman" w:hAnsi="Times New Roman" w:cs="Times New Roman"/>
              </w:rPr>
              <w:t>two</w:t>
            </w:r>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r w:rsidR="00772E64">
              <w:rPr>
                <w:rFonts w:ascii="Times New Roman" w:eastAsia="Times New Roman" w:hAnsi="Times New Roman" w:cs="Times New Roman"/>
              </w:rPr>
              <w:t xml:space="preserve">general </w:t>
            </w:r>
            <w:r w:rsidR="005A08B2" w:rsidRPr="00E638D3" w:rsidDel="00BA69EF">
              <w:rPr>
                <w:rFonts w:ascii="Times New Roman" w:eastAsia="Times New Roman" w:hAnsi="Times New Roman" w:cs="Times New Roman"/>
              </w:rPr>
              <w:t>standards</w:t>
            </w:r>
            <w:r w:rsidR="005A08B2">
              <w:rPr>
                <w:rFonts w:ascii="Times New Roman" w:eastAsia="Times New Roman" w:hAnsi="Times New Roman" w:cs="Times New Roman"/>
              </w:rPr>
              <w:t xml:space="preserve"> to</w:t>
            </w:r>
            <w:r w:rsidR="00772E64">
              <w:rPr>
                <w:rFonts w:ascii="Times New Roman" w:eastAsia="Times New Roman" w:hAnsi="Times New Roman" w:cs="Times New Roman"/>
              </w:rPr>
              <w:t xml:space="preserve"> control emissions from permitted sources of particulate matter (e.g.</w:t>
            </w:r>
            <w:r w:rsidR="00A51D12">
              <w:rPr>
                <w:rFonts w:ascii="Times New Roman" w:eastAsia="Times New Roman" w:hAnsi="Times New Roman" w:cs="Times New Roman"/>
              </w:rPr>
              <w:t>,</w:t>
            </w:r>
            <w:r w:rsidR="00772E64">
              <w:rPr>
                <w:rFonts w:ascii="Times New Roman" w:eastAsia="Times New Roman" w:hAnsi="Times New Roman" w:cs="Times New Roman"/>
              </w:rPr>
              <w:t xml:space="preserve"> dust or smoke)</w:t>
            </w:r>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standard</w:t>
            </w:r>
            <w:r w:rsidR="005A08B2">
              <w:rPr>
                <w:rFonts w:ascii="Times New Roman" w:eastAsia="Times New Roman" w:hAnsi="Times New Roman" w:cs="Times New Roman"/>
              </w:rPr>
              <w:t xml:space="preserve"> </w:t>
            </w:r>
            <w:r w:rsidR="00772E64">
              <w:rPr>
                <w:rFonts w:ascii="Times New Roman" w:eastAsia="Times New Roman" w:hAnsi="Times New Roman" w:cs="Times New Roman"/>
              </w:rPr>
              <w:t>s</w:t>
            </w:r>
            <w:r w:rsidR="00772E64" w:rsidRPr="001B7733">
              <w:rPr>
                <w:rFonts w:ascii="Times New Roman" w:eastAsia="Times New Roman" w:hAnsi="Times New Roman" w:cs="Times New Roman"/>
              </w:rPr>
              <w:t>ets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 xml:space="preserve">concentration-based </w:t>
            </w:r>
            <w:r w:rsidR="00296948">
              <w:rPr>
                <w:rFonts w:ascii="Times New Roman" w:eastAsia="Times New Roman" w:hAnsi="Times New Roman" w:cs="Times New Roman"/>
              </w:rPr>
              <w:t xml:space="preserve">emission limits </w:t>
            </w:r>
            <w:r w:rsidR="00EF76B2" w:rsidDel="00BA69EF">
              <w:rPr>
                <w:rFonts w:ascii="Times New Roman" w:eastAsia="Times New Roman" w:hAnsi="Times New Roman" w:cs="Times New Roman"/>
              </w:rPr>
              <w:t>(mass per unit volume</w:t>
            </w:r>
            <w:r w:rsidR="00296948">
              <w:rPr>
                <w:rFonts w:ascii="Times New Roman" w:eastAsia="Times New Roman" w:hAnsi="Times New Roman" w:cs="Times New Roman"/>
              </w:rPr>
              <w:t xml:space="preserve"> of exhaust gas</w:t>
            </w:r>
            <w:r w:rsidR="00EF76B2" w:rsidDel="00BA69EF">
              <w:rPr>
                <w:rFonts w:ascii="Times New Roman" w:eastAsia="Times New Roman" w:hAnsi="Times New Roman" w:cs="Times New Roman"/>
              </w:rPr>
              <w:t>)</w:t>
            </w:r>
            <w:r w:rsidRPr="00E638D3" w:rsidDel="00BA69EF">
              <w:rPr>
                <w:rFonts w:ascii="Times New Roman" w:eastAsia="Times New Roman" w:hAnsi="Times New Roman" w:cs="Times New Roman"/>
              </w:rPr>
              <w:t xml:space="preserve">. A second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 xml:space="preserve">standard is referred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that</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 – or opacity – of a plume. The rules include different</w:t>
            </w:r>
            <w:r w:rsidR="00427970" w:rsidDel="00BA69EF">
              <w:rPr>
                <w:rFonts w:ascii="Times New Roman" w:eastAsia="Times New Roman" w:hAnsi="Times New Roman" w:cs="Times New Roman"/>
              </w:rPr>
              <w:t xml:space="preserve"> particulate </w:t>
            </w:r>
            <w:r w:rsidR="000334BE">
              <w:rPr>
                <w:rFonts w:ascii="Times New Roman" w:eastAsia="Times New Roman" w:hAnsi="Times New Roman" w:cs="Times New Roman"/>
              </w:rPr>
              <w:t xml:space="preserve">concentration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Default="00A51D12" w:rsidP="00137427">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Post-1</w:t>
            </w:r>
            <w:r w:rsidR="005B7826" w:rsidRPr="00E638D3" w:rsidDel="00BA69EF">
              <w:rPr>
                <w:rFonts w:ascii="Times New Roman" w:eastAsia="Times New Roman" w:hAnsi="Times New Roman" w:cs="Times New Roman"/>
                <w:bCs/>
              </w:rPr>
              <w:t>970 unit: 0.1 gr/dscf and 20</w:t>
            </w:r>
            <w:r w:rsidR="001730A0" w:rsidDel="00BA69EF">
              <w:rPr>
                <w:rFonts w:ascii="Times New Roman" w:eastAsia="Times New Roman" w:hAnsi="Times New Roman" w:cs="Times New Roman"/>
                <w:bCs/>
              </w:rPr>
              <w:t xml:space="preserve"> percent</w:t>
            </w:r>
            <w:r w:rsidR="005B7826"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000334BE">
              <w:rPr>
                <w:rFonts w:ascii="Times New Roman" w:eastAsia="Times New Roman" w:hAnsi="Times New Roman" w:cs="Times New Roman"/>
              </w:rPr>
              <w:t xml:space="preserve">Since </w:t>
            </w:r>
            <w:r w:rsidRPr="00E638D3">
              <w:rPr>
                <w:rFonts w:ascii="Times New Roman" w:eastAsia="Times New Roman" w:hAnsi="Times New Roman" w:cs="Times New Roman"/>
              </w:rPr>
              <w:t xml:space="preserve">that time, </w:t>
            </w:r>
            <w:r w:rsidR="00DA36B3">
              <w:rPr>
                <w:rFonts w:ascii="Times New Roman" w:eastAsia="Times New Roman" w:hAnsi="Times New Roman" w:cs="Times New Roman"/>
              </w:rPr>
              <w:t xml:space="preserve">health researchers have concluded that exposure to particulate pollution is more harmful than previously thought. As a result, </w:t>
            </w:r>
            <w:r w:rsidR="0047155E">
              <w:rPr>
                <w:rFonts w:ascii="Times New Roman" w:eastAsia="Times New Roman" w:hAnsi="Times New Roman" w:cs="Times New Roman"/>
              </w:rPr>
              <w:t xml:space="preserve">EPA </w:t>
            </w:r>
            <w:r w:rsidR="000334BE">
              <w:rPr>
                <w:rFonts w:ascii="Times New Roman" w:eastAsia="Times New Roman" w:hAnsi="Times New Roman" w:cs="Times New Roman"/>
              </w:rPr>
              <w:t xml:space="preserve">has lowered the </w:t>
            </w:r>
            <w:r w:rsidRPr="00E638D3">
              <w:rPr>
                <w:rFonts w:ascii="Times New Roman" w:eastAsia="Times New Roman" w:hAnsi="Times New Roman" w:cs="Times New Roman"/>
              </w:rPr>
              <w:t>ambient air quality standard for particulate</w:t>
            </w:r>
            <w:r w:rsidR="0047155E">
              <w:rPr>
                <w:rFonts w:ascii="Times New Roman" w:eastAsia="Times New Roman" w:hAnsi="Times New Roman" w:cs="Times New Roman"/>
              </w:rPr>
              <w:t xml:space="preserve">s </w:t>
            </w:r>
            <w:r w:rsidR="006A1ACE">
              <w:rPr>
                <w:rFonts w:ascii="Times New Roman" w:eastAsia="Times New Roman" w:hAnsi="Times New Roman" w:cs="Times New Roman"/>
              </w:rPr>
              <w:t>from 26</w:t>
            </w:r>
            <w:r w:rsidR="00A51D12">
              <w:rPr>
                <w:rFonts w:ascii="Times New Roman" w:eastAsia="Times New Roman" w:hAnsi="Times New Roman" w:cs="Times New Roman"/>
              </w:rPr>
              <w:t xml:space="preserve">0 micrograms/cubic meter </w:t>
            </w:r>
            <w:r w:rsidR="000334BE">
              <w:rPr>
                <w:rFonts w:ascii="Times New Roman" w:eastAsia="Times New Roman" w:hAnsi="Times New Roman" w:cs="Times New Roman"/>
              </w:rPr>
              <w:t xml:space="preserve">and established separate standards for </w:t>
            </w:r>
            <w:r w:rsidR="0047155E">
              <w:rPr>
                <w:rFonts w:ascii="Times New Roman" w:eastAsia="Times New Roman" w:hAnsi="Times New Roman" w:cs="Times New Roman"/>
              </w:rPr>
              <w:t xml:space="preserve">coarse </w:t>
            </w:r>
            <w:r w:rsidR="00A84E66">
              <w:rPr>
                <w:rFonts w:ascii="Times New Roman" w:eastAsia="Times New Roman" w:hAnsi="Times New Roman" w:cs="Times New Roman"/>
              </w:rPr>
              <w:t xml:space="preserve">particulates </w:t>
            </w:r>
            <w:r w:rsidR="006A1ACE">
              <w:rPr>
                <w:rFonts w:ascii="Times New Roman" w:eastAsia="Times New Roman" w:hAnsi="Times New Roman" w:cs="Times New Roman"/>
              </w:rPr>
              <w:t>at 150</w:t>
            </w:r>
            <w:r w:rsidR="00A51D12">
              <w:rPr>
                <w:rFonts w:ascii="Times New Roman" w:eastAsia="Times New Roman" w:hAnsi="Times New Roman" w:cs="Times New Roman"/>
              </w:rPr>
              <w:t xml:space="preserve"> micrograms/cubic meter </w:t>
            </w:r>
            <w:r w:rsidR="0047155E">
              <w:rPr>
                <w:rFonts w:ascii="Times New Roman" w:eastAsia="Times New Roman" w:hAnsi="Times New Roman" w:cs="Times New Roman"/>
              </w:rPr>
              <w:t>and fine particulates</w:t>
            </w:r>
            <w:r w:rsidR="00A51D12">
              <w:rPr>
                <w:rFonts w:ascii="Times New Roman" w:eastAsia="Times New Roman" w:hAnsi="Times New Roman" w:cs="Times New Roman"/>
              </w:rPr>
              <w:t xml:space="preserve"> at 35 micrograms/cubi</w:t>
            </w:r>
            <w:r w:rsidR="0012179A">
              <w:rPr>
                <w:rFonts w:ascii="Times New Roman" w:eastAsia="Times New Roman" w:hAnsi="Times New Roman" w:cs="Times New Roman"/>
              </w:rPr>
              <w:t>c</w:t>
            </w:r>
            <w:r w:rsidR="00A51D12">
              <w:rPr>
                <w:rFonts w:ascii="Times New Roman" w:eastAsia="Times New Roman" w:hAnsi="Times New Roman" w:cs="Times New Roman"/>
              </w:rPr>
              <w:t xml:space="preserve"> meter</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 xml:space="preserve">two areas that </w:t>
            </w:r>
            <w:r w:rsidR="00F32053">
              <w:rPr>
                <w:rFonts w:ascii="Times New Roman" w:eastAsia="Times New Roman" w:hAnsi="Times New Roman" w:cs="Times New Roman"/>
              </w:rPr>
              <w:t>are designated nonattainment for fine particulate (</w:t>
            </w:r>
            <w:r w:rsidR="00223522">
              <w:rPr>
                <w:rFonts w:ascii="Times New Roman" w:eastAsia="Times New Roman" w:hAnsi="Times New Roman" w:cs="Times New Roman"/>
              </w:rPr>
              <w:t>Klamath Falls and Oakridge</w:t>
            </w:r>
            <w:r w:rsidR="00F32053">
              <w:rPr>
                <w:rFonts w:ascii="Times New Roman" w:eastAsia="Times New Roman" w:hAnsi="Times New Roman" w:cs="Times New Roman"/>
              </w:rPr>
              <w:t>), one additional area that violates the standard (Lakeview) and numerous areas that are just below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w:t>
            </w:r>
            <w:r w:rsidR="0071406E">
              <w:rPr>
                <w:rFonts w:ascii="Times New Roman" w:eastAsia="Times New Roman" w:hAnsi="Times New Roman" w:cs="Times New Roman"/>
              </w:rPr>
              <w:t xml:space="preserve">intended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r w:rsidR="0071406E">
              <w:rPr>
                <w:rFonts w:ascii="Times New Roman" w:eastAsia="Times New Roman" w:hAnsi="Times New Roman" w:cs="Times New Roman"/>
              </w:rPr>
              <w:t xml:space="preserve">additional </w:t>
            </w:r>
            <w:r w:rsidR="005B7826" w:rsidRPr="00E638D3">
              <w:rPr>
                <w:rFonts w:ascii="Times New Roman" w:eastAsia="Times New Roman" w:hAnsi="Times New Roman" w:cs="Times New Roman"/>
              </w:rPr>
              <w:t xml:space="preserve">violations of </w:t>
            </w:r>
            <w:r w:rsidR="0071406E">
              <w:rPr>
                <w:rFonts w:ascii="Times New Roman" w:eastAsia="Times New Roman" w:hAnsi="Times New Roman" w:cs="Times New Roman"/>
              </w:rPr>
              <w:t xml:space="preserve">the fine particulate </w:t>
            </w:r>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an area is </w:t>
            </w:r>
            <w:r w:rsidR="00D52F39">
              <w:rPr>
                <w:rFonts w:ascii="Times New Roman" w:eastAsia="Times New Roman" w:hAnsi="Times New Roman" w:cs="Times New Roman"/>
              </w:rPr>
              <w:t xml:space="preserve">designated as </w:t>
            </w:r>
            <w:r w:rsidR="005A08B2">
              <w:rPr>
                <w:rFonts w:ascii="Times New Roman" w:eastAsia="Times New Roman" w:hAnsi="Times New Roman" w:cs="Times New Roman"/>
              </w:rPr>
              <w:t>nonattainment by</w:t>
            </w:r>
            <w:r w:rsidR="00D52F39">
              <w:rPr>
                <w:rFonts w:ascii="Times New Roman" w:eastAsia="Times New Roman" w:hAnsi="Times New Roman" w:cs="Times New Roman"/>
              </w:rPr>
              <w:t xml:space="preserve"> EPA</w:t>
            </w:r>
            <w:r w:rsidR="0071406E">
              <w:rPr>
                <w:rFonts w:ascii="Times New Roman" w:eastAsia="Times New Roman" w:hAnsi="Times New Roman" w:cs="Times New Roman"/>
              </w:rPr>
              <w:t xml:space="preserve">, DEQ and the local government are required to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Attainment plans for fine particulate nonattainment areas</w:t>
            </w:r>
            <w:r w:rsidR="00055B81">
              <w:rPr>
                <w:rFonts w:ascii="Times New Roman" w:eastAsia="Times New Roman" w:hAnsi="Times New Roman" w:cs="Times New Roman"/>
              </w:rPr>
              <w:t xml:space="preserve"> typically include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 xml:space="preserve">industry </w:t>
            </w:r>
            <w:r w:rsidR="00667CFC">
              <w:rPr>
                <w:rFonts w:ascii="Times New Roman" w:eastAsia="Times New Roman" w:hAnsi="Times New Roman" w:cs="Times New Roman"/>
              </w:rPr>
              <w:t xml:space="preserve">as well as </w:t>
            </w:r>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before areas exceed ambient air quality standards and </w:t>
            </w:r>
            <w:r w:rsidR="00055B81">
              <w:rPr>
                <w:rFonts w:ascii="Times New Roman" w:eastAsia="Times New Roman" w:hAnsi="Times New Roman" w:cs="Times New Roman"/>
              </w:rPr>
              <w:t xml:space="preserve">are designated </w:t>
            </w:r>
            <w:r w:rsidR="005A08B2" w:rsidRPr="00E638D3">
              <w:rPr>
                <w:rFonts w:ascii="Times New Roman" w:eastAsia="Times New Roman" w:hAnsi="Times New Roman" w:cs="Times New Roman"/>
              </w:rPr>
              <w:t>nonattainment 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 xml:space="preserve">costs of developing and implementing attainment plans, including </w:t>
            </w:r>
            <w:r w:rsidR="005B7826" w:rsidRPr="00E638D3">
              <w:rPr>
                <w:rFonts w:ascii="Times New Roman" w:eastAsia="Times New Roman" w:hAnsi="Times New Roman" w:cs="Times New Roman"/>
              </w:rPr>
              <w:t xml:space="preserve">severe restrictions for businesses that want to build or expand in </w:t>
            </w:r>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r w:rsidR="0019640C">
              <w:rPr>
                <w:rFonts w:ascii="Times New Roman" w:eastAsia="Times New Roman" w:hAnsi="Times New Roman" w:cs="Times New Roman"/>
              </w:rPr>
              <w:t xml:space="preserve">. </w:t>
            </w:r>
            <w:r w:rsidR="00296948" w:rsidRPr="00296948">
              <w:rPr>
                <w:rFonts w:ascii="Times New Roman" w:eastAsia="Times New Roman" w:hAnsi="Times New Roman" w:cs="Times New Roman"/>
              </w:rPr>
              <w:t>The rules adopted for the Medford/Ashland AQMA PM</w:t>
            </w:r>
            <w:r w:rsidR="00296948" w:rsidRPr="00296948">
              <w:rPr>
                <w:rFonts w:ascii="Times New Roman" w:eastAsia="Times New Roman" w:hAnsi="Times New Roman" w:cs="Times New Roman"/>
                <w:vertAlign w:val="subscript"/>
              </w:rPr>
              <w:t>10</w:t>
            </w:r>
            <w:r w:rsidR="00296948" w:rsidRPr="00296948">
              <w:rPr>
                <w:rFonts w:ascii="Times New Roman" w:eastAsia="Times New Roman" w:hAnsi="Times New Roman" w:cs="Times New Roman"/>
              </w:rPr>
              <w:t xml:space="preserve"> attainment plan (OAR 340-240-0100 through 340-240-0250) are an example of the type of restrictions that might be imposed upon businesses when developing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attainment plans.</w:t>
            </w:r>
          </w:p>
          <w:p w:rsidR="005B7826" w:rsidRPr="00E638D3" w:rsidRDefault="005B7826" w:rsidP="005B7826">
            <w:pPr>
              <w:ind w:left="0" w:right="18"/>
              <w:rPr>
                <w:rFonts w:ascii="Times New Roman" w:eastAsia="Times New Roman" w:hAnsi="Times New Roman" w:cs="Times New Roman"/>
              </w:rPr>
            </w:pPr>
          </w:p>
          <w:p w:rsidR="005B7826" w:rsidRPr="00E638D3" w:rsidRDefault="00470175"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proposal is also intended to ensure that Oregon’s particulate standards are consistent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w:t>
            </w:r>
            <w:r w:rsidR="00B87603">
              <w:rPr>
                <w:rFonts w:ascii="Times New Roman" w:eastAsia="Times New Roman" w:hAnsi="Times New Roman" w:cs="Times New Roman"/>
              </w:rPr>
              <w:lastRenderedPageBreak/>
              <w:t>compliance with standards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Oregon’s current </w:t>
            </w:r>
            <w:r w:rsidR="005A08B2">
              <w:rPr>
                <w:rFonts w:ascii="Times New Roman" w:eastAsia="Times New Roman" w:hAnsi="Times New Roman" w:cs="Times New Roman"/>
              </w:rPr>
              <w:t>standards</w:t>
            </w:r>
            <w:r>
              <w:rPr>
                <w:rFonts w:ascii="Times New Roman" w:eastAsia="Times New Roman" w:hAnsi="Times New Roman" w:cs="Times New Roman"/>
              </w:rPr>
              <w:t xml:space="preserve"> have only one significant figure (e.g.</w:t>
            </w:r>
            <w:r w:rsidR="00E826D4">
              <w:rPr>
                <w:rFonts w:ascii="Times New Roman" w:eastAsia="Times New Roman" w:hAnsi="Times New Roman" w:cs="Times New Roman"/>
              </w:rPr>
              <w:t>,</w:t>
            </w:r>
            <w:r>
              <w:rPr>
                <w:rFonts w:ascii="Times New Roman" w:eastAsia="Times New Roman" w:hAnsi="Times New Roman" w:cs="Times New Roman"/>
              </w:rPr>
              <w:t xml:space="preserve"> 0.1 gr/dscf) whereas </w:t>
            </w:r>
            <w:r w:rsidR="005B7826" w:rsidRPr="00E638D3">
              <w:rPr>
                <w:rFonts w:ascii="Times New Roman" w:eastAsia="Times New Roman" w:hAnsi="Times New Roman" w:cs="Times New Roman"/>
              </w:rPr>
              <w:t xml:space="preserve">EPA </w:t>
            </w:r>
            <w:r w:rsidR="005114A6">
              <w:rPr>
                <w:rFonts w:ascii="Times New Roman" w:eastAsia="Times New Roman" w:hAnsi="Times New Roman" w:cs="Times New Roman"/>
              </w:rPr>
              <w:t>expects</w:t>
            </w:r>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r w:rsidR="005114A6">
              <w:rPr>
                <w:rFonts w:ascii="Times New Roman" w:eastAsia="Times New Roman" w:hAnsi="Times New Roman" w:cs="Times New Roman"/>
              </w:rPr>
              <w:t>e.g.</w:t>
            </w:r>
            <w:r w:rsidR="00E826D4">
              <w:rPr>
                <w:rFonts w:ascii="Times New Roman" w:eastAsia="Times New Roman" w:hAnsi="Times New Roman" w:cs="Times New Roman"/>
              </w:rPr>
              <w:t>,</w:t>
            </w:r>
            <w:r w:rsidR="005114A6">
              <w:rPr>
                <w:rFonts w:ascii="Times New Roman" w:eastAsia="Times New Roman" w:hAnsi="Times New Roman" w:cs="Times New Roman"/>
              </w:rPr>
              <w:t xml:space="preserve">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5114A6">
              <w:rPr>
                <w:rFonts w:ascii="Times New Roman" w:eastAsia="Times New Roman" w:hAnsi="Times New Roman" w:cs="Times New Roman"/>
              </w:rPr>
              <w:t xml:space="preserve">he proposal is </w:t>
            </w:r>
            <w:r>
              <w:rPr>
                <w:rFonts w:ascii="Times New Roman" w:eastAsia="Times New Roman" w:hAnsi="Times New Roman" w:cs="Times New Roman"/>
              </w:rPr>
              <w:t xml:space="preserve">further </w:t>
            </w:r>
            <w:r w:rsidR="005114A6">
              <w:rPr>
                <w:rFonts w:ascii="Times New Roman" w:eastAsia="Times New Roman" w:hAnsi="Times New Roman" w:cs="Times New Roman"/>
              </w:rPr>
              <w:t xml:space="preserve">intended to 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the method used by EPA and other states. </w:t>
            </w:r>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r w:rsidR="000B1618">
              <w:rPr>
                <w:rFonts w:ascii="Times New Roman" w:eastAsia="Times New Roman" w:hAnsi="Times New Roman" w:cs="Times New Roman"/>
              </w:rPr>
              <w:t xml:space="preserve">test </w:t>
            </w:r>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a standard </w:t>
            </w:r>
            <w:r w:rsidR="005114A6">
              <w:rPr>
                <w:rFonts w:ascii="Times New Roman" w:eastAsia="Times New Roman" w:hAnsi="Times New Roman" w:cs="Times New Roman"/>
              </w:rPr>
              <w:t>both difficult to comply with and difficult to enforce</w:t>
            </w:r>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r w:rsidR="005114A6">
              <w:rPr>
                <w:rFonts w:ascii="Times New Roman" w:eastAsia="Times New Roman" w:hAnsi="Times New Roman" w:cs="Times New Roman"/>
              </w:rPr>
              <w:t>As a workaround</w:t>
            </w:r>
            <w:r w:rsidR="005B7826" w:rsidRPr="00E638D3">
              <w:rPr>
                <w:rFonts w:ascii="Times New Roman" w:eastAsia="Times New Roman" w:hAnsi="Times New Roman" w:cs="Times New Roman"/>
              </w:rPr>
              <w:t xml:space="preserve"> to show compliance with this standard, </w:t>
            </w:r>
            <w:r w:rsidR="005114A6">
              <w:rPr>
                <w:rFonts w:ascii="Times New Roman" w:eastAsia="Times New Roman" w:hAnsi="Times New Roman" w:cs="Times New Roman"/>
              </w:rPr>
              <w:t xml:space="preserve">Oregon businesses have had to </w:t>
            </w:r>
            <w:r w:rsidR="005B7826" w:rsidRPr="00E638D3">
              <w:rPr>
                <w:rFonts w:ascii="Times New Roman" w:eastAsia="Times New Roman" w:hAnsi="Times New Roman" w:cs="Times New Roman"/>
              </w:rPr>
              <w:t>use a</w:t>
            </w:r>
            <w:r w:rsidR="001A273D">
              <w:rPr>
                <w:rFonts w:ascii="Times New Roman" w:eastAsia="Times New Roman" w:hAnsi="Times New Roman" w:cs="Times New Roman"/>
              </w:rPr>
              <w:t xml:space="preserve"> </w:t>
            </w:r>
            <w:r w:rsidR="005B7826" w:rsidRPr="00296948">
              <w:rPr>
                <w:rFonts w:ascii="Times New Roman" w:eastAsia="Times New Roman" w:hAnsi="Times New Roman" w:cs="Times New Roman"/>
                <w:i/>
              </w:rPr>
              <w:t xml:space="preserve">modified </w:t>
            </w:r>
            <w:r w:rsidR="005B7826" w:rsidRPr="00E638D3">
              <w:rPr>
                <w:rFonts w:ascii="Times New Roman" w:eastAsia="Times New Roman" w:hAnsi="Times New Roman" w:cs="Times New Roman"/>
              </w:rPr>
              <w:t>EPA Method 9</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296948"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6F5CDB">
              <w:rPr>
                <w:rFonts w:ascii="Times New Roman" w:eastAsia="Times New Roman" w:hAnsi="Times New Roman" w:cs="Times New Roman"/>
              </w:rPr>
              <w:t>he proposal is intended to address similar problems with a</w:t>
            </w:r>
            <w:r w:rsidR="008C4024">
              <w:rPr>
                <w:rFonts w:ascii="Times New Roman" w:eastAsia="Times New Roman" w:hAnsi="Times New Roman" w:cs="Times New Roman"/>
              </w:rPr>
              <w:t xml:space="preserve"> local</w:t>
            </w:r>
            <w:r w:rsidR="006F5CDB">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sidR="006A7FCE">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 xml:space="preserve">for the four-county area around Portland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sidR="006A7FCE">
              <w:rPr>
                <w:rFonts w:ascii="Times New Roman" w:eastAsia="Times New Roman" w:hAnsi="Times New Roman" w:cs="Times New Roman"/>
              </w:rPr>
              <w:t>that</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w:t>
            </w:r>
            <w:r w:rsidR="008C4024">
              <w:rPr>
                <w:rFonts w:ascii="Times New Roman" w:eastAsia="Times New Roman" w:hAnsi="Times New Roman" w:cs="Times New Roman"/>
              </w:rPr>
              <w:t xml:space="preserve">the lack of a compliance method makes it difficult to comply with </w:t>
            </w:r>
            <w:r w:rsidR="0024263F">
              <w:rPr>
                <w:rFonts w:ascii="Times New Roman" w:eastAsia="Times New Roman" w:hAnsi="Times New Roman" w:cs="Times New Roman"/>
              </w:rPr>
              <w:t>and difficult to</w:t>
            </w:r>
            <w:r w:rsidR="008C4024">
              <w:rPr>
                <w:rFonts w:ascii="Times New Roman" w:eastAsia="Times New Roman" w:hAnsi="Times New Roman" w:cs="Times New Roman"/>
              </w:rPr>
              <w:t xml:space="preserve"> enforce </w:t>
            </w:r>
            <w:r w:rsidR="005B7826" w:rsidRPr="00E638D3">
              <w:rPr>
                <w:rFonts w:ascii="Times New Roman" w:eastAsia="Times New Roman" w:hAnsi="Times New Roman" w:cs="Times New Roman"/>
              </w:rPr>
              <w:t xml:space="preserve">emissions standards.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772E64">
            <w:pPr>
              <w:ind w:left="0" w:right="18"/>
              <w:rPr>
                <w:rFonts w:ascii="Times New Roman" w:eastAsia="Times New Roman" w:hAnsi="Times New Roman" w:cs="Times New Roman"/>
              </w:rPr>
            </w:pPr>
            <w:r>
              <w:rPr>
                <w:rFonts w:ascii="Times New Roman" w:eastAsia="Times New Roman" w:hAnsi="Times New Roman" w:cs="Times New Roman"/>
              </w:rPr>
              <w:t>There is also a</w:t>
            </w:r>
            <w:r w:rsidR="005B7826" w:rsidRPr="00E638D3">
              <w:rPr>
                <w:rFonts w:ascii="Times New Roman" w:eastAsia="Times New Roman" w:hAnsi="Times New Roman" w:cs="Times New Roman"/>
              </w:rPr>
              <w:t xml:space="preserve"> problem </w:t>
            </w:r>
            <w:r>
              <w:rPr>
                <w:rFonts w:ascii="Times New Roman" w:eastAsia="Times New Roman" w:hAnsi="Times New Roman" w:cs="Times New Roman"/>
              </w:rPr>
              <w:t>with</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w:t>
            </w:r>
            <w:r w:rsidR="002A7D43">
              <w:rPr>
                <w:rFonts w:ascii="Times New Roman" w:eastAsia="Times New Roman" w:hAnsi="Times New Roman" w:cs="Times New Roman"/>
              </w:rPr>
              <w:t>I</w:t>
            </w:r>
            <w:r w:rsidR="005B7826" w:rsidRPr="00E638D3">
              <w:rPr>
                <w:rFonts w:ascii="Times New Roman" w:eastAsia="Times New Roman" w:hAnsi="Times New Roman" w:cs="Times New Roman"/>
              </w:rPr>
              <w:t>n many situations</w:t>
            </w:r>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r w:rsidR="005A08B2" w:rsidRPr="00E638D3">
              <w:rPr>
                <w:rFonts w:ascii="Times New Roman" w:eastAsia="Times New Roman" w:hAnsi="Times New Roman" w:cs="Times New Roman"/>
              </w:rPr>
              <w:t>standard and</w:t>
            </w:r>
            <w:r w:rsidR="005B7826" w:rsidRPr="00E638D3">
              <w:rPr>
                <w:rFonts w:ascii="Times New Roman" w:eastAsia="Times New Roman" w:hAnsi="Times New Roman" w:cs="Times New Roman"/>
              </w:rPr>
              <w:t xml:space="preserve"> to then require action to abate the emissions. However, </w:t>
            </w:r>
            <w:r w:rsidR="002A7D43">
              <w:rPr>
                <w:rFonts w:ascii="Times New Roman" w:eastAsia="Times New Roman" w:hAnsi="Times New Roman" w:cs="Times New Roman"/>
              </w:rPr>
              <w:t>in other</w:t>
            </w:r>
            <w:r w:rsidR="005B7826" w:rsidRPr="00E638D3">
              <w:rPr>
                <w:rFonts w:ascii="Times New Roman" w:eastAsia="Times New Roman" w:hAnsi="Times New Roman" w:cs="Times New Roman"/>
              </w:rPr>
              <w:t xml:space="preserve"> situations opacity readings are difficult to take or the emissions do not exceed the opacity standard but are nevertheless objectionable.</w:t>
            </w:r>
            <w:r w:rsidR="002A7D43">
              <w:rPr>
                <w:rFonts w:ascii="Times New Roman" w:eastAsia="Times New Roman" w:hAnsi="Times New Roman" w:cs="Times New Roman"/>
              </w:rPr>
              <w:t xml:space="preserve"> Therefore</w:t>
            </w:r>
            <w:r w:rsidR="005A08B2">
              <w:rPr>
                <w:rFonts w:ascii="Times New Roman" w:eastAsia="Times New Roman" w:hAnsi="Times New Roman" w:cs="Times New Roman"/>
              </w:rPr>
              <w:t>, DEQ</w:t>
            </w:r>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r w:rsidR="002B6A4B">
              <w:rPr>
                <w:rFonts w:ascii="Times New Roman" w:eastAsia="Times New Roman" w:hAnsi="Times New Roman" w:cs="Times New Roman"/>
                <w:bCs/>
              </w:rPr>
              <w:t xml:space="preserve">changes 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r w:rsidR="00B417C3">
              <w:rPr>
                <w:rFonts w:ascii="Times New Roman" w:eastAsia="Times New Roman" w:hAnsi="Times New Roman" w:cs="Times New Roman"/>
                <w:bCs/>
              </w:rPr>
              <w:t xml:space="preserve">facilitate </w:t>
            </w:r>
            <w:r w:rsidR="00A413FE" w:rsidRPr="00E638D3">
              <w:rPr>
                <w:rFonts w:ascii="Times New Roman" w:eastAsia="Times New Roman" w:hAnsi="Times New Roman" w:cs="Times New Roman"/>
                <w:bCs/>
              </w:rPr>
              <w:t>economic development.</w:t>
            </w:r>
            <w:r w:rsidR="00481A98">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008737CA" w:rsidRPr="00E638D3">
              <w:rPr>
                <w:rFonts w:ascii="Times New Roman" w:eastAsia="Times New Roman" w:hAnsi="Times New Roman" w:cs="Times New Roman"/>
                <w:bCs/>
              </w:rPr>
              <w:t>:</w:t>
            </w:r>
          </w:p>
          <w:p w:rsidR="00DC064E"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Minimize</w:t>
            </w:r>
            <w:r w:rsidR="00DC064E" w:rsidRPr="00E638D3">
              <w:rPr>
                <w:rFonts w:ascii="Times New Roman" w:eastAsia="Times New Roman" w:hAnsi="Times New Roman" w:cs="Times New Roman"/>
                <w:bCs/>
              </w:rPr>
              <w:t xml:space="preserve"> particulate matter emissions from pre-1970 </w:t>
            </w:r>
            <w:r w:rsidR="00F615A3">
              <w:rPr>
                <w:rFonts w:ascii="Times New Roman" w:eastAsia="Times New Roman" w:hAnsi="Times New Roman" w:cs="Times New Roman"/>
                <w:bCs/>
              </w:rPr>
              <w:t xml:space="preserve">grandfathered </w:t>
            </w:r>
            <w:r w:rsidR="00DC064E" w:rsidRPr="00E638D3">
              <w:rPr>
                <w:rFonts w:ascii="Times New Roman" w:eastAsia="Times New Roman" w:hAnsi="Times New Roman" w:cs="Times New Roman"/>
                <w:bCs/>
              </w:rPr>
              <w:t>units</w:t>
            </w:r>
            <w:r w:rsidR="002B6A4B">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r w:rsidR="005A08B2" w:rsidRPr="00E638D3">
              <w:rPr>
                <w:rFonts w:ascii="Times New Roman" w:eastAsia="Times New Roman" w:hAnsi="Times New Roman" w:cs="Times New Roman"/>
                <w:bCs/>
              </w:rPr>
              <w:t>on</w:t>
            </w:r>
            <w:r w:rsidR="005A08B2">
              <w:rPr>
                <w:rFonts w:ascii="Times New Roman" w:eastAsia="Times New Roman" w:hAnsi="Times New Roman" w:cs="Times New Roman"/>
                <w:bCs/>
              </w:rPr>
              <w:t xml:space="preserve"> determining</w:t>
            </w:r>
            <w:r w:rsidR="00772E64">
              <w:rPr>
                <w:rFonts w:ascii="Times New Roman" w:eastAsia="Times New Roman" w:hAnsi="Times New Roman" w:cs="Times New Roman"/>
                <w:bCs/>
              </w:rPr>
              <w:t xml:space="preserve"> compliance</w:t>
            </w:r>
            <w:r>
              <w:rPr>
                <w:rFonts w:ascii="Times New Roman" w:eastAsia="Times New Roman" w:hAnsi="Times New Roman" w:cs="Times New Roman"/>
                <w:bCs/>
              </w:rPr>
              <w:t>.</w:t>
            </w:r>
          </w:p>
          <w:p w:rsidR="008737CA" w:rsidRPr="00E638D3"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I</w:t>
            </w:r>
            <w:r w:rsidR="009E1F6C">
              <w:rPr>
                <w:rFonts w:ascii="Times New Roman" w:eastAsia="Times New Roman" w:hAnsi="Times New Roman" w:cs="Times New Roman"/>
                <w:bCs/>
              </w:rPr>
              <w:t xml:space="preserve">ncrease </w:t>
            </w:r>
            <w:r w:rsidR="00772E64">
              <w:rPr>
                <w:rFonts w:ascii="Times New Roman" w:eastAsia="Times New Roman" w:hAnsi="Times New Roman" w:cs="Times New Roman"/>
                <w:bCs/>
              </w:rPr>
              <w:t xml:space="preserve">compliance and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sidR="002B6A4B">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w:t>
            </w:r>
            <w:r w:rsidRPr="00E638D3">
              <w:rPr>
                <w:rFonts w:ascii="Times New Roman" w:eastAsia="Times New Roman" w:hAnsi="Times New Roman" w:cs="Times New Roman"/>
              </w:rPr>
              <w:lastRenderedPageBreak/>
              <w:t xml:space="preserve">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r w:rsidR="00F615A3">
              <w:rPr>
                <w:rFonts w:ascii="Times New Roman" w:eastAsia="Times New Roman" w:hAnsi="Times New Roman" w:cs="Times New Roman"/>
              </w:rPr>
              <w:t xml:space="preserve">grandfathered </w:t>
            </w:r>
            <w:r w:rsidRPr="00E638D3">
              <w:rPr>
                <w:rFonts w:ascii="Times New Roman" w:eastAsia="Times New Roman" w:hAnsi="Times New Roman" w:cs="Times New Roman"/>
              </w:rPr>
              <w:t xml:space="preserve">units built before June 1970 by </w:t>
            </w:r>
            <w:r w:rsidR="003F3D4A">
              <w:rPr>
                <w:rFonts w:ascii="Times New Roman" w:eastAsia="Times New Roman" w:hAnsi="Times New Roman" w:cs="Times New Roman"/>
              </w:rPr>
              <w:t>phasing in a requirement for</w:t>
            </w:r>
            <w:r w:rsidRPr="00E638D3">
              <w:rPr>
                <w:rFonts w:ascii="Times New Roman" w:eastAsia="Times New Roman" w:hAnsi="Times New Roman" w:cs="Times New Roman"/>
              </w:rPr>
              <w:t xml:space="preserve"> these </w:t>
            </w:r>
            <w:r w:rsidR="003F3D4A">
              <w:rPr>
                <w:rFonts w:ascii="Times New Roman" w:eastAsia="Times New Roman" w:hAnsi="Times New Roman" w:cs="Times New Roman"/>
              </w:rPr>
              <w:t>businesses</w:t>
            </w:r>
            <w:r w:rsidRPr="00E638D3">
              <w:rPr>
                <w:rFonts w:ascii="Times New Roman" w:eastAsia="Times New Roman" w:hAnsi="Times New Roman" w:cs="Times New Roman"/>
              </w:rPr>
              <w:t xml:space="preserve"> to meet </w:t>
            </w:r>
            <w:r w:rsidR="003E4094">
              <w:rPr>
                <w:rFonts w:ascii="Times New Roman" w:eastAsia="Times New Roman" w:hAnsi="Times New Roman" w:cs="Times New Roman"/>
              </w:rPr>
              <w:t>lower standards</w:t>
            </w:r>
            <w:r w:rsidR="00296948" w:rsidRPr="00296948">
              <w:rPr>
                <w:rFonts w:ascii="Times New Roman" w:eastAsia="Times New Roman" w:hAnsi="Times New Roman" w:cs="Times New Roman"/>
              </w:rPr>
              <w:t xml:space="preserve"> based on typically available control technology</w:t>
            </w:r>
            <w:r w:rsidRPr="00E638D3">
              <w:rPr>
                <w:rFonts w:ascii="Times New Roman" w:eastAsia="Times New Roman" w:hAnsi="Times New Roman" w:cs="Times New Roman"/>
              </w:rPr>
              <w:t>.</w:t>
            </w:r>
            <w:r w:rsidR="00DC064E">
              <w:rPr>
                <w:rFonts w:ascii="Times New Roman" w:eastAsia="Times New Roman" w:hAnsi="Times New Roman" w:cs="Times New Roman"/>
              </w:rPr>
              <w:t xml:space="preserve"> </w:t>
            </w:r>
            <w:r w:rsidR="00A12508">
              <w:rPr>
                <w:rFonts w:ascii="Times New Roman" w:eastAsia="Times New Roman" w:hAnsi="Times New Roman" w:cs="Times New Roman"/>
              </w:rPr>
              <w:t>The propo</w:t>
            </w:r>
            <w:r w:rsidR="0088575A">
              <w:rPr>
                <w:rFonts w:ascii="Times New Roman" w:eastAsia="Times New Roman" w:hAnsi="Times New Roman" w:cs="Times New Roman"/>
              </w:rPr>
              <w:t>sal would allow businesses a five</w:t>
            </w:r>
            <w:r w:rsidR="00A12508">
              <w:rPr>
                <w:rFonts w:ascii="Times New Roman" w:eastAsia="Times New Roman" w:hAnsi="Times New Roman" w:cs="Times New Roman"/>
              </w:rPr>
              <w:t xml:space="preserve"> year transition period with an opportunity for </w:t>
            </w:r>
            <w:r w:rsidR="001943F7">
              <w:rPr>
                <w:rFonts w:ascii="Times New Roman" w:eastAsia="Times New Roman" w:hAnsi="Times New Roman" w:cs="Times New Roman"/>
              </w:rPr>
              <w:t xml:space="preserve">an </w:t>
            </w:r>
            <w:r w:rsidR="00A12508">
              <w:rPr>
                <w:rFonts w:ascii="Times New Roman" w:eastAsia="Times New Roman" w:hAnsi="Times New Roman" w:cs="Times New Roman"/>
              </w:rPr>
              <w:t xml:space="preserve">additional extension if necessary. The proposal ensures that no business would be required to replace a boiler </w:t>
            </w:r>
            <w:r w:rsidR="001943F7">
              <w:rPr>
                <w:rFonts w:ascii="Times New Roman" w:eastAsia="Times New Roman" w:hAnsi="Times New Roman" w:cs="Times New Roman"/>
              </w:rPr>
              <w:t xml:space="preserve">or convert to fossil fuel </w:t>
            </w:r>
            <w:r w:rsidR="00A12508">
              <w:rPr>
                <w:rFonts w:ascii="Times New Roman" w:eastAsia="Times New Roman" w:hAnsi="Times New Roman" w:cs="Times New Roman"/>
              </w:rPr>
              <w:t xml:space="preserve">by providing an option to </w:t>
            </w:r>
            <w:r w:rsidR="001943F7">
              <w:rPr>
                <w:rFonts w:ascii="Times New Roman" w:eastAsia="Times New Roman" w:hAnsi="Times New Roman" w:cs="Times New Roman"/>
              </w:rPr>
              <w:t xml:space="preserve">request a source specific limit if boiler/multiclone </w:t>
            </w:r>
            <w:r w:rsidR="00C736DE">
              <w:rPr>
                <w:rFonts w:ascii="Times New Roman" w:eastAsia="Times New Roman" w:hAnsi="Times New Roman" w:cs="Times New Roman"/>
              </w:rPr>
              <w:t>optimization</w:t>
            </w:r>
            <w:r w:rsidR="001943F7">
              <w:rPr>
                <w:rFonts w:ascii="Times New Roman" w:eastAsia="Times New Roman" w:hAnsi="Times New Roman" w:cs="Times New Roman"/>
              </w:rPr>
              <w:t xml:space="preserve"> does result in emissions low enough to meet the </w:t>
            </w:r>
            <w:r w:rsidR="00A12508">
              <w:rPr>
                <w:rFonts w:ascii="Times New Roman" w:eastAsia="Times New Roman" w:hAnsi="Times New Roman" w:cs="Times New Roman"/>
              </w:rPr>
              <w:t>revised standards.</w:t>
            </w:r>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To align the particulate matter standard with EPA’s policy that standards have 2 significant figures</w:t>
            </w:r>
            <w:r w:rsidRPr="00E911D9">
              <w:rPr>
                <w:rFonts w:ascii="Times New Roman" w:eastAsia="Times New Roman" w:hAnsi="Times New Roman" w:cs="Times New Roman"/>
              </w:rPr>
              <w:t xml:space="preserve">, </w:t>
            </w:r>
            <w:r w:rsidR="00FD4B2E" w:rsidRPr="00E911D9">
              <w:rPr>
                <w:rFonts w:ascii="Times New Roman" w:eastAsia="Times New Roman" w:hAnsi="Times New Roman" w:cs="Times New Roman"/>
              </w:rPr>
              <w:t xml:space="preserve">DEQ is proposing to </w:t>
            </w:r>
            <w:r w:rsidR="00A31506">
              <w:rPr>
                <w:rFonts w:ascii="Times New Roman" w:eastAsia="Times New Roman" w:hAnsi="Times New Roman" w:cs="Times New Roman"/>
              </w:rPr>
              <w:t>add a significant figure to all the particulate matter standards</w:t>
            </w:r>
            <w:r w:rsidR="00FD4B2E" w:rsidRPr="00E911D9">
              <w:rPr>
                <w:rFonts w:ascii="Times New Roman" w:eastAsia="Times New Roman" w:hAnsi="Times New Roman" w:cs="Times New Roman"/>
              </w:rPr>
              <w:t>.</w:t>
            </w:r>
            <w:r w:rsidR="00F615A3" w:rsidRPr="00E911D9">
              <w:rPr>
                <w:rFonts w:ascii="Times New Roman" w:eastAsia="Times New Roman" w:hAnsi="Times New Roman" w:cs="Times New Roman"/>
              </w:rPr>
              <w:t xml:space="preserve"> </w:t>
            </w:r>
          </w:p>
          <w:p w:rsidR="00481A98" w:rsidRDefault="00481A98"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88575A">
              <w:rPr>
                <w:rFonts w:ascii="Times New Roman" w:eastAsia="Times New Roman" w:hAnsi="Times New Roman" w:cs="Times New Roman"/>
              </w:rPr>
              <w:t>January 1, 2020</w:t>
            </w:r>
            <w:r w:rsidR="00427970" w:rsidRPr="00E638D3">
              <w:rPr>
                <w:rFonts w:ascii="Times New Roman" w:eastAsia="Times New Roman" w:hAnsi="Times New Roman" w:cs="Times New Roman"/>
              </w:rPr>
              <w:t xml:space="preserve"> to comply with the </w:t>
            </w:r>
            <w:r w:rsidR="00296948">
              <w:rPr>
                <w:rFonts w:ascii="Times New Roman" w:eastAsia="Times New Roman" w:hAnsi="Times New Roman" w:cs="Times New Roman"/>
              </w:rPr>
              <w:t xml:space="preserve">revised </w:t>
            </w:r>
            <w:r w:rsidR="00427970" w:rsidRPr="00E638D3">
              <w:rPr>
                <w:rFonts w:ascii="Times New Roman" w:eastAsia="Times New Roman" w:hAnsi="Times New Roman" w:cs="Times New Roman"/>
              </w:rPr>
              <w:t xml:space="preserve">opacity </w:t>
            </w:r>
            <w:r w:rsidR="00427970">
              <w:rPr>
                <w:rFonts w:ascii="Times New Roman" w:eastAsia="Times New Roman" w:hAnsi="Times New Roman" w:cs="Times New Roman"/>
              </w:rPr>
              <w:t xml:space="preserve">and </w:t>
            </w:r>
            <w:r w:rsidRPr="00E638D3">
              <w:rPr>
                <w:rFonts w:ascii="Times New Roman" w:eastAsia="Times New Roman" w:hAnsi="Times New Roman" w:cs="Times New Roman"/>
              </w:rPr>
              <w:t>particulate matter standard</w:t>
            </w:r>
            <w:r w:rsidR="00296948">
              <w:rPr>
                <w:rFonts w:ascii="Times New Roman" w:eastAsia="Times New Roman" w:hAnsi="Times New Roman" w:cs="Times New Roman"/>
              </w:rPr>
              <w:t>s</w:t>
            </w:r>
            <w:r>
              <w:rPr>
                <w:rFonts w:ascii="Times New Roman" w:eastAsia="Times New Roman" w:hAnsi="Times New Roman" w:cs="Times New Roman"/>
              </w:rPr>
              <w:t>.</w:t>
            </w:r>
            <w:r w:rsidR="0088575A">
              <w:rPr>
                <w:rFonts w:ascii="Times New Roman" w:eastAsia="Times New Roman" w:hAnsi="Times New Roman" w:cs="Times New Roman"/>
              </w:rPr>
              <w:t xml:space="preserve"> This five</w:t>
            </w:r>
            <w:r w:rsidR="00F615A3">
              <w:rPr>
                <w:rFonts w:ascii="Times New Roman" w:eastAsia="Times New Roman" w:hAnsi="Times New Roman" w:cs="Times New Roman"/>
              </w:rPr>
              <w:t>-year compliance schedule is intended to allow businesses time to design and implement the most cost-effective option for meeting the revised standards.</w:t>
            </w:r>
            <w:r w:rsidR="00613367">
              <w:rPr>
                <w:rFonts w:ascii="Times New Roman" w:eastAsia="Times New Roman" w:hAnsi="Times New Roman" w:cs="Times New Roman"/>
              </w:rPr>
              <w:t xml:space="preserve"> As noted above, the proposal would also allow businesses to apply for an extension if needed.</w:t>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 xml:space="preserve">change all opacity standards (both statewide and industry specific)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613367" w:rsidP="00FD4B2E">
            <w:pPr>
              <w:ind w:left="0" w:right="18"/>
              <w:rPr>
                <w:rFonts w:ascii="Times New Roman" w:eastAsia="Times New Roman" w:hAnsi="Times New Roman" w:cs="Times New Roman"/>
              </w:rPr>
            </w:pPr>
            <w:r>
              <w:rPr>
                <w:rFonts w:ascii="Times New Roman" w:eastAsia="Times New Roman" w:hAnsi="Times New Roman" w:cs="Times New Roman"/>
              </w:rPr>
              <w:t>The proposal would r</w:t>
            </w:r>
            <w:r w:rsidR="00E17436">
              <w:rPr>
                <w:rFonts w:ascii="Times New Roman" w:eastAsia="Times New Roman" w:hAnsi="Times New Roman" w:cs="Times New Roman"/>
              </w:rPr>
              <w:t xml:space="preserve">epeal the </w:t>
            </w:r>
            <w:r w:rsidR="00E17436" w:rsidRPr="00E638D3">
              <w:rPr>
                <w:rFonts w:ascii="Times New Roman" w:eastAsia="Times New Roman" w:hAnsi="Times New Roman" w:cs="Times New Roman"/>
              </w:rPr>
              <w:t>Portland</w:t>
            </w:r>
            <w:r w:rsidR="00E17436">
              <w:rPr>
                <w:rFonts w:ascii="Times New Roman" w:eastAsia="Times New Roman" w:hAnsi="Times New Roman" w:cs="Times New Roman"/>
              </w:rPr>
              <w:t>-area</w:t>
            </w:r>
            <w:r w:rsidR="00E17436" w:rsidRPr="00E638D3">
              <w:rPr>
                <w:rFonts w:ascii="Times New Roman" w:eastAsia="Times New Roman" w:hAnsi="Times New Roman" w:cs="Times New Roman"/>
              </w:rPr>
              <w:t xml:space="preserve"> four-county 20</w:t>
            </w:r>
            <w:r w:rsidR="00E17436">
              <w:rPr>
                <w:rFonts w:ascii="Times New Roman" w:eastAsia="Times New Roman" w:hAnsi="Times New Roman" w:cs="Times New Roman"/>
              </w:rPr>
              <w:t xml:space="preserve"> percent</w:t>
            </w:r>
            <w:r w:rsidR="00E17436" w:rsidRPr="00E638D3">
              <w:rPr>
                <w:rFonts w:ascii="Times New Roman" w:eastAsia="Times New Roman" w:hAnsi="Times New Roman" w:cs="Times New Roman"/>
              </w:rPr>
              <w:t xml:space="preserve"> opacity standard</w:t>
            </w:r>
            <w:r>
              <w:rPr>
                <w:rFonts w:ascii="Times New Roman" w:eastAsia="Times New Roman" w:hAnsi="Times New Roman" w:cs="Times New Roman"/>
              </w:rPr>
              <w:t>, so that non-fuel burning equipment in this area would be subject to the statewide opacity standard</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This </w:t>
            </w:r>
            <w:r w:rsidR="005A08B2">
              <w:rPr>
                <w:rFonts w:ascii="Times New Roman" w:eastAsia="Times New Roman" w:hAnsi="Times New Roman" w:cs="Times New Roman"/>
              </w:rPr>
              <w:t>would solve</w:t>
            </w:r>
            <w:r w:rsidR="003B2BBA">
              <w:rPr>
                <w:rFonts w:ascii="Times New Roman" w:eastAsia="Times New Roman" w:hAnsi="Times New Roman" w:cs="Times New Roman"/>
              </w:rPr>
              <w:t xml:space="preserve"> the problem</w:t>
            </w:r>
            <w:r>
              <w:rPr>
                <w:rFonts w:ascii="Times New Roman" w:eastAsia="Times New Roman" w:hAnsi="Times New Roman" w:cs="Times New Roman"/>
              </w:rPr>
              <w:t>s</w:t>
            </w:r>
            <w:r w:rsidR="003B2BBA">
              <w:rPr>
                <w:rFonts w:ascii="Times New Roman" w:eastAsia="Times New Roman" w:hAnsi="Times New Roman" w:cs="Times New Roman"/>
              </w:rPr>
              <w:t xml:space="preserve">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0229FF" w:rsidP="00DA4E39">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The proposal would require businesses to take reasonable precautions to prevent fugitive emissions and to develop and implement a fugitive emissions control plan upon request by DEQ to prevent visible emissions from leaving the property. This</w:t>
            </w:r>
            <w:r w:rsidRPr="00E638D3">
              <w:rPr>
                <w:rFonts w:ascii="Times New Roman" w:eastAsia="Times New Roman" w:hAnsi="Times New Roman" w:cs="Times New Roman"/>
              </w:rPr>
              <w:t xml:space="preserve"> is a simpler, more </w:t>
            </w:r>
            <w:r>
              <w:rPr>
                <w:rFonts w:ascii="Times New Roman" w:eastAsia="Times New Roman" w:hAnsi="Times New Roman" w:cs="Times New Roman"/>
              </w:rPr>
              <w:t>comprehensive</w:t>
            </w:r>
            <w:r w:rsidRPr="00E638D3">
              <w:rPr>
                <w:rFonts w:ascii="Times New Roman" w:eastAsia="Times New Roman" w:hAnsi="Times New Roman" w:cs="Times New Roman"/>
              </w:rPr>
              <w:t xml:space="preserve">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tha</w:t>
            </w:r>
            <w:r w:rsidR="00DA4E39">
              <w:rPr>
                <w:rFonts w:ascii="Times New Roman" w:eastAsia="Times New Roman" w:hAnsi="Times New Roman" w:cs="Times New Roman"/>
              </w:rPr>
              <w:t>n</w:t>
            </w:r>
            <w:r>
              <w:rPr>
                <w:rFonts w:ascii="Times New Roman" w:eastAsia="Times New Roman" w:hAnsi="Times New Roman" w:cs="Times New Roman"/>
              </w:rPr>
              <w:t xml:space="preserve">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r w:rsidR="005A08B2">
              <w:rPr>
                <w:rFonts w:ascii="Times New Roman" w:eastAsia="Times New Roman" w:hAnsi="Times New Roman" w:cs="Times New Roman"/>
              </w:rPr>
              <w:t>areas. Compliance</w:t>
            </w:r>
            <w:r>
              <w:rPr>
                <w:rFonts w:ascii="Times New Roman" w:eastAsia="Times New Roman" w:hAnsi="Times New Roman" w:cs="Times New Roman"/>
              </w:rPr>
              <w:t xml:space="preserve"> would be determined using </w:t>
            </w:r>
            <w:r w:rsidR="004918AF" w:rsidRPr="00E638D3">
              <w:rPr>
                <w:rFonts w:ascii="Times New Roman" w:eastAsia="Times New Roman" w:hAnsi="Times New Roman" w:cs="Times New Roman"/>
              </w:rPr>
              <w:t>EPA Method 22, Visual Determination of Fugitive Emissions from Material Sources and Smoke Emissions from Flares</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Method 22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the method</w:t>
            </w:r>
            <w:r w:rsidR="004918AF">
              <w:rPr>
                <w:rFonts w:ascii="Times New Roman" w:eastAsia="Times New Roman" w:hAnsi="Times New Roman" w:cs="Times New Roman"/>
              </w:rPr>
              <w:t xml:space="preserve"> currently used (</w:t>
            </w:r>
            <w:r w:rsidR="004918AF" w:rsidRPr="00E638D3">
              <w:rPr>
                <w:rFonts w:ascii="Times New Roman" w:eastAsia="Times New Roman" w:hAnsi="Times New Roman" w:cs="Times New Roman"/>
              </w:rPr>
              <w:t>EPA Method 9</w:t>
            </w:r>
            <w:r w:rsidR="004918AF">
              <w:rPr>
                <w:rFonts w:ascii="Times New Roman" w:eastAsia="Times New Roman" w:hAnsi="Times New Roman" w:cs="Times New Roman"/>
              </w:rPr>
              <w:t>).</w:t>
            </w:r>
            <w:r>
              <w:rPr>
                <w:rFonts w:ascii="Times New Roman" w:eastAsia="Times New Roman" w:hAnsi="Times New Roman" w:cs="Times New Roman"/>
              </w:rPr>
              <w:t xml:space="preserve">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DD6D6E">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sidR="00245E7E">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084C0A">
              <w:rPr>
                <w:rFonts w:ascii="Times New Roman" w:eastAsia="Times New Roman" w:hAnsi="Times New Roman" w:cs="Times New Roman"/>
                <w:bCs/>
              </w:rPr>
              <w:t xml:space="preserve"> as required by federal law</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lastRenderedPageBreak/>
              <w:t>Janitorial activities</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sidR="00084C0A">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w:t>
            </w:r>
            <w:r w:rsidR="00084C0A">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sidR="00B7348A">
              <w:rPr>
                <w:rFonts w:ascii="Times New Roman" w:eastAsia="Times New Roman" w:hAnsi="Times New Roman" w:cs="Times New Roman"/>
                <w:bCs/>
              </w:rPr>
              <w:t xml:space="preserve">se activities </w:t>
            </w:r>
            <w:r w:rsidR="00084C0A">
              <w:rPr>
                <w:rFonts w:ascii="Times New Roman" w:eastAsia="Times New Roman" w:hAnsi="Times New Roman" w:cs="Times New Roman"/>
                <w:bCs/>
              </w:rPr>
              <w:t>are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DA4E39">
            <w:pPr>
              <w:ind w:left="0" w:right="18"/>
              <w:rPr>
                <w:rFonts w:ascii="Times New Roman" w:eastAsia="Times New Roman" w:hAnsi="Times New Roman" w:cs="Times New Roman"/>
              </w:rPr>
            </w:pPr>
            <w:r w:rsidRPr="00E638D3">
              <w:rPr>
                <w:rFonts w:ascii="Times New Roman" w:eastAsia="Times New Roman" w:hAnsi="Times New Roman" w:cs="Times New Roman"/>
                <w:bCs/>
              </w:rPr>
              <w:t xml:space="preserve">EPA has since adopted new </w:t>
            </w:r>
            <w:r w:rsidR="00084C0A">
              <w:rPr>
                <w:rFonts w:ascii="Times New Roman" w:eastAsia="Times New Roman" w:hAnsi="Times New Roman" w:cs="Times New Roman"/>
                <w:bCs/>
              </w:rPr>
              <w:t xml:space="preserve">emission </w:t>
            </w:r>
            <w:r w:rsidRPr="00E638D3">
              <w:rPr>
                <w:rFonts w:ascii="Times New Roman" w:eastAsia="Times New Roman" w:hAnsi="Times New Roman" w:cs="Times New Roman"/>
                <w:bCs/>
              </w:rPr>
              <w:t>standards for emergency generators</w:t>
            </w:r>
            <w:r w:rsidR="00084C0A">
              <w:rPr>
                <w:rFonts w:ascii="Times New Roman" w:eastAsia="Times New Roman" w:hAnsi="Times New Roman" w:cs="Times New Roman"/>
                <w:bCs/>
              </w:rPr>
              <w:t xml:space="preserve"> which </w:t>
            </w:r>
            <w:r w:rsidR="00477F16">
              <w:rPr>
                <w:rFonts w:ascii="Times New Roman" w:eastAsia="Times New Roman" w:hAnsi="Times New Roman" w:cs="Times New Roman"/>
                <w:bCs/>
              </w:rPr>
              <w:t>should</w:t>
            </w:r>
            <w:r w:rsidR="00084C0A">
              <w:rPr>
                <w:rFonts w:ascii="Times New Roman" w:eastAsia="Times New Roman" w:hAnsi="Times New Roman" w:cs="Times New Roman"/>
                <w:bCs/>
              </w:rPr>
              <w:t xml:space="preserve"> be specifically addressed in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 xml:space="preserve">discovered </w:t>
            </w:r>
            <w:r w:rsidR="00084C0A">
              <w:rPr>
                <w:rFonts w:ascii="Times New Roman" w:eastAsia="Times New Roman" w:hAnsi="Times New Roman" w:cs="Times New Roman"/>
                <w:bCs/>
              </w:rPr>
              <w:t xml:space="preserve">that </w:t>
            </w:r>
            <w:r w:rsidR="00D02C1F">
              <w:rPr>
                <w:rFonts w:ascii="Times New Roman" w:eastAsia="Times New Roman" w:hAnsi="Times New Roman" w:cs="Times New Roman"/>
                <w:bCs/>
              </w:rPr>
              <w:t xml:space="preserve">small fuel burning equipment, which </w:t>
            </w:r>
            <w:r w:rsidR="00084C0A">
              <w:rPr>
                <w:rFonts w:ascii="Times New Roman" w:eastAsia="Times New Roman" w:hAnsi="Times New Roman" w:cs="Times New Roman"/>
                <w:bCs/>
              </w:rPr>
              <w:t>is currently listed as categorically insignificant</w:t>
            </w:r>
            <w:r w:rsidR="00D02C1F">
              <w:rPr>
                <w:rFonts w:ascii="Times New Roman" w:eastAsia="Times New Roman" w:hAnsi="Times New Roman" w:cs="Times New Roman"/>
                <w:bCs/>
              </w:rPr>
              <w:t xml:space="preserve"> because each unit has low emissions,</w:t>
            </w:r>
            <w:r w:rsidR="00084C0A">
              <w:rPr>
                <w:rFonts w:ascii="Times New Roman" w:eastAsia="Times New Roman" w:hAnsi="Times New Roman" w:cs="Times New Roman"/>
                <w:bCs/>
              </w:rPr>
              <w:t xml:space="preserve"> can </w:t>
            </w:r>
            <w:r w:rsidR="00D02C1F">
              <w:rPr>
                <w:rFonts w:ascii="Times New Roman" w:eastAsia="Times New Roman" w:hAnsi="Times New Roman" w:cs="Times New Roman"/>
                <w:bCs/>
              </w:rPr>
              <w:t>have significant emissions in the aggregate if a business has multiple units.</w:t>
            </w:r>
            <w:r w:rsidR="00084C0A">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For example, DEQ identified </w:t>
            </w:r>
            <w:r w:rsidR="00EE732F" w:rsidRPr="00E638D3">
              <w:rPr>
                <w:rFonts w:ascii="Times New Roman" w:eastAsia="Times New Roman" w:hAnsi="Times New Roman" w:cs="Times New Roman"/>
                <w:bCs/>
              </w:rPr>
              <w:t>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that </w:t>
            </w:r>
            <w:r w:rsidR="00477F16">
              <w:rPr>
                <w:rFonts w:ascii="Times New Roman" w:eastAsia="Times New Roman" w:hAnsi="Times New Roman" w:cs="Times New Roman"/>
                <w:bCs/>
              </w:rPr>
              <w:t xml:space="preserve">together </w:t>
            </w:r>
            <w:r w:rsidR="00D02C1F">
              <w:rPr>
                <w:rFonts w:ascii="Times New Roman" w:eastAsia="Times New Roman" w:hAnsi="Times New Roman" w:cs="Times New Roman"/>
                <w:bCs/>
              </w:rPr>
              <w:t>have</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significant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 xml:space="preserve">emissions </w:t>
            </w:r>
            <w:r w:rsidR="00D02C1F">
              <w:rPr>
                <w:rFonts w:ascii="Times New Roman" w:eastAsia="Times New Roman" w:hAnsi="Times New Roman" w:cs="Times New Roman"/>
                <w:bCs/>
              </w:rPr>
              <w:t xml:space="preserve">of </w:t>
            </w:r>
            <w:r w:rsidR="00AB65CF">
              <w:rPr>
                <w:rFonts w:ascii="Times New Roman" w:eastAsia="Times New Roman" w:hAnsi="Times New Roman" w:cs="Times New Roman"/>
                <w:bCs/>
              </w:rPr>
              <w:t xml:space="preserve">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477F16" w:rsidP="00245E7E">
            <w:pPr>
              <w:ind w:left="0" w:right="18"/>
              <w:rPr>
                <w:rFonts w:ascii="Times New Roman" w:eastAsia="Times New Roman" w:hAnsi="Times New Roman" w:cs="Times New Roman"/>
              </w:rPr>
            </w:pPr>
            <w:r>
              <w:rPr>
                <w:rFonts w:ascii="Times New Roman" w:eastAsia="Times New Roman" w:hAnsi="Times New Roman" w:cs="Times New Roman"/>
              </w:rPr>
              <w:t>The proposal</w:t>
            </w:r>
            <w:r w:rsidR="007C1E2F" w:rsidRPr="00E638D3">
              <w:rPr>
                <w:rFonts w:ascii="Times New Roman" w:eastAsia="Times New Roman" w:hAnsi="Times New Roman" w:cs="Times New Roman"/>
              </w:rPr>
              <w:t xml:space="preserve"> would </w:t>
            </w:r>
            <w:r w:rsidR="00C2676F" w:rsidRPr="00E638D3">
              <w:rPr>
                <w:rFonts w:ascii="Times New Roman" w:eastAsia="Times New Roman" w:hAnsi="Times New Roman" w:cs="Times New Roman"/>
              </w:rPr>
              <w:t xml:space="preserve">remove emergency generators </w:t>
            </w:r>
            <w:r w:rsidR="00245E7E">
              <w:rPr>
                <w:rFonts w:ascii="Times New Roman" w:eastAsia="Times New Roman" w:hAnsi="Times New Roman" w:cs="Times New Roman"/>
              </w:rPr>
              <w:t xml:space="preserve">and </w:t>
            </w:r>
            <w:r w:rsidR="00245E7E" w:rsidRPr="00245E7E">
              <w:rPr>
                <w:rFonts w:ascii="Times New Roman" w:eastAsia="Times New Roman" w:hAnsi="Times New Roman" w:cs="Times New Roman"/>
              </w:rPr>
              <w:t xml:space="preserve">small natural gas or oil-fired equipment </w:t>
            </w:r>
            <w:r w:rsidR="00C2676F" w:rsidRPr="00E638D3">
              <w:rPr>
                <w:rFonts w:ascii="Times New Roman" w:eastAsia="Times New Roman" w:hAnsi="Times New Roman" w:cs="Times New Roman"/>
              </w:rPr>
              <w:t xml:space="preserve">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w:t>
            </w:r>
            <w:r>
              <w:rPr>
                <w:rFonts w:ascii="Times New Roman" w:eastAsia="Times New Roman" w:hAnsi="Times New Roman" w:cs="Times New Roman"/>
              </w:rPr>
              <w:t>that are subject to emission limits or</w:t>
            </w:r>
            <w:r w:rsidR="00C2676F" w:rsidRPr="00E638D3">
              <w:rPr>
                <w:rFonts w:ascii="Times New Roman" w:eastAsia="Times New Roman" w:hAnsi="Times New Roman" w:cs="Times New Roman"/>
              </w:rPr>
              <w:t xml:space="preserve"> if their emissions in the aggregate are greater than de minimis 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w:t>
            </w:r>
            <w:r>
              <w:rPr>
                <w:rFonts w:ascii="Times New Roman" w:eastAsia="Times New Roman" w:hAnsi="Times New Roman" w:cs="Times New Roman"/>
              </w:rPr>
              <w:t>For businesses with an existing permit, t</w:t>
            </w:r>
            <w:r w:rsidR="004A088C">
              <w:rPr>
                <w:rFonts w:ascii="Times New Roman" w:eastAsia="Times New Roman" w:hAnsi="Times New Roman" w:cs="Times New Roman"/>
              </w:rPr>
              <w:t xml:space="preserve">hese </w:t>
            </w:r>
            <w:r w:rsidR="004A088C" w:rsidRPr="00E638D3">
              <w:rPr>
                <w:rFonts w:ascii="Times New Roman" w:eastAsia="Times New Roman" w:hAnsi="Times New Roman" w:cs="Times New Roman"/>
              </w:rPr>
              <w:t xml:space="preserve">activities </w:t>
            </w:r>
            <w:r>
              <w:rPr>
                <w:rFonts w:ascii="Times New Roman" w:eastAsia="Times New Roman" w:hAnsi="Times New Roman" w:cs="Times New Roman"/>
              </w:rPr>
              <w:t>would be added to the permit. I</w:t>
            </w:r>
            <w:r w:rsidR="004A088C" w:rsidRPr="00E638D3">
              <w:rPr>
                <w:rFonts w:ascii="Times New Roman" w:eastAsia="Times New Roman" w:hAnsi="Times New Roman" w:cs="Times New Roman"/>
              </w:rPr>
              <w:t>n cases</w:t>
            </w:r>
            <w:r>
              <w:rPr>
                <w:rFonts w:ascii="Times New Roman" w:eastAsia="Times New Roman" w:hAnsi="Times New Roman" w:cs="Times New Roman"/>
              </w:rPr>
              <w:t xml:space="preserve"> where emissions from these </w:t>
            </w:r>
            <w:r w:rsidR="005A08B2">
              <w:rPr>
                <w:rFonts w:ascii="Times New Roman" w:eastAsia="Times New Roman" w:hAnsi="Times New Roman" w:cs="Times New Roman"/>
              </w:rPr>
              <w:t>activities</w:t>
            </w:r>
            <w:r>
              <w:rPr>
                <w:rFonts w:ascii="Times New Roman" w:eastAsia="Times New Roman" w:hAnsi="Times New Roman" w:cs="Times New Roman"/>
              </w:rPr>
              <w:t xml:space="preserve"> exceed permitting thresholds</w:t>
            </w:r>
            <w:r w:rsidR="004A088C" w:rsidRPr="00E638D3">
              <w:rPr>
                <w:rFonts w:ascii="Times New Roman" w:eastAsia="Times New Roman" w:hAnsi="Times New Roman" w:cs="Times New Roman"/>
              </w:rPr>
              <w:t xml:space="preserve">, a business </w:t>
            </w:r>
            <w:r>
              <w:rPr>
                <w:rFonts w:ascii="Times New Roman" w:eastAsia="Times New Roman" w:hAnsi="Times New Roman" w:cs="Times New Roman"/>
              </w:rPr>
              <w:t>c</w:t>
            </w:r>
            <w:r w:rsidR="004A088C">
              <w:rPr>
                <w:rFonts w:ascii="Times New Roman" w:eastAsia="Times New Roman" w:hAnsi="Times New Roman" w:cs="Times New Roman"/>
              </w:rPr>
              <w:t>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137427">
            <w:pPr>
              <w:pStyle w:val="ListParagraph"/>
              <w:numPr>
                <w:ilvl w:val="0"/>
                <w:numId w:val="18"/>
              </w:numPr>
              <w:ind w:right="18"/>
            </w:pPr>
            <w:r>
              <w:rPr>
                <w:rFonts w:asciiTheme="minorHAnsi" w:eastAsia="Times New Roman" w:hAnsiTheme="minorHAnsi" w:cstheme="minorHAnsi"/>
              </w:rPr>
              <w:t>Establish two new state air quality area designations – “sustainment” and “reattainment” - to help areas avoid and more quickly end a federal nonattainment designation</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Areas that violate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are design</w:t>
            </w:r>
            <w:r w:rsidR="00481A98">
              <w:rPr>
                <w:rFonts w:ascii="Times New Roman" w:eastAsia="Times New Roman" w:hAnsi="Times New Roman" w:cs="Times New Roman"/>
              </w:rPr>
              <w:t>at</w:t>
            </w:r>
            <w:r w:rsidRPr="00133A57">
              <w:rPr>
                <w:rFonts w:ascii="Times New Roman" w:eastAsia="Times New Roman" w:hAnsi="Times New Roman" w:cs="Times New Roman"/>
              </w:rPr>
              <w:t>ed by EPA as “nonattainment” areas, while all other areas are designated as “attainment” or “unclassifiable” areas. Under current Oregon law, former nonattainment areas that are reclassified by EPA to attainment are designated as “maintenance” areas to ensure that they avoid future violations</w:t>
            </w:r>
            <w:r w:rsidR="00510B7C">
              <w:rPr>
                <w:rFonts w:ascii="Times New Roman" w:eastAsia="Times New Roman" w:hAnsi="Times New Roman" w:cs="Times New Roman"/>
              </w:rPr>
              <w:t xml:space="preserve">. </w:t>
            </w:r>
            <w:r w:rsidRPr="00133A57">
              <w:rPr>
                <w:rFonts w:ascii="Times New Roman" w:eastAsia="Times New Roman" w:hAnsi="Times New Roman" w:cs="Times New Roman"/>
              </w:rPr>
              <w:t>However, there are gaps in this designation system that can create disincentives to improve air quality and unnecessary impediments to economic development.</w:t>
            </w:r>
          </w:p>
          <w:p w:rsidR="00B01263" w:rsidRDefault="00B01263" w:rsidP="00440560">
            <w:pPr>
              <w:pStyle w:val="ListParagraph"/>
              <w:ind w:left="0" w:right="18"/>
              <w:outlineLvl w:val="0"/>
              <w:rPr>
                <w:rFonts w:ascii="Times New Roman" w:eastAsia="Times New Roman" w:hAnsi="Times New Roman" w:cs="Times New Roman"/>
              </w:rPr>
            </w:pPr>
          </w:p>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w:t>
            </w:r>
            <w:r w:rsidRPr="00133A57">
              <w:rPr>
                <w:rFonts w:ascii="Times New Roman" w:eastAsia="Times New Roman" w:hAnsi="Times New Roman" w:cs="Times New Roman"/>
              </w:rPr>
              <w:lastRenderedPageBreak/>
              <w:t xml:space="preserve">Designating these areas as nonattainment may be appropriate in some cases, but in other cases a nonattainment designation could interfere with more effective local </w:t>
            </w:r>
            <w:r w:rsidR="00F272E9" w:rsidRPr="00133A57">
              <w:rPr>
                <w:rFonts w:ascii="Times New Roman" w:eastAsia="Times New Roman" w:hAnsi="Times New Roman" w:cs="Times New Roman"/>
              </w:rPr>
              <w:t>efforts to improve air quality by imposing prescriptive federal requirements and timelines.</w:t>
            </w:r>
          </w:p>
          <w:p w:rsidR="00B01263" w:rsidRDefault="00B01263" w:rsidP="00440560">
            <w:pPr>
              <w:pStyle w:val="ListParagraph"/>
              <w:ind w:left="0" w:right="18"/>
              <w:outlineLvl w:val="0"/>
              <w:rPr>
                <w:rFonts w:ascii="Times New Roman" w:eastAsia="Times New Roman" w:hAnsi="Times New Roman" w:cs="Times New Roman"/>
              </w:rPr>
            </w:pPr>
          </w:p>
          <w:p w:rsidR="00B01263" w:rsidRPr="00440560" w:rsidRDefault="00F272E9"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 second gap is for nonattainment areas that have met federal </w:t>
            </w:r>
            <w:r w:rsidR="00516C2F">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standards by implementing an approved attainment plan. For these areas to be designated </w:t>
            </w:r>
            <w:r w:rsidR="00CE4DBC" w:rsidRPr="00133A57">
              <w:rPr>
                <w:rFonts w:ascii="Times New Roman" w:eastAsia="Times New Roman" w:hAnsi="Times New Roman" w:cs="Times New Roman"/>
              </w:rPr>
              <w:t xml:space="preserve">as federal attainment areas and state </w:t>
            </w:r>
            <w:r w:rsidR="005A08B2" w:rsidRPr="00133A57">
              <w:rPr>
                <w:rFonts w:ascii="Times New Roman" w:eastAsia="Times New Roman" w:hAnsi="Times New Roman" w:cs="Times New Roman"/>
              </w:rPr>
              <w:t>mainten</w:t>
            </w:r>
            <w:r w:rsidR="005A08B2">
              <w:rPr>
                <w:rFonts w:ascii="Times New Roman" w:eastAsia="Times New Roman" w:hAnsi="Times New Roman" w:cs="Times New Roman"/>
              </w:rPr>
              <w:t>an</w:t>
            </w:r>
            <w:r w:rsidR="005A08B2" w:rsidRPr="00133A57">
              <w:rPr>
                <w:rFonts w:ascii="Times New Roman" w:eastAsia="Times New Roman" w:hAnsi="Times New Roman" w:cs="Times New Roman"/>
              </w:rPr>
              <w:t>ce</w:t>
            </w:r>
            <w:r w:rsidR="00CE4DBC" w:rsidRPr="00133A57">
              <w:rPr>
                <w:rFonts w:ascii="Times New Roman" w:eastAsia="Times New Roman" w:hAnsi="Times New Roman" w:cs="Times New Roman"/>
              </w:rPr>
              <w:t xml:space="preserve"> areas, </w:t>
            </w:r>
            <w:r w:rsidRPr="00133A57">
              <w:rPr>
                <w:rFonts w:ascii="Times New Roman" w:eastAsia="Times New Roman" w:hAnsi="Times New Roman" w:cs="Times New Roman"/>
              </w:rPr>
              <w:t xml:space="preserve">DEQ must develop and EPA must approve a long-term air quality maintenance plan. </w:t>
            </w:r>
            <w:r w:rsidR="00CE4DBC" w:rsidRPr="00133A57">
              <w:rPr>
                <w:rFonts w:ascii="Times New Roman" w:eastAsia="Times New Roman" w:hAnsi="Times New Roman" w:cs="Times New Roman"/>
              </w:rPr>
              <w:t>In developing the maintenance plan, DEQ may determine that some elements of the attainment plan are no longer required to maintain air quality. However, u</w:t>
            </w:r>
            <w:r w:rsidR="003519E1" w:rsidRPr="00133A57">
              <w:rPr>
                <w:rFonts w:ascii="Times New Roman" w:eastAsia="Times New Roman" w:hAnsi="Times New Roman" w:cs="Times New Roman"/>
              </w:rPr>
              <w:t>ntil the area is redesignated to attainment by EPA</w:t>
            </w:r>
            <w:r w:rsidR="00CE4DBC" w:rsidRPr="00133A57">
              <w:rPr>
                <w:rFonts w:ascii="Times New Roman" w:eastAsia="Times New Roman" w:hAnsi="Times New Roman" w:cs="Times New Roman"/>
              </w:rPr>
              <w:t xml:space="preserve"> – a </w:t>
            </w:r>
            <w:r w:rsidR="003519E1" w:rsidRPr="00133A57">
              <w:rPr>
                <w:rFonts w:ascii="Times New Roman" w:eastAsia="Times New Roman" w:hAnsi="Times New Roman" w:cs="Times New Roman"/>
              </w:rPr>
              <w:t>process that can take years</w:t>
            </w:r>
            <w:r w:rsidR="00CE4DBC" w:rsidRPr="00133A57">
              <w:rPr>
                <w:rFonts w:ascii="Times New Roman" w:eastAsia="Times New Roman" w:hAnsi="Times New Roman" w:cs="Times New Roman"/>
              </w:rPr>
              <w:t xml:space="preserve"> – all of the </w:t>
            </w:r>
            <w:r w:rsidR="003519E1" w:rsidRPr="00133A57">
              <w:rPr>
                <w:rFonts w:ascii="Times New Roman" w:eastAsia="Times New Roman" w:hAnsi="Times New Roman" w:cs="Times New Roman"/>
              </w:rPr>
              <w:t xml:space="preserve">elements of the attainment plan </w:t>
            </w:r>
            <w:r w:rsidR="00CE4DBC" w:rsidRPr="00133A57">
              <w:rPr>
                <w:rFonts w:ascii="Times New Roman" w:eastAsia="Times New Roman" w:hAnsi="Times New Roman" w:cs="Times New Roman"/>
              </w:rPr>
              <w:t>must continue to be implemented</w:t>
            </w:r>
            <w:r w:rsidR="00510B7C">
              <w:rPr>
                <w:rFonts w:ascii="Times New Roman" w:eastAsia="Times New Roman" w:hAnsi="Times New Roman" w:cs="Times New Roman"/>
              </w:rPr>
              <w:t xml:space="preserve">. </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How would the proposed rule solve the problem?</w:t>
            </w:r>
          </w:p>
        </w:tc>
        <w:tc>
          <w:tcPr>
            <w:tcW w:w="8280" w:type="dxa"/>
            <w:tcBorders>
              <w:bottom w:val="dotted" w:sz="4" w:space="0" w:color="auto"/>
            </w:tcBorders>
            <w:shd w:val="clear" w:color="auto" w:fill="auto"/>
          </w:tcPr>
          <w:p w:rsidR="00A040A2"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to add two new state-only classifications to fill the gaps in the current classification system – “sustainment” and “reattainment” areas. </w:t>
            </w:r>
            <w:r w:rsidR="00A040A2" w:rsidRPr="00133A57">
              <w:rPr>
                <w:rFonts w:ascii="Times New Roman" w:eastAsia="Times New Roman" w:hAnsi="Times New Roman" w:cs="Times New Roman"/>
              </w:rPr>
              <w:t>These classifications would provide communities and businesses with additional tools and incentives to improve air quality.</w:t>
            </w:r>
          </w:p>
          <w:p w:rsidR="00440560" w:rsidRPr="00133A57" w:rsidRDefault="00440560" w:rsidP="00F90FEF">
            <w:pPr>
              <w:pStyle w:val="ListParagraph"/>
              <w:ind w:left="0" w:right="14"/>
              <w:outlineLvl w:val="0"/>
              <w:rPr>
                <w:rFonts w:ascii="Times New Roman" w:eastAsia="Times New Roman" w:hAnsi="Times New Roman" w:cs="Times New Roman"/>
              </w:rPr>
            </w:pPr>
          </w:p>
          <w:p w:rsidR="0051019C" w:rsidRPr="00133A57"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w:t>
            </w:r>
            <w:r w:rsidR="00A040A2" w:rsidRPr="00133A57">
              <w:rPr>
                <w:rFonts w:ascii="Times New Roman" w:eastAsia="Times New Roman" w:hAnsi="Times New Roman" w:cs="Times New Roman"/>
              </w:rPr>
              <w:t xml:space="preserve">a local air quality analysis, </w:t>
            </w:r>
            <w:r w:rsidRPr="00133A57">
              <w:rPr>
                <w:rFonts w:ascii="Times New Roman" w:eastAsia="Times New Roman" w:hAnsi="Times New Roman" w:cs="Times New Roman"/>
              </w:rPr>
              <w:t>DEQ recommendations and public comment, EQC would designate specific areas of the state as s</w:t>
            </w:r>
            <w:r w:rsidR="00A040A2" w:rsidRPr="00133A57">
              <w:rPr>
                <w:rFonts w:ascii="Times New Roman" w:eastAsia="Times New Roman" w:hAnsi="Times New Roman" w:cs="Times New Roman"/>
              </w:rPr>
              <w:t>ustainment or reattainment</w:t>
            </w:r>
            <w:r w:rsidRPr="00133A57">
              <w:rPr>
                <w:rFonts w:ascii="Times New Roman" w:eastAsia="Times New Roman" w:hAnsi="Times New Roman" w:cs="Times New Roman"/>
              </w:rPr>
              <w:t>. DEQ would recommend a state sustainment area designation for a federal attainment area that is approaching or over federal air quality standards but is not yet designated as nonattainment by EPA. DEQ would recommend a</w:t>
            </w:r>
            <w:r w:rsidR="00734D35">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p w:rsidR="0051019C" w:rsidRPr="00133A57" w:rsidRDefault="0051019C" w:rsidP="00F90FEF">
            <w:pPr>
              <w:pStyle w:val="ListParagraph"/>
              <w:ind w:left="0" w:right="14"/>
              <w:outlineLvl w:val="0"/>
              <w:rPr>
                <w:rFonts w:ascii="Times New Roman" w:eastAsia="Times New Roman" w:hAnsi="Times New Roman" w:cs="Times New Roman"/>
              </w:rPr>
            </w:pPr>
          </w:p>
          <w:p w:rsidR="00133A57" w:rsidRPr="00133A57" w:rsidRDefault="00533497" w:rsidP="00F90FEF">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784187" w:rsidRPr="00133A57" w:rsidRDefault="0042395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prevent a nonattainment designation. </w:t>
            </w:r>
            <w:r w:rsidR="00494995" w:rsidRPr="00133A57">
              <w:rPr>
                <w:rFonts w:ascii="Times New Roman" w:eastAsia="Times New Roman" w:hAnsi="Times New Roman" w:cs="Times New Roman"/>
              </w:rPr>
              <w:t xml:space="preserve">DEQ would identify potential sustainment areas based on an air quality analysis that may include monitoring, development of an emission inventory, and air quality modeling. </w:t>
            </w:r>
            <w:r w:rsidRPr="00133A57">
              <w:rPr>
                <w:rFonts w:ascii="Times New Roman" w:eastAsia="Times New Roman" w:hAnsi="Times New Roman" w:cs="Times New Roman"/>
              </w:rPr>
              <w:t xml:space="preserve">The analysis would identify the air pollution sources that primarily contribute to public health concerns, and a boundary for the potential sustainment area. </w:t>
            </w:r>
            <w:r w:rsidR="00784187" w:rsidRPr="00133A57">
              <w:rPr>
                <w:rFonts w:ascii="Times New Roman" w:eastAsia="Times New Roman" w:hAnsi="Times New Roman" w:cs="Times New Roman"/>
              </w:rPr>
              <w:t>DEQ would then propose the sustainment designation for public comment through the rulemaking process.</w:t>
            </w:r>
          </w:p>
          <w:p w:rsidR="00784187" w:rsidRPr="00133A57" w:rsidRDefault="00784187" w:rsidP="00F90FEF">
            <w:pPr>
              <w:pStyle w:val="ListParagraph"/>
              <w:ind w:left="0" w:right="14"/>
              <w:outlineLvl w:val="0"/>
              <w:rPr>
                <w:rFonts w:ascii="Times New Roman" w:eastAsia="Times New Roman" w:hAnsi="Times New Roman" w:cs="Times New Roman"/>
              </w:rPr>
            </w:pPr>
          </w:p>
          <w:p w:rsidR="00A040A2" w:rsidRPr="00133A57" w:rsidRDefault="0078418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w:t>
            </w:r>
            <w:r w:rsidR="00A040A2" w:rsidRPr="00133A57">
              <w:rPr>
                <w:rFonts w:ascii="Times New Roman" w:eastAsia="Times New Roman" w:hAnsi="Times New Roman" w:cs="Times New Roman"/>
              </w:rPr>
              <w:t xml:space="preserve">and implement </w:t>
            </w:r>
            <w:r w:rsidRPr="00133A57">
              <w:rPr>
                <w:rFonts w:ascii="Times New Roman" w:eastAsia="Times New Roman" w:hAnsi="Times New Roman" w:cs="Times New Roman"/>
              </w:rPr>
              <w:t xml:space="preserve">a </w:t>
            </w:r>
            <w:r w:rsidR="00A040A2" w:rsidRPr="00133A57">
              <w:rPr>
                <w:rFonts w:ascii="Times New Roman" w:eastAsia="Times New Roman" w:hAnsi="Times New Roman" w:cs="Times New Roman"/>
              </w:rPr>
              <w:t xml:space="preserve">sustainment plan to improve air quality and prevent a nonattainment designation. Within a sustainment area, new and modified facilities would receive incentives to obtain emission </w:t>
            </w:r>
            <w:r w:rsidR="005A08B2" w:rsidRPr="00133A57">
              <w:rPr>
                <w:rFonts w:ascii="Times New Roman" w:eastAsia="Times New Roman" w:hAnsi="Times New Roman" w:cs="Times New Roman"/>
              </w:rPr>
              <w:t>offsets</w:t>
            </w:r>
            <w:r w:rsidR="00A040A2" w:rsidRPr="00133A57">
              <w:rPr>
                <w:rFonts w:ascii="Times New Roman" w:eastAsia="Times New Roman" w:hAnsi="Times New Roman" w:cs="Times New Roman"/>
              </w:rPr>
              <w:t xml:space="preserve"> from the existing air pollution sources identified as the primary cause of degraded air quality </w:t>
            </w:r>
            <w:r w:rsidR="00184FA3">
              <w:rPr>
                <w:rFonts w:ascii="Times New Roman" w:eastAsia="Times New Roman" w:hAnsi="Times New Roman" w:cs="Times New Roman"/>
              </w:rPr>
              <w:t>in</w:t>
            </w:r>
            <w:r w:rsidR="00184FA3" w:rsidRPr="00133A57">
              <w:rPr>
                <w:rFonts w:ascii="Times New Roman" w:eastAsia="Times New Roman" w:hAnsi="Times New Roman" w:cs="Times New Roman"/>
              </w:rPr>
              <w:t xml:space="preserve"> the sustainment area </w:t>
            </w:r>
            <w:r w:rsidR="00A040A2" w:rsidRPr="00133A57">
              <w:rPr>
                <w:rFonts w:ascii="Times New Roman" w:eastAsia="Times New Roman" w:hAnsi="Times New Roman" w:cs="Times New Roman"/>
              </w:rPr>
              <w:t>(see section 6 below).</w:t>
            </w:r>
          </w:p>
          <w:p w:rsidR="00A040A2" w:rsidRPr="00133A57" w:rsidRDefault="00A040A2" w:rsidP="00F90FEF">
            <w:pPr>
              <w:pStyle w:val="ListParagraph"/>
              <w:ind w:left="0" w:right="14"/>
              <w:outlineLvl w:val="0"/>
              <w:rPr>
                <w:rFonts w:ascii="Times New Roman" w:eastAsia="Times New Roman" w:hAnsi="Times New Roman" w:cs="Times New Roman"/>
              </w:rPr>
            </w:pPr>
          </w:p>
          <w:p w:rsidR="0051019C" w:rsidRPr="00133A57" w:rsidRDefault="00533497" w:rsidP="00F90FEF">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lastRenderedPageBreak/>
              <w:t>Reattainment areas:</w:t>
            </w:r>
          </w:p>
          <w:p w:rsidR="00377170" w:rsidRDefault="00591241" w:rsidP="00F90FEF">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007F02B6" w:rsidRPr="00133A57">
              <w:rPr>
                <w:rFonts w:ascii="Times New Roman" w:eastAsia="Times New Roman" w:hAnsi="Times New Roman" w:cs="Times New Roman"/>
              </w:rPr>
              <w:t xml:space="preserve"> state </w:t>
            </w:r>
            <w:r w:rsidR="007F02B6">
              <w:rPr>
                <w:rFonts w:ascii="Times New Roman" w:eastAsia="Times New Roman" w:hAnsi="Times New Roman" w:cs="Times New Roman"/>
              </w:rPr>
              <w:t xml:space="preserve">reattainment </w:t>
            </w:r>
            <w:r w:rsidR="007F02B6" w:rsidRPr="00133A57">
              <w:rPr>
                <w:rFonts w:ascii="Times New Roman" w:eastAsia="Times New Roman" w:hAnsi="Times New Roman" w:cs="Times New Roman"/>
              </w:rPr>
              <w:t>designation</w:t>
            </w:r>
            <w:r w:rsidR="007F02B6">
              <w:rPr>
                <w:rFonts w:ascii="Times New Roman" w:eastAsia="Times New Roman" w:hAnsi="Times New Roman" w:cs="Times New Roman"/>
              </w:rPr>
              <w:t xml:space="preserve"> for a</w:t>
            </w:r>
            <w:r w:rsidR="00133A57">
              <w:rPr>
                <w:rFonts w:ascii="Times New Roman" w:eastAsia="Times New Roman" w:hAnsi="Times New Roman" w:cs="Times New Roman"/>
              </w:rPr>
              <w:t xml:space="preserve"> federal </w:t>
            </w:r>
            <w:r w:rsidR="005A08B2">
              <w:rPr>
                <w:rFonts w:ascii="Times New Roman" w:eastAsia="Times New Roman" w:hAnsi="Times New Roman" w:cs="Times New Roman"/>
              </w:rPr>
              <w:t>nonattainment</w:t>
            </w:r>
            <w:r w:rsidR="00133A57">
              <w:rPr>
                <w:rFonts w:ascii="Times New Roman" w:eastAsia="Times New Roman" w:hAnsi="Times New Roman" w:cs="Times New Roman"/>
              </w:rPr>
              <w:t xml:space="preserve"> area with an approved attainment plan </w:t>
            </w:r>
            <w:r w:rsidR="007F02B6">
              <w:rPr>
                <w:rFonts w:ascii="Times New Roman" w:eastAsia="Times New Roman" w:hAnsi="Times New Roman" w:cs="Times New Roman"/>
              </w:rPr>
              <w:t xml:space="preserve">in which air quality is reliably meeting the federal </w:t>
            </w:r>
            <w:r w:rsidR="00516C2F">
              <w:rPr>
                <w:rFonts w:ascii="Times New Roman" w:eastAsia="Times New Roman" w:hAnsi="Times New Roman" w:cs="Times New Roman"/>
              </w:rPr>
              <w:t xml:space="preserve">ambient </w:t>
            </w:r>
            <w:r w:rsidR="007F02B6">
              <w:rPr>
                <w:rFonts w:ascii="Times New Roman" w:eastAsia="Times New Roman" w:hAnsi="Times New Roman" w:cs="Times New Roman"/>
              </w:rPr>
              <w:t xml:space="preserve">air quality standard. The potential for a reattainment area designation would create an incentive for a community to improve air quality as quickly as possible. </w:t>
            </w:r>
            <w:r>
              <w:rPr>
                <w:rFonts w:ascii="Times New Roman" w:eastAsia="Times New Roman" w:hAnsi="Times New Roman" w:cs="Times New Roman"/>
              </w:rPr>
              <w:t xml:space="preserve">The boundary for the reattainment area would be the same as the nonattainment area boundary. </w:t>
            </w:r>
          </w:p>
          <w:p w:rsidR="007F02B6" w:rsidRDefault="007F02B6" w:rsidP="00F90FEF">
            <w:pPr>
              <w:ind w:left="0" w:right="14"/>
              <w:rPr>
                <w:rFonts w:ascii="Times New Roman" w:eastAsia="Times New Roman" w:hAnsi="Times New Roman" w:cs="Times New Roman"/>
              </w:rPr>
            </w:pPr>
          </w:p>
          <w:p w:rsidR="00133A57" w:rsidRPr="00133A57" w:rsidRDefault="007F02B6" w:rsidP="00F90FEF">
            <w:pPr>
              <w:ind w:left="0" w:right="14"/>
              <w:rPr>
                <w:rFonts w:asciiTheme="majorHAnsi" w:eastAsia="Times New Roman" w:hAnsiTheme="majorHAnsi" w:cstheme="majorHAnsi"/>
                <w:bCs/>
                <w:sz w:val="20"/>
                <w:szCs w:val="20"/>
              </w:rPr>
            </w:pPr>
            <w:r>
              <w:rPr>
                <w:rFonts w:ascii="Times New Roman" w:eastAsia="Times New Roman" w:hAnsi="Times New Roman" w:cs="Times New Roman"/>
              </w:rPr>
              <w:t>An area designated as reattainment by EQC would remain a federal nonattainment area, and all elements of its attainment plan would continue to apply until EPA approves a maintenance plan and redesignates the area to attainment. However, within the r</w:t>
            </w:r>
            <w:r w:rsidR="00591241">
              <w:rPr>
                <w:rFonts w:ascii="Times New Roman" w:eastAsia="Times New Roman" w:hAnsi="Times New Roman" w:cs="Times New Roman"/>
              </w:rPr>
              <w:t>eattainment area, new and modified facilities that fall below the federal major source threshold would be subject to less stringent requirements provided they were not identified as a primary cause of air quality violations in the attainment plan (see section 6 below).</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591241">
            <w:pPr>
              <w:pStyle w:val="ListParagraph"/>
              <w:keepNext/>
              <w:keepLines/>
              <w:numPr>
                <w:ilvl w:val="0"/>
                <w:numId w:val="18"/>
              </w:numPr>
              <w:ind w:right="14"/>
            </w:pPr>
            <w:r>
              <w:rPr>
                <w:rFonts w:asciiTheme="minorHAnsi" w:eastAsia="Times New Roman" w:hAnsiTheme="minorHAnsi" w:cstheme="minorHAnsi"/>
              </w:rPr>
              <w:lastRenderedPageBreak/>
              <w:t>Identify</w:t>
            </w:r>
            <w:r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tc>
      </w:tr>
      <w:tr w:rsidR="00E14911" w:rsidRPr="00E14911" w:rsidTr="00F90FEF">
        <w:trPr>
          <w:trHeight w:val="500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7A5842" w:rsidRDefault="00E14911" w:rsidP="00F90FEF">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air quality in Lakeview is currently </w:t>
            </w:r>
            <w:r w:rsidR="007A5842">
              <w:rPr>
                <w:rFonts w:ascii="Times New Roman" w:eastAsia="Times New Roman" w:hAnsi="Times New Roman" w:cs="Times New Roman"/>
              </w:rPr>
              <w:t>violating</w:t>
            </w:r>
            <w:r>
              <w:rPr>
                <w:rFonts w:ascii="Times New Roman" w:eastAsia="Times New Roman" w:hAnsi="Times New Roman" w:cs="Times New Roman"/>
              </w:rPr>
              <w:t xml:space="preserve">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w:t>
            </w:r>
            <w:r w:rsidR="007A5842">
              <w:rPr>
                <w:rFonts w:ascii="Times New Roman" w:eastAsia="Times New Roman" w:hAnsi="Times New Roman" w:cs="Times New Roman"/>
              </w:rPr>
              <w:t xml:space="preserve">although </w:t>
            </w:r>
            <w:r>
              <w:rPr>
                <w:rFonts w:ascii="Times New Roman" w:eastAsia="Times New Roman" w:hAnsi="Times New Roman" w:cs="Times New Roman"/>
              </w:rPr>
              <w:t xml:space="preserve">the area </w:t>
            </w:r>
            <w:r w:rsidR="007A5842">
              <w:rPr>
                <w:rFonts w:ascii="Times New Roman" w:eastAsia="Times New Roman" w:hAnsi="Times New Roman" w:cs="Times New Roman"/>
              </w:rPr>
              <w:t xml:space="preserve">has not yet been </w:t>
            </w:r>
            <w:r>
              <w:rPr>
                <w:rFonts w:ascii="Times New Roman" w:eastAsia="Times New Roman" w:hAnsi="Times New Roman" w:cs="Times New Roman"/>
              </w:rPr>
              <w:t xml:space="preserve">designated </w:t>
            </w:r>
            <w:r w:rsidR="007A5842">
              <w:rPr>
                <w:rFonts w:ascii="Times New Roman" w:eastAsia="Times New Roman" w:hAnsi="Times New Roman" w:cs="Times New Roman"/>
              </w:rPr>
              <w:t xml:space="preserve">by EPA </w:t>
            </w:r>
            <w:r>
              <w:rPr>
                <w:rFonts w:ascii="Times New Roman" w:eastAsia="Times New Roman" w:hAnsi="Times New Roman" w:cs="Times New Roman"/>
              </w:rPr>
              <w:t>as nonattainment</w:t>
            </w:r>
            <w:r w:rsidR="007A5842">
              <w:rPr>
                <w:rFonts w:ascii="Times New Roman" w:eastAsia="Times New Roman" w:hAnsi="Times New Roman" w:cs="Times New Roman"/>
              </w:rPr>
              <w:t>. This is because DEQ did not have the required three years of monitoring data to determine if the area was violating the federal standards at the time designations were last required. The community is voluntarily participating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p>
          <w:p w:rsidR="002D31BC" w:rsidRDefault="002D31BC" w:rsidP="00F90FEF">
            <w:pPr>
              <w:keepNext/>
              <w:keepLines/>
              <w:ind w:left="0" w:right="14"/>
              <w:rPr>
                <w:rFonts w:ascii="Times New Roman" w:eastAsia="Times New Roman" w:hAnsi="Times New Roman" w:cs="Times New Roman"/>
              </w:rPr>
            </w:pPr>
          </w:p>
          <w:p w:rsidR="00E14911" w:rsidRPr="00E14911" w:rsidRDefault="007A5842" w:rsidP="00F90FEF">
            <w:pPr>
              <w:keepNext/>
              <w:keepLines/>
              <w:ind w:left="0" w:right="14"/>
              <w:rPr>
                <w:rFonts w:asciiTheme="majorHAnsi" w:eastAsia="Times New Roman" w:hAnsiTheme="majorHAnsi" w:cstheme="majorHAnsi"/>
                <w:bCs/>
                <w:sz w:val="20"/>
                <w:szCs w:val="20"/>
              </w:rPr>
            </w:pPr>
            <w:r>
              <w:rPr>
                <w:rFonts w:ascii="Times New Roman" w:eastAsia="Times New Roman" w:hAnsi="Times New Roman" w:cs="Times New Roman"/>
              </w:rPr>
              <w:t xml:space="preserve">However, </w:t>
            </w:r>
            <w:r w:rsidR="00E86786">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would the proposed rule solve the problem?</w:t>
            </w:r>
          </w:p>
        </w:tc>
        <w:tc>
          <w:tcPr>
            <w:tcW w:w="8280" w:type="dxa"/>
            <w:tcBorders>
              <w:bottom w:val="dotted" w:sz="4" w:space="0" w:color="auto"/>
            </w:tcBorders>
            <w:shd w:val="clear" w:color="auto" w:fill="auto"/>
          </w:tcPr>
          <w:p w:rsidR="002D31BC" w:rsidRDefault="00E14911" w:rsidP="002D31BC">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sidR="00E86786">
              <w:rPr>
                <w:rFonts w:ascii="Times New Roman" w:eastAsia="Times New Roman" w:hAnsi="Times New Roman" w:cs="Times New Roman"/>
              </w:rPr>
              <w:t xml:space="preserve">designate Lakeview as a </w:t>
            </w:r>
            <w:r w:rsidR="005D3D5A">
              <w:rPr>
                <w:rFonts w:ascii="Times New Roman" w:eastAsia="Times New Roman" w:hAnsi="Times New Roman" w:cs="Times New Roman"/>
              </w:rPr>
              <w:t xml:space="preserve">state </w:t>
            </w:r>
            <w:r w:rsidR="00E86786">
              <w:rPr>
                <w:rFonts w:ascii="Times New Roman" w:eastAsia="Times New Roman" w:hAnsi="Times New Roman" w:cs="Times New Roman"/>
              </w:rPr>
              <w:t xml:space="preserve">sustainment area, which is a new area classification proposed to be created as part of this rulemaking (see section 4 above). </w:t>
            </w:r>
            <w:r w:rsidR="005D3D5A">
              <w:rPr>
                <w:rFonts w:ascii="Times New Roman" w:eastAsia="Times New Roman" w:hAnsi="Times New Roman" w:cs="Times New Roman"/>
              </w:rPr>
              <w:t>While Lakeview would retain its federal designation as an attainment area, a state designation of sustainment would help the community in its efforts to improve air quality and avoid a federal nonattainment designation.</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The PM Advance plan currently being developed </w:t>
            </w:r>
            <w:r w:rsidR="00083CF4">
              <w:rPr>
                <w:rFonts w:ascii="Times New Roman" w:eastAsia="Times New Roman" w:hAnsi="Times New Roman" w:cs="Times New Roman"/>
              </w:rPr>
              <w:t>outside of the rulemaking process</w:t>
            </w:r>
            <w:r>
              <w:rPr>
                <w:rFonts w:ascii="Times New Roman" w:eastAsia="Times New Roman" w:hAnsi="Times New Roman" w:cs="Times New Roman"/>
              </w:rPr>
              <w:t xml:space="preserve"> </w:t>
            </w:r>
            <w:r w:rsidR="00296948" w:rsidRPr="00296948">
              <w:rPr>
                <w:rFonts w:ascii="Times New Roman" w:eastAsia="Times New Roman" w:hAnsi="Times New Roman" w:cs="Times New Roman"/>
              </w:rPr>
              <w:t>will address all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emission sources, including residential wood stoves and open burning.  DEQ believes that the proposed rules for Sustainment Areas could be </w:t>
            </w:r>
            <w:r w:rsidR="00296948" w:rsidRPr="00296948">
              <w:rPr>
                <w:rFonts w:ascii="Times New Roman" w:eastAsia="Times New Roman" w:hAnsi="Times New Roman" w:cs="Times New Roman"/>
              </w:rPr>
              <w:lastRenderedPageBreak/>
              <w:t xml:space="preserve">incorporated into the PM Advance Plan to specifically address stationary sources within the Lakeview area. </w:t>
            </w:r>
            <w:r>
              <w:rPr>
                <w:rFonts w:ascii="Times New Roman" w:eastAsia="Times New Roman" w:hAnsi="Times New Roman" w:cs="Times New Roman"/>
              </w:rPr>
              <w:t xml:space="preserve">New and expanding businesses that fall below the federal major source threshold of 250 tons/year of particulate </w:t>
            </w:r>
            <w:r w:rsidR="00195027">
              <w:rPr>
                <w:rFonts w:ascii="Times New Roman" w:eastAsia="Times New Roman" w:hAnsi="Times New Roman" w:cs="Times New Roman"/>
              </w:rPr>
              <w:t xml:space="preserve">matter </w:t>
            </w:r>
            <w:r w:rsidR="00B10DC9">
              <w:rPr>
                <w:rFonts w:ascii="Times New Roman" w:eastAsia="Times New Roman" w:hAnsi="Times New Roman" w:cs="Times New Roman"/>
              </w:rPr>
              <w:t>c</w:t>
            </w:r>
            <w:r w:rsidR="00CD5294">
              <w:rPr>
                <w:rFonts w:ascii="Times New Roman" w:eastAsia="Times New Roman" w:hAnsi="Times New Roman" w:cs="Times New Roman"/>
              </w:rPr>
              <w:t xml:space="preserve">ould be permitted by obtaining offsets (see section 6 below). The offset requirement would be lowered for businesses that obtain offsets from residential wood heating, which is the primary cause of air quality violations in Lakeview. </w:t>
            </w:r>
          </w:p>
          <w:p w:rsidR="002D31BC" w:rsidRDefault="002D31BC" w:rsidP="002D31BC">
            <w:pPr>
              <w:ind w:left="0" w:right="14"/>
              <w:rPr>
                <w:rFonts w:ascii="Times New Roman" w:eastAsia="Times New Roman" w:hAnsi="Times New Roman" w:cs="Times New Roman"/>
              </w:rPr>
            </w:pPr>
          </w:p>
          <w:p w:rsidR="00E14911" w:rsidRPr="00CD5294" w:rsidRDefault="005D3D5A" w:rsidP="002A7A5F">
            <w:pPr>
              <w:spacing w:after="120"/>
              <w:ind w:left="0" w:right="18"/>
              <w:rPr>
                <w:rFonts w:ascii="Times New Roman" w:eastAsia="Times New Roman" w:hAnsi="Times New Roman" w:cs="Times New Roman"/>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r w:rsidR="00533497" w:rsidRPr="00195027">
              <w:rPr>
                <w:rFonts w:ascii="Times New Roman" w:eastAsia="Times New Roman" w:hAnsi="Times New Roman" w:cs="Times New Roman"/>
              </w:rPr>
              <w:t xml:space="preserve">Attachment </w:t>
            </w:r>
            <w:r w:rsidR="002A7A5F">
              <w:rPr>
                <w:rFonts w:ascii="Times New Roman" w:eastAsia="Times New Roman" w:hAnsi="Times New Roman" w:cs="Times New Roman"/>
              </w:rPr>
              <w:t>A</w:t>
            </w:r>
            <w:r w:rsidR="00533497" w:rsidRPr="00195027">
              <w:rPr>
                <w:rFonts w:ascii="Times New Roman" w:eastAsia="Times New Roman" w:hAnsi="Times New Roman" w:cs="Times New Roman"/>
              </w:rPr>
              <w:t>.</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lastRenderedPageBreak/>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C1975">
        <w:trPr>
          <w:trHeight w:val="2744"/>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w:t>
            </w:r>
            <w:r w:rsidR="006B4488">
              <w:rPr>
                <w:rFonts w:ascii="Times New Roman" w:hAnsi="Times New Roman" w:cs="Times New Roman"/>
                <w:bCs/>
              </w:rPr>
              <w:t>federally-required</w:t>
            </w:r>
            <w:r w:rsidRPr="00E638D3">
              <w:rPr>
                <w:rFonts w:ascii="Times New Roman" w:hAnsi="Times New Roman" w:cs="Times New Roman"/>
                <w:bCs/>
              </w:rPr>
              <w:t xml:space="preserv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w:t>
            </w:r>
            <w:r w:rsidR="00E726E5">
              <w:rPr>
                <w:rFonts w:ascii="Times New Roman" w:hAnsi="Times New Roman" w:cs="Times New Roman"/>
                <w:bCs/>
              </w:rPr>
              <w:t xml:space="preserve">Prevention of Significant Deterioration portion of the </w:t>
            </w:r>
            <w:r w:rsidRPr="00E638D3">
              <w:rPr>
                <w:rFonts w:ascii="Times New Roman" w:hAnsi="Times New Roman" w:cs="Times New Roman"/>
                <w:bCs/>
              </w:rPr>
              <w:t xml:space="preserve">New Source Review program is designed to prevent </w:t>
            </w:r>
            <w:r w:rsidR="005A08B2">
              <w:rPr>
                <w:rFonts w:ascii="Times New Roman" w:hAnsi="Times New Roman" w:cs="Times New Roman"/>
                <w:bCs/>
              </w:rPr>
              <w:t>degradation</w:t>
            </w:r>
            <w:r w:rsidR="006B4488">
              <w:rPr>
                <w:rFonts w:ascii="Times New Roman" w:hAnsi="Times New Roman" w:cs="Times New Roman"/>
                <w:bCs/>
              </w:rPr>
              <w:t xml:space="preserve"> o</w:t>
            </w:r>
            <w:r w:rsidR="00195027">
              <w:rPr>
                <w:rFonts w:ascii="Times New Roman" w:hAnsi="Times New Roman" w:cs="Times New Roman"/>
                <w:bCs/>
              </w:rPr>
              <w:t>f air quality in areas that meet</w:t>
            </w:r>
            <w:r w:rsidR="006B4488">
              <w:rPr>
                <w:rFonts w:ascii="Times New Roman" w:hAnsi="Times New Roman" w:cs="Times New Roman"/>
                <w:bCs/>
              </w:rPr>
              <w:t xml:space="preserve"> federal air quality standards</w:t>
            </w:r>
            <w:r w:rsidR="00510B7C">
              <w:rPr>
                <w:rFonts w:ascii="Times New Roman" w:hAnsi="Times New Roman" w:cs="Times New Roman"/>
                <w:bCs/>
              </w:rPr>
              <w:t xml:space="preserve">. </w:t>
            </w:r>
            <w:r w:rsidR="00E726E5">
              <w:rPr>
                <w:rFonts w:ascii="Times New Roman" w:hAnsi="Times New Roman" w:cs="Times New Roman"/>
                <w:bCs/>
              </w:rPr>
              <w:t xml:space="preserve">The nonattainment New Source Review </w:t>
            </w:r>
            <w:r w:rsidR="00072E98">
              <w:rPr>
                <w:rFonts w:ascii="Times New Roman" w:hAnsi="Times New Roman" w:cs="Times New Roman"/>
                <w:bCs/>
              </w:rPr>
              <w:t>p</w:t>
            </w:r>
            <w:r w:rsidR="00E726E5">
              <w:rPr>
                <w:rFonts w:ascii="Times New Roman" w:hAnsi="Times New Roman" w:cs="Times New Roman"/>
                <w:bCs/>
              </w:rPr>
              <w:t xml:space="preserve">rogram is designed </w:t>
            </w:r>
            <w:r w:rsidR="00AB2CEA">
              <w:rPr>
                <w:rFonts w:ascii="Times New Roman" w:hAnsi="Times New Roman" w:cs="Times New Roman"/>
                <w:bCs/>
              </w:rPr>
              <w:t>to</w:t>
            </w:r>
            <w:r w:rsidR="00AB2CEA" w:rsidRPr="00E638D3">
              <w:rPr>
                <w:rFonts w:ascii="Times New Roman" w:hAnsi="Times New Roman" w:cs="Times New Roman"/>
                <w:bCs/>
              </w:rPr>
              <w:t xml:space="preserve"> </w:t>
            </w:r>
            <w:r w:rsidRPr="00E638D3">
              <w:rPr>
                <w:rFonts w:ascii="Times New Roman" w:hAnsi="Times New Roman" w:cs="Times New Roman"/>
                <w:bCs/>
              </w:rPr>
              <w:t xml:space="preserve">improve the air quality in </w:t>
            </w:r>
            <w:r w:rsidR="00E726E5">
              <w:rPr>
                <w:rFonts w:ascii="Times New Roman" w:hAnsi="Times New Roman" w:cs="Times New Roman"/>
                <w:bCs/>
              </w:rPr>
              <w:t xml:space="preserve">designated nonattainment </w:t>
            </w:r>
            <w:r w:rsidR="006B4488">
              <w:rPr>
                <w:rFonts w:ascii="Times New Roman" w:hAnsi="Times New Roman" w:cs="Times New Roman"/>
                <w:bCs/>
              </w:rPr>
              <w:t>areas that violate air quality standards</w:t>
            </w:r>
            <w:r w:rsidRPr="00E638D3">
              <w:rPr>
                <w:rFonts w:ascii="Times New Roman" w:hAnsi="Times New Roman" w:cs="Times New Roman"/>
                <w:bCs/>
              </w:rPr>
              <w:t xml:space="preserve">. </w:t>
            </w:r>
          </w:p>
          <w:p w:rsidR="0068367B" w:rsidRPr="00E638D3" w:rsidRDefault="0068367B" w:rsidP="0094178E">
            <w:pPr>
              <w:ind w:left="0" w:right="18"/>
              <w:rPr>
                <w:rFonts w:ascii="Times New Roman" w:hAnsi="Times New Roman" w:cs="Times New Roman"/>
                <w:bCs/>
              </w:rPr>
            </w:pPr>
          </w:p>
          <w:p w:rsidR="002A6E24" w:rsidRDefault="002A6E24" w:rsidP="0094178E">
            <w:pPr>
              <w:ind w:left="0" w:right="18"/>
              <w:rPr>
                <w:rFonts w:ascii="Times New Roman" w:hAnsi="Times New Roman" w:cs="Times New Roman"/>
                <w:bCs/>
              </w:rPr>
            </w:pPr>
            <w:r>
              <w:rPr>
                <w:rFonts w:ascii="Times New Roman" w:hAnsi="Times New Roman" w:cs="Times New Roman"/>
                <w:bCs/>
              </w:rPr>
              <w:t xml:space="preserve">One </w:t>
            </w:r>
            <w:r w:rsidRPr="002A6E24">
              <w:rPr>
                <w:rFonts w:ascii="Times New Roman" w:hAnsi="Times New Roman" w:cs="Times New Roman"/>
                <w:bCs/>
              </w:rPr>
              <w:t>problem with the current NSR program is that that the rules do not distinguish between requirements for facilities that emit more than the federal major source threshold and those that emit less</w:t>
            </w:r>
            <w:r w:rsidR="00510B7C">
              <w:rPr>
                <w:rFonts w:ascii="Times New Roman" w:hAnsi="Times New Roman" w:cs="Times New Roman"/>
                <w:bCs/>
              </w:rPr>
              <w:t xml:space="preserve">. </w:t>
            </w:r>
            <w:r w:rsidRPr="002A6E24">
              <w:rPr>
                <w:rFonts w:ascii="Times New Roman" w:hAnsi="Times New Roman" w:cs="Times New Roman"/>
                <w:bCs/>
              </w:rPr>
              <w:t>Federal law requires states to have both a major NSR program and a minor NSR program. The requirements for the major NSR program are very prescriptive, but states have more flexibility in designing the minor NSR program so long as the state demonstrates that it will protect air quality. In Oregon, the requirements for minor and major NSR are the same, which limits DEQ’s ability to use the minor NSR program in the most effective way to protect air quality while enabling economic development.</w:t>
            </w:r>
          </w:p>
          <w:p w:rsidR="002A6E24" w:rsidRDefault="002A6E24" w:rsidP="0094178E">
            <w:pPr>
              <w:ind w:left="0" w:right="18"/>
              <w:rPr>
                <w:rFonts w:ascii="Times New Roman" w:hAnsi="Times New Roman" w:cs="Times New Roman"/>
                <w:bCs/>
              </w:rPr>
            </w:pPr>
          </w:p>
          <w:p w:rsidR="0094178E" w:rsidRPr="00E638D3" w:rsidRDefault="002A6E24" w:rsidP="0094178E">
            <w:pPr>
              <w:ind w:left="0" w:right="18"/>
              <w:rPr>
                <w:rFonts w:ascii="Times New Roman" w:hAnsi="Times New Roman" w:cs="Times New Roman"/>
                <w:bCs/>
              </w:rPr>
            </w:pPr>
            <w:r>
              <w:rPr>
                <w:rFonts w:ascii="Times New Roman" w:hAnsi="Times New Roman" w:cs="Times New Roman"/>
                <w:bCs/>
              </w:rPr>
              <w:t>A</w:t>
            </w:r>
            <w:r w:rsidR="00E726E5">
              <w:rPr>
                <w:rFonts w:ascii="Times New Roman" w:hAnsi="Times New Roman" w:cs="Times New Roman"/>
                <w:bCs/>
              </w:rPr>
              <w:t xml:space="preserve"> </w:t>
            </w:r>
            <w:r>
              <w:rPr>
                <w:rFonts w:ascii="Times New Roman" w:hAnsi="Times New Roman" w:cs="Times New Roman"/>
                <w:bCs/>
              </w:rPr>
              <w:t xml:space="preserve">second </w:t>
            </w:r>
            <w:r w:rsidR="00E726E5">
              <w:rPr>
                <w:rFonts w:ascii="Times New Roman" w:hAnsi="Times New Roman" w:cs="Times New Roman"/>
                <w:bCs/>
              </w:rPr>
              <w:t>problem with the current NSR program has to do with the test DEQ uses to determine if a major new or modified facility will improve air quality in</w:t>
            </w:r>
            <w:r w:rsidR="002A246D">
              <w:rPr>
                <w:rFonts w:ascii="Times New Roman" w:hAnsi="Times New Roman" w:cs="Times New Roman"/>
                <w:bCs/>
              </w:rPr>
              <w:t xml:space="preserve"> or near</w:t>
            </w:r>
            <w:r w:rsidR="00E726E5">
              <w:rPr>
                <w:rFonts w:ascii="Times New Roman" w:hAnsi="Times New Roman" w:cs="Times New Roman"/>
                <w:bCs/>
              </w:rPr>
              <w:t xml:space="preserve"> a nonattainment</w:t>
            </w:r>
            <w:r w:rsidR="002A246D">
              <w:rPr>
                <w:rFonts w:ascii="Times New Roman" w:hAnsi="Times New Roman" w:cs="Times New Roman"/>
                <w:bCs/>
              </w:rPr>
              <w:t xml:space="preserve"> or maintenance</w:t>
            </w:r>
            <w:r w:rsidR="00E726E5">
              <w:rPr>
                <w:rFonts w:ascii="Times New Roman" w:hAnsi="Times New Roman" w:cs="Times New Roman"/>
                <w:bCs/>
              </w:rPr>
              <w:t xml:space="preserve"> area. These </w:t>
            </w:r>
            <w:r w:rsidR="005A08B2">
              <w:rPr>
                <w:rFonts w:ascii="Times New Roman" w:hAnsi="Times New Roman" w:cs="Times New Roman"/>
                <w:bCs/>
              </w:rPr>
              <w:t>businesses</w:t>
            </w:r>
            <w:r w:rsidR="00E726E5">
              <w:rPr>
                <w:rFonts w:ascii="Times New Roman" w:hAnsi="Times New Roman" w:cs="Times New Roman"/>
                <w:bCs/>
              </w:rPr>
              <w:t xml:space="preserve"> are required to reduce emissions from other existing businesses, and demonstrate that the emission increases and reductions together result in a net air quality benefit.</w:t>
            </w:r>
            <w:r w:rsidR="00BE5B6B" w:rsidRPr="00E638D3">
              <w:rPr>
                <w:rFonts w:ascii="Times New Roman" w:hAnsi="Times New Roman" w:cs="Times New Roman"/>
                <w:bCs/>
              </w:rPr>
              <w:t xml:space="preserve"> </w:t>
            </w:r>
            <w:r w:rsidR="007122C2">
              <w:rPr>
                <w:rFonts w:ascii="Times New Roman" w:hAnsi="Times New Roman" w:cs="Times New Roman"/>
                <w:bCs/>
              </w:rPr>
              <w:t xml:space="preserve">The current </w:t>
            </w:r>
            <w:r w:rsidR="00820F35" w:rsidRPr="00E638D3">
              <w:rPr>
                <w:rFonts w:ascii="Times New Roman" w:hAnsi="Times New Roman" w:cs="Times New Roman"/>
                <w:bCs/>
              </w:rPr>
              <w:t xml:space="preserve">criteria </w:t>
            </w:r>
            <w:r w:rsidR="00E726E5">
              <w:rPr>
                <w:rFonts w:ascii="Times New Roman" w:hAnsi="Times New Roman" w:cs="Times New Roman"/>
                <w:bCs/>
              </w:rPr>
              <w:t xml:space="preserve">for determining if the project results in a net air quality benefit </w:t>
            </w:r>
            <w:r w:rsidR="00820F35" w:rsidRPr="00E638D3">
              <w:rPr>
                <w:rFonts w:ascii="Times New Roman" w:hAnsi="Times New Roman" w:cs="Times New Roman"/>
                <w:bCs/>
              </w:rPr>
              <w:t>are</w:t>
            </w:r>
            <w:r w:rsidR="00BE5B6B" w:rsidRPr="00E638D3">
              <w:rPr>
                <w:rFonts w:ascii="Times New Roman" w:hAnsi="Times New Roman" w:cs="Times New Roman"/>
                <w:bCs/>
              </w:rPr>
              <w:t xml:space="preserve">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 local air pollution reduction projects from occurring and creates </w:t>
            </w:r>
            <w:r w:rsidR="00D91B85" w:rsidRPr="00E638D3">
              <w:rPr>
                <w:rFonts w:ascii="Times New Roman" w:hAnsi="Times New Roman" w:cs="Times New Roman"/>
                <w:bCs/>
              </w:rPr>
              <w:t xml:space="preserve">an unnecessary construction ban. </w:t>
            </w:r>
          </w:p>
          <w:p w:rsidR="0094178E" w:rsidRDefault="0094178E" w:rsidP="0094178E">
            <w:pPr>
              <w:ind w:left="0" w:right="18"/>
              <w:rPr>
                <w:rFonts w:ascii="Times New Roman" w:hAnsi="Times New Roman" w:cs="Times New Roman"/>
                <w:bCs/>
              </w:rPr>
            </w:pPr>
          </w:p>
          <w:p w:rsidR="006B0D45" w:rsidRPr="002A6E24" w:rsidRDefault="006B0D45" w:rsidP="00BC1975">
            <w:pPr>
              <w:ind w:left="0" w:right="18"/>
              <w:rPr>
                <w:rFonts w:ascii="Times New Roman" w:hAnsi="Times New Roman" w:cs="Times New Roman"/>
                <w:bCs/>
              </w:rPr>
            </w:pPr>
            <w:r>
              <w:rPr>
                <w:rFonts w:ascii="Times New Roman" w:hAnsi="Times New Roman" w:cs="Times New Roman"/>
                <w:bCs/>
              </w:rPr>
              <w:t xml:space="preserve">A </w:t>
            </w:r>
            <w:r w:rsidR="002A6E24">
              <w:rPr>
                <w:rFonts w:ascii="Times New Roman" w:hAnsi="Times New Roman" w:cs="Times New Roman"/>
                <w:bCs/>
              </w:rPr>
              <w:t>third</w:t>
            </w:r>
            <w:r>
              <w:rPr>
                <w:rFonts w:ascii="Times New Roman" w:hAnsi="Times New Roman" w:cs="Times New Roman"/>
                <w:bCs/>
              </w:rPr>
              <w:t xml:space="preserve"> problem with the current NSR program is that there are no criteria for approving or denying extensions of a construction permit if construction is delayed. In some cases, construction may be delayed for good cause, but air quality </w:t>
            </w:r>
            <w:r w:rsidR="000E493C">
              <w:rPr>
                <w:rFonts w:ascii="Times New Roman" w:hAnsi="Times New Roman" w:cs="Times New Roman"/>
                <w:bCs/>
              </w:rPr>
              <w:t xml:space="preserve">conditions and </w:t>
            </w:r>
            <w:r>
              <w:rPr>
                <w:rFonts w:ascii="Times New Roman" w:hAnsi="Times New Roman" w:cs="Times New Roman"/>
                <w:bCs/>
              </w:rPr>
              <w:t xml:space="preserve">requirements may have changed since the original construction permit was approved.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296CD3" w:rsidRDefault="002A246D" w:rsidP="00296CD3">
            <w:pPr>
              <w:ind w:left="0" w:right="18"/>
              <w:rPr>
                <w:rFonts w:ascii="Times New Roman" w:eastAsia="Times New Roman" w:hAnsi="Times New Roman" w:cs="Times New Roman"/>
              </w:rPr>
            </w:pPr>
            <w:r>
              <w:rPr>
                <w:rFonts w:ascii="Times New Roman" w:eastAsia="Times New Roman" w:hAnsi="Times New Roman" w:cs="Times New Roman"/>
              </w:rPr>
              <w:t>The proposed rules would distinguish requirements for new and proposed facilities that are above the federal major source threshold from requirements for those facilities below the federal major source threshold. To do this</w:t>
            </w:r>
            <w:r w:rsidR="0094178E" w:rsidRPr="00E638D3">
              <w:rPr>
                <w:rFonts w:ascii="Times New Roman" w:eastAsia="Times New Roman" w:hAnsi="Times New Roman" w:cs="Times New Roman"/>
              </w:rPr>
              <w:t xml:space="preserve">,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 xml:space="preserve">he </w:t>
            </w:r>
            <w:r>
              <w:rPr>
                <w:rFonts w:ascii="Times New Roman" w:eastAsia="Times New Roman" w:hAnsi="Times New Roman" w:cs="Times New Roman"/>
              </w:rPr>
              <w:t>amendments</w:t>
            </w:r>
            <w:r w:rsidR="00296CD3" w:rsidRPr="00296CD3">
              <w:rPr>
                <w:rFonts w:ascii="Times New Roman" w:eastAsia="Times New Roman" w:hAnsi="Times New Roman" w:cs="Times New Roman"/>
              </w:rPr>
              <w:t xml:space="preserve"> would change the definition of a major source to match EPA’s definition </w:t>
            </w:r>
            <w:r w:rsidR="00BC1975">
              <w:rPr>
                <w:rFonts w:ascii="Times New Roman" w:eastAsia="Times New Roman" w:hAnsi="Times New Roman" w:cs="Times New Roman"/>
              </w:rPr>
              <w:t xml:space="preserve">and establish a minor NSR program </w:t>
            </w:r>
            <w:r w:rsidR="00296CD3" w:rsidRPr="00296CD3">
              <w:rPr>
                <w:rFonts w:ascii="Times New Roman" w:eastAsia="Times New Roman" w:hAnsi="Times New Roman" w:cs="Times New Roman"/>
              </w:rPr>
              <w:t xml:space="preserve">for smaller businesses </w:t>
            </w:r>
            <w:r w:rsidR="00BC1975">
              <w:rPr>
                <w:rFonts w:ascii="Times New Roman" w:eastAsia="Times New Roman" w:hAnsi="Times New Roman" w:cs="Times New Roman"/>
              </w:rPr>
              <w:t>called</w:t>
            </w:r>
            <w:r w:rsidR="00296CD3" w:rsidRPr="00296CD3">
              <w:rPr>
                <w:rFonts w:ascii="Times New Roman" w:eastAsia="Times New Roman" w:hAnsi="Times New Roman" w:cs="Times New Roman"/>
              </w:rPr>
              <w:t xml:space="preserve"> ‘State New Source 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r>
              <w:rPr>
                <w:rFonts w:ascii="Times New Roman" w:eastAsia="Times New Roman" w:hAnsi="Times New Roman" w:cs="Times New Roman"/>
                <w:bCs/>
              </w:rPr>
              <w:t>The</w:t>
            </w:r>
            <w:r w:rsidR="006050BA">
              <w:rPr>
                <w:rFonts w:ascii="Times New Roman" w:eastAsia="Times New Roman" w:hAnsi="Times New Roman" w:cs="Times New Roman"/>
                <w:bCs/>
              </w:rPr>
              <w:t xml:space="preserve"> NSR requirements for smaller businesses </w:t>
            </w:r>
            <w:r>
              <w:rPr>
                <w:rFonts w:ascii="Times New Roman" w:eastAsia="Times New Roman" w:hAnsi="Times New Roman" w:cs="Times New Roman"/>
                <w:bCs/>
              </w:rPr>
              <w:t xml:space="preserve">would be tailored </w:t>
            </w:r>
            <w:r w:rsidR="006050BA">
              <w:rPr>
                <w:rFonts w:ascii="Times New Roman" w:eastAsia="Times New Roman" w:hAnsi="Times New Roman" w:cs="Times New Roman"/>
                <w:bCs/>
              </w:rPr>
              <w:t xml:space="preserve">to the air quality needs of an area in </w:t>
            </w:r>
            <w:r w:rsidR="005A08B2">
              <w:rPr>
                <w:rFonts w:ascii="Times New Roman" w:eastAsia="Times New Roman" w:hAnsi="Times New Roman" w:cs="Times New Roman"/>
                <w:bCs/>
              </w:rPr>
              <w:t>ways that</w:t>
            </w:r>
            <w:r w:rsidR="00296CD3">
              <w:rPr>
                <w:rFonts w:ascii="Times New Roman" w:eastAsia="Times New Roman" w:hAnsi="Times New Roman" w:cs="Times New Roman"/>
                <w:bCs/>
              </w:rPr>
              <w:t xml:space="preserve"> </w:t>
            </w:r>
            <w:r w:rsidR="00296CD3" w:rsidRPr="00296CD3">
              <w:rPr>
                <w:rFonts w:ascii="Times New Roman" w:eastAsia="Times New Roman" w:hAnsi="Times New Roman" w:cs="Times New Roman"/>
                <w:bCs/>
              </w:rPr>
              <w:t xml:space="preserve">cannot be </w:t>
            </w:r>
            <w:r w:rsidR="006050BA">
              <w:rPr>
                <w:rFonts w:ascii="Times New Roman" w:eastAsia="Times New Roman" w:hAnsi="Times New Roman" w:cs="Times New Roman"/>
                <w:bCs/>
              </w:rPr>
              <w:t>applied</w:t>
            </w:r>
            <w:r w:rsidR="00296CD3" w:rsidRPr="00296CD3">
              <w:rPr>
                <w:rFonts w:ascii="Times New Roman" w:eastAsia="Times New Roman" w:hAnsi="Times New Roman" w:cs="Times New Roman"/>
                <w:bCs/>
              </w:rPr>
              <w:t xml:space="preserve"> to larger businesses because of EPA requirements.</w:t>
            </w:r>
          </w:p>
          <w:p w:rsidR="00296CD3" w:rsidRDefault="00296CD3" w:rsidP="00304225">
            <w:pPr>
              <w:ind w:left="0" w:right="18"/>
              <w:rPr>
                <w:rFonts w:ascii="Times New Roman" w:eastAsia="Times New Roman" w:hAnsi="Times New Roman" w:cs="Times New Roman"/>
              </w:rPr>
            </w:pPr>
          </w:p>
          <w:p w:rsidR="00713015" w:rsidRDefault="002A246D" w:rsidP="00304225">
            <w:pPr>
              <w:ind w:left="0" w:right="18"/>
              <w:rPr>
                <w:rFonts w:ascii="Times New Roman" w:eastAsia="Times New Roman" w:hAnsi="Times New Roman" w:cs="Times New Roman"/>
              </w:rPr>
            </w:pPr>
            <w:r>
              <w:rPr>
                <w:rFonts w:ascii="Times New Roman" w:eastAsia="Times New Roman" w:hAnsi="Times New Roman" w:cs="Times New Roman"/>
              </w:rPr>
              <w:t xml:space="preserve">The proposal would update major NSR requirements and establish minor NSR requirements for attainment, nonattainment and maintenance areas. The proposal would also establish NSR requirements for the two new proposed area classifications, sustainment and reattainment. </w:t>
            </w:r>
          </w:p>
          <w:p w:rsidR="00713015" w:rsidRDefault="00713015" w:rsidP="00304225">
            <w:pPr>
              <w:ind w:left="0" w:right="18"/>
              <w:rPr>
                <w:rFonts w:ascii="Times New Roman" w:eastAsia="Times New Roman" w:hAnsi="Times New Roman" w:cs="Times New Roman"/>
              </w:rPr>
            </w:pPr>
          </w:p>
          <w:p w:rsidR="00EB1D78" w:rsidRDefault="00EB1D78" w:rsidP="00EB1D78">
            <w:pPr>
              <w:ind w:left="0" w:right="18"/>
              <w:rPr>
                <w:rFonts w:ascii="Times New Roman" w:eastAsia="Times New Roman" w:hAnsi="Times New Roman" w:cs="Times New Roman"/>
              </w:rPr>
            </w:pPr>
            <w:r>
              <w:rPr>
                <w:rFonts w:ascii="Times New Roman" w:eastAsia="Times New Roman" w:hAnsi="Times New Roman" w:cs="Times New Roman"/>
              </w:rPr>
              <w:t>The rule amendments would establish a new process for companies proposing a new or modified facility in or near a nonattainment, sustainment or maintenance area to demonstrate that the proposal together with offsetting emission reductions would create a net air quality benefit</w:t>
            </w:r>
            <w:r w:rsidRPr="00381FC9">
              <w:rPr>
                <w:rFonts w:ascii="Times New Roman" w:eastAsia="Times New Roman" w:hAnsi="Times New Roman" w:cs="Times New Roman"/>
              </w:rPr>
              <w:t>. The current process, based solely on air quality modeling, would be replaced by a system that requires emission offsets to be greater than emission increases together</w:t>
            </w:r>
            <w:r>
              <w:rPr>
                <w:rFonts w:ascii="Times New Roman" w:eastAsia="Times New Roman" w:hAnsi="Times New Roman" w:cs="Times New Roman"/>
              </w:rPr>
              <w:t xml:space="preserve"> with a simplified modeling demonstration</w:t>
            </w:r>
            <w:r w:rsidR="00510B7C">
              <w:rPr>
                <w:rFonts w:ascii="Times New Roman" w:eastAsia="Times New Roman" w:hAnsi="Times New Roman" w:cs="Times New Roman"/>
              </w:rPr>
              <w:t xml:space="preserve">. </w:t>
            </w:r>
            <w:r>
              <w:rPr>
                <w:rFonts w:ascii="Times New Roman" w:eastAsia="Times New Roman" w:hAnsi="Times New Roman" w:cs="Times New Roman"/>
              </w:rPr>
              <w:t>The ratio of emission reductions to emission increases would depend on the area classification and whether the proposed emission increase is above or below the federal major source threshold.</w:t>
            </w:r>
          </w:p>
          <w:p w:rsidR="00EB1D78" w:rsidRDefault="00EB1D78" w:rsidP="00EB1D78">
            <w:pPr>
              <w:ind w:left="0" w:right="18"/>
              <w:rPr>
                <w:rFonts w:ascii="Times New Roman" w:eastAsia="Times New Roman" w:hAnsi="Times New Roman" w:cs="Times New Roman"/>
              </w:rPr>
            </w:pPr>
          </w:p>
          <w:p w:rsidR="0094178E" w:rsidRDefault="00296CD3" w:rsidP="00A413FE">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EB1D78">
              <w:rPr>
                <w:rFonts w:ascii="Times New Roman" w:eastAsia="Times New Roman" w:hAnsi="Times New Roman" w:cs="Times New Roman"/>
              </w:rPr>
              <w:t xml:space="preserve"> would</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r w:rsidR="00C93F8D">
              <w:rPr>
                <w:rFonts w:ascii="Times New Roman" w:eastAsia="Times New Roman" w:hAnsi="Times New Roman" w:cs="Times New Roman"/>
              </w:rPr>
              <w:t xml:space="preserve">would reduce </w:t>
            </w:r>
            <w:r w:rsidR="00EB1D78">
              <w:rPr>
                <w:rFonts w:ascii="Times New Roman" w:eastAsia="Times New Roman" w:hAnsi="Times New Roman" w:cs="Times New Roman"/>
              </w:rPr>
              <w:t xml:space="preserve">the </w:t>
            </w:r>
            <w:r w:rsidR="00304225" w:rsidRPr="00E638D3">
              <w:rPr>
                <w:rFonts w:ascii="Times New Roman" w:eastAsia="Times New Roman" w:hAnsi="Times New Roman" w:cs="Times New Roman"/>
              </w:rPr>
              <w:t xml:space="preserve">emission </w:t>
            </w:r>
            <w:r w:rsidR="00C93F8D">
              <w:rPr>
                <w:rFonts w:ascii="Times New Roman" w:eastAsia="Times New Roman" w:hAnsi="Times New Roman" w:cs="Times New Roman"/>
              </w:rPr>
              <w:t>offset ratio</w:t>
            </w:r>
            <w:r w:rsidR="00EB1D78">
              <w:rPr>
                <w:rFonts w:ascii="Times New Roman" w:eastAsia="Times New Roman" w:hAnsi="Times New Roman" w:cs="Times New Roman"/>
              </w:rPr>
              <w:t xml:space="preserve"> if the </w:t>
            </w:r>
            <w:r w:rsidR="00304225" w:rsidRPr="00E638D3">
              <w:rPr>
                <w:rFonts w:ascii="Times New Roman" w:eastAsia="Times New Roman" w:hAnsi="Times New Roman" w:cs="Times New Roman"/>
              </w:rPr>
              <w:t>reductions</w:t>
            </w:r>
            <w:r w:rsidR="00CB06CD">
              <w:rPr>
                <w:rFonts w:ascii="Times New Roman" w:eastAsia="Times New Roman" w:hAnsi="Times New Roman" w:cs="Times New Roman"/>
              </w:rPr>
              <w:t xml:space="preserve"> </w:t>
            </w:r>
            <w:r w:rsidR="00EB1D78">
              <w:rPr>
                <w:rFonts w:ascii="Times New Roman" w:eastAsia="Times New Roman" w:hAnsi="Times New Roman" w:cs="Times New Roman"/>
              </w:rPr>
              <w:t xml:space="preserve">were obtained </w:t>
            </w:r>
            <w:r w:rsidR="00304225" w:rsidRPr="00E638D3">
              <w:rPr>
                <w:rFonts w:ascii="Times New Roman" w:eastAsia="Times New Roman" w:hAnsi="Times New Roman" w:cs="Times New Roman"/>
              </w:rPr>
              <w:t xml:space="preserve">from priority sources – the sources that </w:t>
            </w:r>
            <w:r w:rsidR="00EB1D78">
              <w:rPr>
                <w:rFonts w:ascii="Times New Roman" w:eastAsia="Times New Roman" w:hAnsi="Times New Roman" w:cs="Times New Roman"/>
              </w:rPr>
              <w:t xml:space="preserve">primarily </w:t>
            </w:r>
            <w:r w:rsidR="00304225" w:rsidRPr="00E638D3">
              <w:rPr>
                <w:rFonts w:ascii="Times New Roman" w:eastAsia="Times New Roman" w:hAnsi="Times New Roman" w:cs="Times New Roman"/>
              </w:rPr>
              <w:t>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w:t>
            </w:r>
            <w:r w:rsidR="00EB1D78">
              <w:rPr>
                <w:rFonts w:ascii="Times New Roman" w:eastAsia="Times New Roman" w:hAnsi="Times New Roman" w:cs="Times New Roman"/>
              </w:rPr>
              <w:t xml:space="preserve">air quality </w:t>
            </w:r>
            <w:r w:rsidR="00304225" w:rsidRPr="00E638D3">
              <w:rPr>
                <w:rFonts w:ascii="Times New Roman" w:eastAsia="Times New Roman" w:hAnsi="Times New Roman" w:cs="Times New Roman"/>
              </w:rPr>
              <w:t>problem in the local area</w:t>
            </w:r>
            <w:r w:rsidR="00281104">
              <w:rPr>
                <w:rFonts w:ascii="Times New Roman" w:eastAsia="Times New Roman" w:hAnsi="Times New Roman" w:cs="Times New Roman"/>
              </w:rPr>
              <w:t xml:space="preserve">. </w:t>
            </w:r>
          </w:p>
          <w:p w:rsidR="00CD15DD" w:rsidRDefault="00CD15DD" w:rsidP="0054554E">
            <w:pPr>
              <w:ind w:left="0" w:right="18"/>
              <w:rPr>
                <w:rFonts w:ascii="Times New Roman" w:eastAsia="Times New Roman" w:hAnsi="Times New Roman" w:cs="Times New Roman"/>
              </w:rPr>
            </w:pPr>
          </w:p>
          <w:p w:rsidR="002B1663" w:rsidRDefault="00EB1D78" w:rsidP="0054554E">
            <w:pPr>
              <w:ind w:left="0" w:right="18"/>
              <w:rPr>
                <w:rFonts w:ascii="Times New Roman" w:eastAsia="Times New Roman" w:hAnsi="Times New Roman" w:cs="Times New Roman"/>
              </w:rPr>
            </w:pPr>
            <w:r>
              <w:rPr>
                <w:rFonts w:ascii="Times New Roman" w:eastAsia="Times New Roman" w:hAnsi="Times New Roman" w:cs="Times New Roman"/>
              </w:rPr>
              <w:t>Finally, the proposal would</w:t>
            </w:r>
            <w:r w:rsidR="00BE2CB0">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clarify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0094178E" w:rsidRPr="00E638D3">
              <w:rPr>
                <w:rFonts w:ascii="Times New Roman" w:eastAsia="Times New Roman" w:hAnsi="Times New Roman" w:cs="Times New Roman"/>
              </w:rPr>
              <w:t>get an extension for their New Source Review permit</w:t>
            </w:r>
            <w:r w:rsidR="00C73733" w:rsidRPr="00E638D3">
              <w:rPr>
                <w:rFonts w:ascii="Times New Roman" w:eastAsia="Times New Roman" w:hAnsi="Times New Roman" w:cs="Times New Roman"/>
              </w:rPr>
              <w:t xml:space="preserve"> if construction is delayed</w:t>
            </w:r>
            <w:r w:rsidR="0094178E" w:rsidRPr="00E638D3">
              <w:rPr>
                <w:rFonts w:ascii="Times New Roman" w:eastAsia="Times New Roman" w:hAnsi="Times New Roman" w:cs="Times New Roman"/>
              </w:rPr>
              <w:t xml:space="preserve">. Current rules </w:t>
            </w:r>
            <w:r>
              <w:rPr>
                <w:rFonts w:ascii="Times New Roman" w:eastAsia="Times New Roman" w:hAnsi="Times New Roman" w:cs="Times New Roman"/>
              </w:rPr>
              <w:t>allow</w:t>
            </w:r>
            <w:r w:rsidR="00727AA6">
              <w:rPr>
                <w:rFonts w:ascii="Times New Roman" w:eastAsia="Times New Roman" w:hAnsi="Times New Roman" w:cs="Times New Roman"/>
              </w:rPr>
              <w:t xml:space="preserve"> </w:t>
            </w:r>
            <w:r w:rsidR="0094178E"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0094178E"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0094178E"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0094178E"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0094178E"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0094178E" w:rsidRPr="00E638D3">
              <w:rPr>
                <w:rFonts w:ascii="Times New Roman" w:eastAsia="Times New Roman" w:hAnsi="Times New Roman" w:cs="Times New Roman"/>
              </w:rPr>
              <w:t>rojects delayed without additional review</w:t>
            </w:r>
            <w:r w:rsidR="00104859">
              <w:rPr>
                <w:rFonts w:ascii="Times New Roman" w:eastAsia="Times New Roman" w:hAnsi="Times New Roman" w:cs="Times New Roman"/>
              </w:rPr>
              <w:t xml:space="preserve"> could</w:t>
            </w:r>
            <w:r w:rsidR="0094178E"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0094178E" w:rsidRPr="00E638D3">
              <w:rPr>
                <w:rFonts w:ascii="Times New Roman" w:eastAsia="Times New Roman" w:hAnsi="Times New Roman" w:cs="Times New Roman"/>
              </w:rPr>
              <w:t>portion of the airshed indefinitely, 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r w:rsidR="0094178E" w:rsidRPr="00E638D3">
              <w:rPr>
                <w:rFonts w:ascii="Times New Roman" w:eastAsia="Times New Roman" w:hAnsi="Times New Roman" w:cs="Times New Roman"/>
              </w:rPr>
              <w:t xml:space="preserve"> control technology.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0094178E" w:rsidRPr="00E638D3">
              <w:rPr>
                <w:rFonts w:ascii="Times New Roman" w:eastAsia="Times New Roman" w:hAnsi="Times New Roman" w:cs="Times New Roman"/>
              </w:rPr>
              <w:t>propos</w:t>
            </w:r>
            <w:r w:rsidR="00104859">
              <w:rPr>
                <w:rFonts w:ascii="Times New Roman" w:eastAsia="Times New Roman" w:hAnsi="Times New Roman" w:cs="Times New Roman"/>
              </w:rPr>
              <w:t>ed rules provide</w:t>
            </w:r>
            <w:r w:rsidR="0094178E" w:rsidRPr="00E638D3">
              <w:rPr>
                <w:rFonts w:ascii="Times New Roman" w:eastAsia="Times New Roman" w:hAnsi="Times New Roman" w:cs="Times New Roman"/>
              </w:rPr>
              <w:t xml:space="preserve"> </w:t>
            </w:r>
            <w:r w:rsidR="000F38D9">
              <w:rPr>
                <w:rFonts w:ascii="Times New Roman" w:eastAsia="Times New Roman" w:hAnsi="Times New Roman" w:cs="Times New Roman"/>
              </w:rPr>
              <w:t xml:space="preserve">for </w:t>
            </w:r>
            <w:r w:rsidR="0094178E"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0094178E" w:rsidRPr="00E638D3">
              <w:rPr>
                <w:rFonts w:ascii="Times New Roman" w:eastAsia="Times New Roman" w:hAnsi="Times New Roman" w:cs="Times New Roman"/>
              </w:rPr>
              <w:t xml:space="preserve"> procedures for requesting and approving extensions.</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8D5772">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54554E">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w:t>
            </w:r>
            <w:r w:rsidR="005A08B2">
              <w:rPr>
                <w:rFonts w:asciiTheme="minorHAnsi" w:eastAsia="Times New Roman" w:hAnsiTheme="minorHAnsi" w:cstheme="minorHAnsi"/>
              </w:rPr>
              <w:t>existing</w:t>
            </w:r>
            <w:r w:rsidR="00261127">
              <w:rPr>
                <w:rFonts w:asciiTheme="minorHAnsi" w:eastAsia="Times New Roman" w:hAnsiTheme="minorHAnsi" w:cstheme="minorHAnsi"/>
              </w:rPr>
              <w:t xml:space="preserve"> </w:t>
            </w:r>
            <w:r w:rsidRPr="00124646">
              <w:rPr>
                <w:rFonts w:asciiTheme="minorHAnsi" w:eastAsia="Times New Roman" w:hAnsiTheme="minorHAnsi" w:cstheme="minorHAnsi"/>
              </w:rPr>
              <w:t xml:space="preserve">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261127">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sidR="00261127">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0954CE" w:rsidP="000954CE">
            <w:pPr>
              <w:pStyle w:val="ListParagraph"/>
              <w:numPr>
                <w:ilvl w:val="0"/>
                <w:numId w:val="18"/>
              </w:numPr>
              <w:ind w:right="18"/>
              <w:rPr>
                <w:rFonts w:ascii="Times New Roman" w:eastAsia="Times New Roman" w:hAnsi="Times New Roman" w:cs="Times New Roman"/>
              </w:rPr>
            </w:pPr>
            <w:r w:rsidRPr="000954CE">
              <w:rPr>
                <w:rFonts w:ascii="Times New Roman" w:eastAsia="Times New Roman" w:hAnsi="Times New Roman" w:cs="Times New Roman"/>
              </w:rPr>
              <w:t>Reestablish Heat Smart exemption for small commercial solid fuel boilers that are regulated by the permitting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7E55D2" w:rsidP="00C47E40">
            <w:pPr>
              <w:ind w:left="0" w:right="18"/>
              <w:rPr>
                <w:rFonts w:ascii="Times New Roman" w:eastAsia="Times New Roman" w:hAnsi="Times New Roman" w:cs="Times New Roman"/>
              </w:rPr>
            </w:pPr>
            <w:r>
              <w:rPr>
                <w:rFonts w:ascii="Times New Roman" w:eastAsia="Times New Roman" w:hAnsi="Times New Roman" w:cs="Times New Roman"/>
              </w:rPr>
              <w:t>DEQ’s existing rules exempt</w:t>
            </w:r>
            <w:r w:rsidR="004C1F0D"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004C1F0D" w:rsidRPr="004C1F0D">
              <w:rPr>
                <w:rFonts w:ascii="Times New Roman" w:eastAsia="Times New Roman" w:hAnsi="Times New Roman" w:cs="Times New Roman"/>
              </w:rPr>
              <w:t xml:space="preserve">are subject to </w:t>
            </w:r>
            <w:r w:rsidR="00C47E40">
              <w:rPr>
                <w:rFonts w:ascii="Times New Roman" w:eastAsia="Times New Roman" w:hAnsi="Times New Roman" w:cs="Times New Roman"/>
              </w:rPr>
              <w:t>N</w:t>
            </w:r>
            <w:r w:rsidR="00261127">
              <w:rPr>
                <w:rFonts w:ascii="Times New Roman" w:eastAsia="Times New Roman" w:hAnsi="Times New Roman" w:cs="Times New Roman"/>
              </w:rPr>
              <w:t xml:space="preserve">ational </w:t>
            </w:r>
            <w:r w:rsidR="00C47E40">
              <w:rPr>
                <w:rFonts w:ascii="Times New Roman" w:eastAsia="Times New Roman" w:hAnsi="Times New Roman" w:cs="Times New Roman"/>
              </w:rPr>
              <w:t>E</w:t>
            </w:r>
            <w:r w:rsidR="00261127">
              <w:rPr>
                <w:rFonts w:ascii="Times New Roman" w:eastAsia="Times New Roman" w:hAnsi="Times New Roman" w:cs="Times New Roman"/>
              </w:rPr>
              <w:t xml:space="preserve">mission </w:t>
            </w:r>
            <w:r w:rsidR="00C47E40">
              <w:rPr>
                <w:rFonts w:ascii="Times New Roman" w:eastAsia="Times New Roman" w:hAnsi="Times New Roman" w:cs="Times New Roman"/>
              </w:rPr>
              <w:t>S</w:t>
            </w:r>
            <w:r w:rsidR="00261127">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sidR="00261127">
              <w:rPr>
                <w:rFonts w:ascii="Times New Roman" w:eastAsia="Times New Roman" w:hAnsi="Times New Roman" w:cs="Times New Roman"/>
              </w:rPr>
              <w:t xml:space="preserve">azardous </w:t>
            </w:r>
            <w:r w:rsidR="00C47E40">
              <w:rPr>
                <w:rFonts w:ascii="Times New Roman" w:eastAsia="Times New Roman" w:hAnsi="Times New Roman" w:cs="Times New Roman"/>
              </w:rPr>
              <w:t>A</w:t>
            </w:r>
            <w:r w:rsidR="00261127">
              <w:rPr>
                <w:rFonts w:ascii="Times New Roman" w:eastAsia="Times New Roman" w:hAnsi="Times New Roman" w:cs="Times New Roman"/>
              </w:rPr>
              <w:t xml:space="preserve">ir </w:t>
            </w:r>
            <w:r w:rsidR="00C47E40">
              <w:rPr>
                <w:rFonts w:ascii="Times New Roman" w:eastAsia="Times New Roman" w:hAnsi="Times New Roman" w:cs="Times New Roman"/>
              </w:rPr>
              <w:t>P</w:t>
            </w:r>
            <w:r w:rsidR="00261127">
              <w:rPr>
                <w:rFonts w:ascii="Times New Roman" w:eastAsia="Times New Roman" w:hAnsi="Times New Roman" w:cs="Times New Roman"/>
              </w:rPr>
              <w:t>ollutants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The Heat Smart Program is intended to </w:t>
            </w:r>
            <w:r w:rsidR="00C95B08">
              <w:rPr>
                <w:rFonts w:ascii="Times New Roman" w:eastAsia="Times New Roman" w:hAnsi="Times New Roman" w:cs="Times New Roman"/>
              </w:rPr>
              <w:t xml:space="preserve">ensure that </w:t>
            </w:r>
            <w:r>
              <w:rPr>
                <w:rFonts w:ascii="Times New Roman" w:eastAsia="Times New Roman" w:hAnsi="Times New Roman" w:cs="Times New Roman"/>
              </w:rPr>
              <w:t xml:space="preserve">commercial and residential wood </w:t>
            </w:r>
            <w:r w:rsidR="00C95B08">
              <w:rPr>
                <w:rFonts w:ascii="Times New Roman" w:eastAsia="Times New Roman" w:hAnsi="Times New Roman" w:cs="Times New Roman"/>
              </w:rPr>
              <w:t xml:space="preserve">stoves and other wood </w:t>
            </w:r>
            <w:r>
              <w:rPr>
                <w:rFonts w:ascii="Times New Roman" w:eastAsia="Times New Roman" w:hAnsi="Times New Roman" w:cs="Times New Roman"/>
              </w:rPr>
              <w:t xml:space="preserve">heating devices meet certification standards, which were not designed to apply to biomass boilers. However, EPA recently exempted small biomass boilers from the </w:t>
            </w:r>
            <w:r w:rsidR="00C47E40">
              <w:rPr>
                <w:rFonts w:ascii="Times New Roman" w:eastAsia="Times New Roman" w:hAnsi="Times New Roman" w:cs="Times New Roman"/>
              </w:rPr>
              <w:t>N</w:t>
            </w:r>
            <w:r>
              <w:rPr>
                <w:rFonts w:ascii="Times New Roman" w:eastAsia="Times New Roman" w:hAnsi="Times New Roman" w:cs="Times New Roman"/>
              </w:rPr>
              <w:t xml:space="preserve">ational </w:t>
            </w:r>
            <w:r w:rsidR="00C47E40">
              <w:rPr>
                <w:rFonts w:ascii="Times New Roman" w:eastAsia="Times New Roman" w:hAnsi="Times New Roman" w:cs="Times New Roman"/>
              </w:rPr>
              <w:t>E</w:t>
            </w:r>
            <w:r>
              <w:rPr>
                <w:rFonts w:ascii="Times New Roman" w:eastAsia="Times New Roman" w:hAnsi="Times New Roman" w:cs="Times New Roman"/>
              </w:rPr>
              <w:t xml:space="preserve">mission </w:t>
            </w:r>
            <w:r w:rsidR="00C47E40">
              <w:rPr>
                <w:rFonts w:ascii="Times New Roman" w:eastAsia="Times New Roman" w:hAnsi="Times New Roman" w:cs="Times New Roman"/>
              </w:rPr>
              <w:t>S</w:t>
            </w:r>
            <w:r>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Pr>
                <w:rFonts w:ascii="Times New Roman" w:eastAsia="Times New Roman" w:hAnsi="Times New Roman" w:cs="Times New Roman"/>
              </w:rPr>
              <w:t xml:space="preserve">azardous </w:t>
            </w:r>
            <w:r w:rsidR="00C47E40">
              <w:rPr>
                <w:rFonts w:ascii="Times New Roman" w:eastAsia="Times New Roman" w:hAnsi="Times New Roman" w:cs="Times New Roman"/>
              </w:rPr>
              <w:t>A</w:t>
            </w:r>
            <w:r>
              <w:rPr>
                <w:rFonts w:ascii="Times New Roman" w:eastAsia="Times New Roman" w:hAnsi="Times New Roman" w:cs="Times New Roman"/>
              </w:rPr>
              <w:t xml:space="preserve">ir </w:t>
            </w:r>
            <w:r w:rsidR="00C47E40">
              <w:rPr>
                <w:rFonts w:ascii="Times New Roman" w:eastAsia="Times New Roman" w:hAnsi="Times New Roman" w:cs="Times New Roman"/>
              </w:rPr>
              <w:t>P</w:t>
            </w:r>
            <w:r>
              <w:rPr>
                <w:rFonts w:ascii="Times New Roman" w:eastAsia="Times New Roman" w:hAnsi="Times New Roman" w:cs="Times New Roman"/>
              </w:rPr>
              <w:t xml:space="preserve">ollutants, which </w:t>
            </w:r>
            <w:r w:rsidR="005A08B2">
              <w:rPr>
                <w:rFonts w:ascii="Times New Roman" w:eastAsia="Times New Roman" w:hAnsi="Times New Roman" w:cs="Times New Roman"/>
              </w:rPr>
              <w:t>inadvertently</w:t>
            </w:r>
            <w:r>
              <w:rPr>
                <w:rFonts w:ascii="Times New Roman" w:eastAsia="Times New Roman" w:hAnsi="Times New Roman" w:cs="Times New Roman"/>
              </w:rPr>
              <w:t xml:space="preserve"> subjected </w:t>
            </w:r>
            <w:r w:rsidR="004C1F0D" w:rsidRPr="004C1F0D">
              <w:rPr>
                <w:rFonts w:ascii="Times New Roman" w:eastAsia="Times New Roman" w:hAnsi="Times New Roman" w:cs="Times New Roman"/>
              </w:rPr>
              <w:t>these devices to the Heat Smart rules</w:t>
            </w:r>
            <w:r w:rsidR="0019640C">
              <w:rPr>
                <w:rFonts w:ascii="Times New Roman" w:eastAsia="Times New Roman" w:hAnsi="Times New Roman" w:cs="Times New Roman"/>
              </w:rPr>
              <w:t xml:space="preserve">. </w:t>
            </w:r>
            <w:r>
              <w:rPr>
                <w:rFonts w:ascii="Times New Roman" w:eastAsia="Times New Roman" w:hAnsi="Times New Roman" w:cs="Times New Roman"/>
              </w:rPr>
              <w:t>This, in effect, prevents small commercial biomass boilers with he</w:t>
            </w:r>
            <w:r w:rsidR="00C93F8D">
              <w:rPr>
                <w:rFonts w:ascii="Times New Roman" w:eastAsia="Times New Roman" w:hAnsi="Times New Roman" w:cs="Times New Roman"/>
              </w:rPr>
              <w:t>at output less than 1 million B</w:t>
            </w:r>
            <w:r>
              <w:rPr>
                <w:rFonts w:ascii="Times New Roman" w:eastAsia="Times New Roman" w:hAnsi="Times New Roman" w:cs="Times New Roman"/>
              </w:rPr>
              <w:t>t</w:t>
            </w:r>
            <w:r w:rsidR="00C93F8D">
              <w:rPr>
                <w:rFonts w:ascii="Times New Roman" w:eastAsia="Times New Roman" w:hAnsi="Times New Roman" w:cs="Times New Roman"/>
              </w:rPr>
              <w:t>u</w:t>
            </w:r>
            <w:r>
              <w:rPr>
                <w:rFonts w:ascii="Times New Roman" w:eastAsia="Times New Roman" w:hAnsi="Times New Roman" w:cs="Times New Roman"/>
              </w:rPr>
              <w:t xml:space="preserve"> per hour from being sold in Oregon.</w:t>
            </w:r>
          </w:p>
        </w:tc>
      </w:tr>
      <w:tr w:rsidR="0094178E" w:rsidRPr="00E638D3" w:rsidTr="00093735">
        <w:trPr>
          <w:trHeight w:val="1475"/>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C95B08">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sidR="00C93F8D">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C36B5C" w:rsidP="00C36B5C">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Remove a</w:t>
            </w:r>
            <w:r w:rsidR="0094178E" w:rsidRPr="00E638D3">
              <w:rPr>
                <w:rFonts w:ascii="Times New Roman" w:eastAsia="Times New Roman" w:hAnsi="Times New Roman" w:cs="Times New Roman"/>
              </w:rPr>
              <w:t>nnual reporting requirement</w:t>
            </w:r>
            <w:r w:rsidR="009F06CF">
              <w:rPr>
                <w:rFonts w:ascii="Times New Roman" w:eastAsia="Times New Roman" w:hAnsi="Times New Roman" w:cs="Times New Roman"/>
              </w:rPr>
              <w:t>s</w:t>
            </w:r>
            <w:r w:rsidR="0094178E" w:rsidRPr="00E638D3">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 xml:space="preserve">ave a submerged fill tube installed on </w:t>
            </w:r>
            <w:r w:rsidR="007637C0">
              <w:rPr>
                <w:rFonts w:ascii="Times New Roman" w:eastAsia="Times New Roman" w:hAnsi="Times New Roman" w:cs="Times New Roman"/>
              </w:rPr>
              <w:t>any tank</w:t>
            </w:r>
            <w:r w:rsidR="001E4DC7">
              <w:rPr>
                <w:rFonts w:ascii="Times New Roman" w:eastAsia="Times New Roman" w:hAnsi="Times New Roman" w:cs="Times New Roman"/>
              </w:rPr>
              <w:t xml:space="preserve"> at </w:t>
            </w:r>
            <w:r w:rsidR="009408DB">
              <w:rPr>
                <w:rFonts w:ascii="Times New Roman" w:eastAsia="Times New Roman" w:hAnsi="Times New Roman" w:cs="Times New Roman"/>
              </w:rPr>
              <w:t>the facility</w:t>
            </w:r>
            <w:r w:rsidR="001E4DC7">
              <w:rPr>
                <w:rFonts w:ascii="Times New Roman" w:eastAsia="Times New Roman" w:hAnsi="Times New Roman" w:cs="Times New Roman"/>
              </w:rPr>
              <w:t xml:space="preserve"> that has a capacity of 250 gallons or more</w:t>
            </w:r>
          </w:p>
          <w:p w:rsidR="004D05C8" w:rsidRDefault="001E4DC7">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0094178E" w:rsidRPr="00E638D3">
              <w:rPr>
                <w:rFonts w:ascii="Times New Roman" w:eastAsia="Times New Roman" w:hAnsi="Times New Roman" w:cs="Times New Roman"/>
              </w:rPr>
              <w:t>ubmit a one-time initial notification</w:t>
            </w:r>
            <w:r w:rsidR="004D05C8">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and </w:t>
            </w:r>
            <w:r w:rsidR="004E57A3">
              <w:rPr>
                <w:rFonts w:ascii="Times New Roman" w:eastAsia="Times New Roman" w:hAnsi="Times New Roman" w:cs="Times New Roman"/>
              </w:rPr>
              <w:t xml:space="preserve">later a </w:t>
            </w:r>
            <w:r w:rsidR="0094178E" w:rsidRPr="00E638D3">
              <w:rPr>
                <w:rFonts w:ascii="Times New Roman" w:eastAsia="Times New Roman" w:hAnsi="Times New Roman" w:cs="Times New Roman"/>
              </w:rPr>
              <w:t>no</w:t>
            </w:r>
            <w:r w:rsidR="00925F07" w:rsidRPr="00E638D3">
              <w:rPr>
                <w:rFonts w:ascii="Times New Roman" w:eastAsia="Times New Roman" w:hAnsi="Times New Roman" w:cs="Times New Roman"/>
              </w:rPr>
              <w:t>tification of compliance status</w:t>
            </w:r>
            <w:r>
              <w:rPr>
                <w:rFonts w:ascii="Times New Roman" w:eastAsia="Times New Roman" w:hAnsi="Times New Roman" w:cs="Times New Roman"/>
              </w:rPr>
              <w:t xml:space="preserve"> </w:t>
            </w:r>
          </w:p>
          <w:p w:rsidR="003F5C92" w:rsidRDefault="004D05C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113C15">
              <w:rPr>
                <w:rFonts w:ascii="Times New Roman" w:eastAsia="Times New Roman" w:hAnsi="Times New Roman" w:cs="Times New Roman"/>
              </w:rPr>
              <w:t>ubmit annual reports of throughput</w:t>
            </w:r>
          </w:p>
          <w:p w:rsidR="0094178E" w:rsidRPr="00E638D3" w:rsidRDefault="00925F07" w:rsidP="009408DB">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w:t>
            </w:r>
            <w:r w:rsidR="00A53283">
              <w:rPr>
                <w:rFonts w:ascii="Times New Roman" w:eastAsia="Times New Roman" w:hAnsi="Times New Roman" w:cs="Times New Roman"/>
              </w:rPr>
              <w:t>DEQ collected one time data on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r w:rsidR="009408DB" w:rsidRPr="00113C15">
              <w:rPr>
                <w:rFonts w:ascii="Times New Roman" w:eastAsia="Times New Roman" w:hAnsi="Times New Roman" w:cs="Times New Roman"/>
              </w:rPr>
              <w:t xml:space="preserve"> </w:t>
            </w:r>
            <w:r w:rsidR="009408DB">
              <w:rPr>
                <w:rFonts w:ascii="Times New Roman" w:eastAsia="Times New Roman" w:hAnsi="Times New Roman" w:cs="Times New Roman"/>
              </w:rPr>
              <w:t xml:space="preserve">Therefore, </w:t>
            </w:r>
            <w:r w:rsidR="009408DB" w:rsidRPr="00113C15">
              <w:rPr>
                <w:rFonts w:ascii="Times New Roman" w:eastAsia="Times New Roman" w:hAnsi="Times New Roman" w:cs="Times New Roman"/>
              </w:rPr>
              <w:t xml:space="preserve">DEQ determined </w:t>
            </w:r>
            <w:r w:rsidR="009408DB" w:rsidRPr="00E638D3">
              <w:rPr>
                <w:rFonts w:ascii="Times New Roman" w:eastAsia="Times New Roman" w:hAnsi="Times New Roman" w:cs="Times New Roman"/>
              </w:rPr>
              <w:t>the annual reporting requirement for these small gasoline dispensing facilities is unnecessary</w:t>
            </w:r>
            <w:r w:rsidR="009408DB">
              <w:rPr>
                <w:rFonts w:ascii="Times New Roman" w:eastAsia="Times New Roman" w:hAnsi="Times New Roman" w:cs="Times New Roman"/>
              </w:rPr>
              <w:t>.</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9408D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address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sidR="009408DB">
              <w:rPr>
                <w:rFonts w:ascii="Times New Roman" w:eastAsia="Times New Roman" w:hAnsi="Times New Roman" w:cs="Times New Roman"/>
              </w:rPr>
              <w:t>.</w:t>
            </w:r>
            <w:r w:rsidRPr="00E638D3">
              <w:rPr>
                <w:rFonts w:ascii="Times New Roman" w:eastAsia="Times New Roman" w:hAnsi="Times New Roman" w:cs="Times New Roman"/>
              </w:rPr>
              <w:t xml:space="preserve"> </w:t>
            </w:r>
            <w:r w:rsidR="009408DB">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2C5923" w:rsidRDefault="002C5923" w:rsidP="00B34CF8">
      <w:pPr>
        <w:ind w:left="720" w:right="18"/>
      </w:pPr>
    </w:p>
    <w:p w:rsidR="00F94A78" w:rsidRDefault="00D4511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lastRenderedPageBreak/>
        <w:t>How will DEQ know the problem has been solved?</w:t>
      </w:r>
    </w:p>
    <w:p w:rsidR="00702190" w:rsidRDefault="00702190" w:rsidP="00B34CF8">
      <w:pPr>
        <w:ind w:left="720" w:right="18"/>
      </w:pP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0D7803" w:rsidRPr="00095A1D" w:rsidRDefault="000D7803" w:rsidP="000D7803">
      <w:pPr>
        <w:ind w:left="1080" w:right="630"/>
        <w:rPr>
          <w:rFonts w:ascii="Times New Roman" w:eastAsia="Times New Roman" w:hAnsi="Times New Roman" w:cs="Times New Roman"/>
        </w:rPr>
      </w:pP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C66C45" w:rsidP="0092287A">
      <w:pPr>
        <w:ind w:left="720" w:right="18"/>
        <w:rPr>
          <w:rFonts w:ascii="Times New Roman" w:eastAsia="Times New Roman" w:hAnsi="Times New Roman" w:cs="Times New Roman"/>
          <w:bCs/>
        </w:rPr>
      </w:pPr>
      <w:r>
        <w:rPr>
          <w:rFonts w:ascii="Times New Roman" w:eastAsia="Times New Roman" w:hAnsi="Times New Roman" w:cs="Times New Roman"/>
          <w:bCs/>
        </w:rPr>
        <w:t>c</w:t>
      </w:r>
      <w:r w:rsidR="0092287A" w:rsidRPr="000A53B0">
        <w:rPr>
          <w:rFonts w:ascii="Times New Roman" w:eastAsia="Times New Roman" w:hAnsi="Times New Roman" w:cs="Times New Roman"/>
          <w:bCs/>
        </w:rPr>
        <w:t xml:space="preserve">urrent OAR 340-216-0020 Table 1 amended and renumbered to 340-216-8005;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340-216-0020 Table 2 amended and renumbered to 340-216-8010;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353E1B" w:rsidRDefault="0092287A" w:rsidP="0092287A">
      <w:pPr>
        <w:ind w:left="720" w:right="18"/>
        <w:rPr>
          <w:rFonts w:ascii="Times New Roman" w:eastAsia="Times New Roman" w:hAnsi="Times New Roman" w:cs="Times New Roman"/>
          <w:bCs/>
        </w:rPr>
      </w:pPr>
      <w:r w:rsidRPr="00490FA7">
        <w:rPr>
          <w:rFonts w:ascii="Times New Roman" w:eastAsia="Times New Roman" w:hAnsi="Times New Roman" w:cs="Times New Roman"/>
          <w:bCs/>
        </w:rPr>
        <w:t xml:space="preserve">current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 xml:space="preserve">0, </w:t>
      </w:r>
    </w:p>
    <w:p w:rsidR="0092287A" w:rsidRPr="000A53B0" w:rsidRDefault="0092287A" w:rsidP="00353E1B">
      <w:pPr>
        <w:ind w:left="720" w:right="18" w:firstLine="360"/>
        <w:rPr>
          <w:rFonts w:ascii="Times New Roman" w:eastAsia="Times New Roman" w:hAnsi="Times New Roman" w:cs="Times New Roman"/>
          <w:bCs/>
        </w:rPr>
      </w:pPr>
      <w:r w:rsidRPr="00490FA7">
        <w:rPr>
          <w:rFonts w:ascii="Times New Roman" w:eastAsia="Times New Roman" w:hAnsi="Times New Roman" w:cs="Times New Roman"/>
          <w:bCs/>
        </w:rPr>
        <w:t>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lastRenderedPageBreak/>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2"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4627" w:type="dxa"/>
            <w:gridSpan w:val="3"/>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4627" w:type="dxa"/>
            <w:gridSpan w:val="2"/>
          </w:tcPr>
          <w:p w:rsidR="003539AD" w:rsidRPr="00704E28" w:rsidRDefault="007D0F98" w:rsidP="003539AD">
            <w:pPr>
              <w:ind w:left="-74" w:right="18"/>
              <w:rPr>
                <w:rFonts w:asciiTheme="minorHAnsi" w:eastAsia="Times New Roman" w:hAnsiTheme="minorHAnsi" w:cstheme="minorHAnsi"/>
                <w:bCs/>
              </w:rPr>
            </w:pPr>
            <w:hyperlink r:id="rId13"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4"/>
          </w:tcPr>
          <w:p w:rsidR="00C80642" w:rsidRPr="00704E28" w:rsidRDefault="007D0F98" w:rsidP="002C5A4C">
            <w:pPr>
              <w:ind w:left="0" w:right="18"/>
              <w:rPr>
                <w:rFonts w:asciiTheme="minorHAnsi" w:hAnsiTheme="minorHAnsi" w:cstheme="minorHAnsi"/>
                <w:bCs/>
              </w:rPr>
            </w:pPr>
            <w:hyperlink r:id="rId14"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4"/>
          </w:tcPr>
          <w:p w:rsidR="00C80642" w:rsidRPr="00704E28" w:rsidRDefault="007D0F98"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4"/>
          </w:tcPr>
          <w:p w:rsidR="00C80642" w:rsidRPr="00704E28" w:rsidRDefault="007D0F98"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7D0F98"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4"/>
          </w:tcPr>
          <w:p w:rsidR="00C13AFC" w:rsidRDefault="00C13AFC" w:rsidP="003539AD">
            <w:pPr>
              <w:ind w:left="0" w:right="18"/>
            </w:pPr>
          </w:p>
          <w:p w:rsidR="003539AD" w:rsidRPr="00704E28" w:rsidRDefault="007D0F98" w:rsidP="003539AD">
            <w:pPr>
              <w:ind w:left="0" w:right="18"/>
              <w:rPr>
                <w:rFonts w:asciiTheme="minorHAnsi" w:eastAsia="Times New Roman" w:hAnsiTheme="minorHAnsi" w:cstheme="minorHAnsi"/>
                <w:bCs/>
              </w:rPr>
            </w:pPr>
            <w:hyperlink r:id="rId18"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7D0F98" w:rsidP="00704E28">
            <w:pPr>
              <w:ind w:left="0" w:right="18"/>
              <w:rPr>
                <w:rFonts w:asciiTheme="minorHAnsi" w:hAnsiTheme="minorHAnsi" w:cstheme="minorHAnsi"/>
                <w:bCs/>
              </w:rPr>
            </w:pPr>
            <w:hyperlink r:id="rId19"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7D0F98" w:rsidP="00C80642">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7D0F98" w:rsidP="002C5A4C">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0" w:right="18"/>
              <w:rPr>
                <w:rFonts w:asciiTheme="minorHAnsi" w:eastAsia="Times New Roman" w:hAnsiTheme="minorHAnsi" w:cstheme="minorHAnsi"/>
                <w:bCs/>
              </w:rPr>
            </w:pPr>
          </w:p>
        </w:tc>
        <w:tc>
          <w:tcPr>
            <w:tcW w:w="5310" w:type="dxa"/>
          </w:tcPr>
          <w:p w:rsidR="00C80642" w:rsidRPr="00704E28" w:rsidRDefault="00C80642" w:rsidP="00844A6C">
            <w:pPr>
              <w:ind w:left="0" w:right="18"/>
              <w:rPr>
                <w:rFonts w:asciiTheme="minorHAnsi" w:hAnsiTheme="minorHAnsi" w:cstheme="minorHAnsi"/>
              </w:rPr>
            </w:pPr>
          </w:p>
        </w:tc>
      </w:tr>
      <w:tr w:rsidR="00844A6C" w:rsidRPr="00704E28" w:rsidTr="00C36B5C">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7D0F98" w:rsidP="00844A6C">
            <w:pPr>
              <w:ind w:left="0" w:right="18"/>
              <w:rPr>
                <w:rFonts w:asciiTheme="minorHAnsi" w:eastAsia="Times New Roman" w:hAnsiTheme="minorHAnsi" w:cstheme="minorHAnsi"/>
                <w:bCs/>
              </w:rPr>
            </w:pPr>
            <w:hyperlink r:id="rId22"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C36B5C">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 xml:space="preserve">40 CFR Part 58, Appendix D — Network Design </w:t>
            </w:r>
            <w:r w:rsidRPr="0007166A">
              <w:rPr>
                <w:rFonts w:asciiTheme="minorHAnsi" w:eastAsia="Times New Roman" w:hAnsiTheme="minorHAnsi" w:cstheme="minorHAnsi"/>
                <w:bCs/>
              </w:rPr>
              <w:lastRenderedPageBreak/>
              <w:t>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7D0F98" w:rsidP="00844A6C">
            <w:pPr>
              <w:ind w:left="0" w:right="18"/>
              <w:rPr>
                <w:rFonts w:asciiTheme="minorHAnsi" w:hAnsiTheme="minorHAnsi" w:cstheme="minorHAnsi"/>
              </w:rPr>
            </w:pPr>
            <w:hyperlink r:id="rId23" w:history="1">
              <w:r w:rsidR="00C36B5C" w:rsidRPr="00CB456F">
                <w:rPr>
                  <w:rStyle w:val="Hyperlink"/>
                  <w:rFonts w:asciiTheme="minorHAnsi" w:hAnsiTheme="minorHAnsi" w:cstheme="minorHAnsi"/>
                </w:rPr>
                <w:t>http://www.gpo.gov/fdsys/granule/CFR-2012-title40-</w:t>
              </w:r>
              <w:r w:rsidR="00C36B5C" w:rsidRPr="00CB456F">
                <w:rPr>
                  <w:rStyle w:val="Hyperlink"/>
                  <w:rFonts w:asciiTheme="minorHAnsi" w:hAnsiTheme="minorHAnsi" w:cstheme="minorHAnsi"/>
                </w:rPr>
                <w:lastRenderedPageBreak/>
                <w:t>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1" w:name="RANGE!A226:B243"/>
      <w:bookmarkEnd w:id="1"/>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 workload would increase until staff becomes familiar with the proposed rules and then would decrease due to 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E44F53">
        <w:rPr>
          <w:rFonts w:ascii="Times New Roman" w:eastAsia="Times New Roman" w:hAnsi="Times New Roman" w:cs="Times New Roman"/>
          <w:bCs/>
          <w:iCs/>
        </w:rPr>
        <w:t>A r</w:t>
      </w:r>
      <w:r w:rsidR="004E2819" w:rsidRPr="00700ACF">
        <w:rPr>
          <w:rFonts w:ascii="Times New Roman" w:eastAsia="Times New Roman" w:hAnsi="Times New Roman" w:cs="Times New Roman"/>
          <w:bCs/>
          <w:iCs/>
        </w:rPr>
        <w:t xml:space="preserve">ecent </w:t>
      </w:r>
      <w:r w:rsidR="00E44F53">
        <w:rPr>
          <w:rFonts w:ascii="Times New Roman" w:eastAsia="Times New Roman" w:hAnsi="Times New Roman" w:cs="Times New Roman"/>
          <w:bCs/>
          <w:iCs/>
        </w:rPr>
        <w:t>plan</w:t>
      </w:r>
      <w:r w:rsidR="000764A7">
        <w:rPr>
          <w:rFonts w:ascii="Times New Roman" w:eastAsia="Times New Roman" w:hAnsi="Times New Roman" w:cs="Times New Roman"/>
          <w:bCs/>
          <w:iCs/>
        </w:rPr>
        <w:t xml:space="preserve"> for the Klamath Falls area</w:t>
      </w:r>
      <w:r w:rsidR="00E44F53">
        <w:rPr>
          <w:rFonts w:ascii="Times New Roman" w:eastAsia="Times New Roman" w:hAnsi="Times New Roman" w:cs="Times New Roman"/>
          <w:bCs/>
          <w:iCs/>
        </w:rPr>
        <w:t xml:space="preserve">, that required DEQ to </w:t>
      </w:r>
      <w:r w:rsidR="004E2819" w:rsidRPr="00700ACF">
        <w:rPr>
          <w:rFonts w:ascii="Times New Roman" w:eastAsia="Times New Roman" w:hAnsi="Times New Roman" w:cs="Times New Roman"/>
          <w:bCs/>
          <w:iCs/>
        </w:rPr>
        <w:t>work with the Klamath Falls Air Quality Advisory Committee and other community members</w:t>
      </w:r>
      <w:r w:rsidR="00E44F53">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took two years</w:t>
      </w:r>
      <w:r w:rsidR="00E44F53">
        <w:rPr>
          <w:rFonts w:ascii="Times New Roman" w:eastAsia="Times New Roman" w:hAnsi="Times New Roman" w:cs="Times New Roman"/>
          <w:bCs/>
          <w:iCs/>
        </w:rPr>
        <w:t xml:space="preserve"> to develop</w:t>
      </w:r>
      <w:r w:rsidR="004E2819" w:rsidRPr="00700ACF">
        <w:rPr>
          <w:rFonts w:ascii="Times New Roman" w:eastAsia="Times New Roman" w:hAnsi="Times New Roman" w:cs="Times New Roman"/>
          <w:bCs/>
          <w:iCs/>
        </w:rPr>
        <w:t xml:space="preserve">.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 xml:space="preserve">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w:t>
      </w:r>
      <w:r w:rsidR="006D46E0" w:rsidRPr="00A028A4">
        <w:rPr>
          <w:rFonts w:ascii="Times New Roman" w:eastAsia="Times New Roman" w:hAnsi="Times New Roman" w:cs="Times New Roman"/>
          <w:bCs/>
        </w:rPr>
        <w:lastRenderedPageBreak/>
        <w:t xml:space="preserve">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facilities 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facilities 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lastRenderedPageBreak/>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9B5A69" w:rsidRDefault="00D913F6" w:rsidP="009B5A69">
      <w:pPr>
        <w:pStyle w:val="ListParagraph"/>
        <w:numPr>
          <w:ilvl w:val="0"/>
          <w:numId w:val="37"/>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224B4" w:rsidRPr="009B5A69">
        <w:rPr>
          <w:rFonts w:ascii="Times New Roman" w:eastAsia="Times New Roman" w:hAnsi="Times New Roman" w:cs="Times New Roman"/>
          <w:b/>
          <w:bCs/>
        </w:rPr>
        <w:t>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lastRenderedPageBreak/>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2E7578" w:rsidRPr="00EE5A29" w:rsidRDefault="002E7578" w:rsidP="002E7578">
      <w:pPr>
        <w:ind w:left="1080" w:right="18"/>
        <w:outlineLvl w:val="0"/>
        <w:rPr>
          <w:rFonts w:ascii="Times New Roman" w:eastAsia="Times New Roman" w:hAnsi="Times New Roman" w:cs="Times New Roman"/>
          <w:bCs/>
          <w:iCs/>
          <w:u w:val="single"/>
        </w:rPr>
      </w:pPr>
      <w:r w:rsidRPr="0057735D">
        <w:rPr>
          <w:rFonts w:ascii="Times New Roman" w:eastAsia="Times New Roman" w:hAnsi="Times New Roman" w:cs="Times New Roman"/>
          <w:bCs/>
          <w:iCs/>
        </w:rPr>
        <w:t xml:space="preserve">DEQ identified </w:t>
      </w:r>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Pr="0057735D">
        <w:rPr>
          <w:rFonts w:ascii="Times New Roman" w:eastAsia="Times New Roman" w:hAnsi="Times New Roman" w:cs="Times New Roman"/>
          <w:bCs/>
          <w:iCs/>
        </w:rPr>
        <w:t>) that may not be able to comply with 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3158C0">
        <w:rPr>
          <w:rFonts w:ascii="Times New Roman" w:eastAsia="Times New Roman" w:hAnsi="Times New Roman" w:cs="Times New Roman"/>
          <w:bCs/>
          <w:iCs/>
        </w:rPr>
        <w:t xml:space="preserve">new or </w:t>
      </w:r>
      <w:r w:rsidR="00814165" w:rsidRPr="0057735D">
        <w:rPr>
          <w:rFonts w:ascii="Times New Roman" w:eastAsia="Times New Roman" w:hAnsi="Times New Roman" w:cs="Times New Roman"/>
          <w:bCs/>
          <w:iCs/>
        </w:rPr>
        <w:t>upgrade</w:t>
      </w:r>
      <w:r w:rsidR="003158C0">
        <w:rPr>
          <w:rFonts w:ascii="Times New Roman" w:eastAsia="Times New Roman" w:hAnsi="Times New Roman" w:cs="Times New Roman"/>
          <w:bCs/>
          <w:iCs/>
        </w:rPr>
        <w:t>d</w:t>
      </w:r>
      <w:r w:rsidR="00814165" w:rsidRPr="0057735D">
        <w:rPr>
          <w:rFonts w:ascii="Times New Roman" w:eastAsia="Times New Roman" w:hAnsi="Times New Roman" w:cs="Times New Roman"/>
          <w:bCs/>
          <w:iCs/>
        </w:rPr>
        <w:t xml:space="preserve"> </w:t>
      </w:r>
      <w:r w:rsidRPr="0057735D">
        <w:rPr>
          <w:rFonts w:ascii="Times New Roman" w:eastAsia="Times New Roman" w:hAnsi="Times New Roman" w:cs="Times New Roman"/>
          <w:bCs/>
          <w:iCs/>
        </w:rPr>
        <w:t xml:space="preserve">control equipment. </w:t>
      </w:r>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of t</w:t>
      </w:r>
      <w:r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Pr="00EE5A29">
        <w:rPr>
          <w:rFonts w:ascii="Times New Roman" w:eastAsia="Times New Roman" w:hAnsi="Times New Roman" w:cs="Times New Roman"/>
          <w:bCs/>
          <w:iCs/>
        </w:rPr>
        <w:t>are asphalt plants.</w:t>
      </w:r>
      <w:r w:rsidRPr="00EE5A29">
        <w:rPr>
          <w:rFonts w:ascii="Times New Roman" w:eastAsia="Times New Roman" w:hAnsi="Times New Roman" w:cs="Times New Roman"/>
          <w:bCs/>
          <w:iCs/>
          <w:u w:val="single"/>
        </w:rPr>
        <w:t xml:space="preserve"> </w:t>
      </w:r>
    </w:p>
    <w:p w:rsidR="002E7578" w:rsidRPr="00EE5A29" w:rsidRDefault="002E7578" w:rsidP="002E7578">
      <w:pPr>
        <w:ind w:left="1080" w:right="1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 </w:t>
      </w: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E5A29" w:rsidP="00EA3EC9">
      <w:pPr>
        <w:spacing w:after="120"/>
        <w:ind w:left="1080" w:right="14"/>
        <w:outlineLvl w:val="0"/>
        <w:rPr>
          <w:rFonts w:ascii="Times New Roman" w:eastAsia="Times New Roman" w:hAnsi="Times New Roman" w:cs="Times New Roman"/>
          <w:bCs/>
        </w:rPr>
      </w:pPr>
      <w:r>
        <w:rPr>
          <w:rFonts w:ascii="Times New Roman" w:eastAsia="Times New Roman" w:hAnsi="Times New Roman" w:cs="Times New Roman"/>
          <w:bCs/>
          <w:iCs/>
        </w:rPr>
        <w:t xml:space="preserve">Boiler Tune-ups: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EE5A29" w:rsidP="00FB4B4E">
      <w:pPr>
        <w:ind w:left="1080"/>
        <w:jc w:val="both"/>
        <w:rPr>
          <w:rFonts w:ascii="Times New Roman" w:eastAsia="Times New Roman" w:hAnsi="Times New Roman" w:cs="Times New Roman"/>
          <w:bCs/>
        </w:rPr>
      </w:pPr>
      <w:r>
        <w:rPr>
          <w:rFonts w:ascii="Times New Roman" w:eastAsia="Times New Roman" w:hAnsi="Times New Roman" w:cs="Times New Roman"/>
          <w:bCs/>
        </w:rPr>
        <w:t>Multiclone Optimization:  Emissions from wood</w:t>
      </w:r>
      <w:r w:rsidR="005142AF">
        <w:rPr>
          <w:rFonts w:ascii="Times New Roman" w:eastAsia="Times New Roman" w:hAnsi="Times New Roman" w:cs="Times New Roman"/>
          <w:bCs/>
        </w:rPr>
        <w:t>-</w:t>
      </w:r>
      <w:r>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collector</w:t>
      </w:r>
      <w:r w:rsidR="004B77B4">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p>
    <w:p w:rsidR="00F0761A" w:rsidRDefault="00F0761A" w:rsidP="00F0761A">
      <w:pPr>
        <w:ind w:left="1080" w:right="18"/>
        <w:outlineLvl w:val="0"/>
        <w:rPr>
          <w:rFonts w:ascii="Times New Roman" w:eastAsia="Times New Roman" w:hAnsi="Times New Roman" w:cs="Times New Roman"/>
          <w:bCs/>
        </w:rPr>
      </w:pPr>
    </w:p>
    <w:p w:rsidR="009E3412" w:rsidRDefault="00EE5A29" w:rsidP="009E341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F</w:t>
      </w:r>
      <w:r w:rsidRPr="00EE5A29">
        <w:rPr>
          <w:rFonts w:ascii="Times New Roman" w:eastAsia="Times New Roman" w:hAnsi="Times New Roman" w:cs="Times New Roman"/>
          <w:bCs/>
        </w:rPr>
        <w:t>lue gas recirculation</w:t>
      </w:r>
      <w:r>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2 to 4 inches of water column.  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w:t>
      </w:r>
      <w:r w:rsidR="005A3C63">
        <w:rPr>
          <w:rFonts w:ascii="Times New Roman" w:eastAsia="Times New Roman" w:hAnsi="Times New Roman" w:cs="Times New Roman"/>
          <w:bCs/>
        </w:rPr>
        <w:lastRenderedPageBreak/>
        <w:t xml:space="preserve">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7D021E"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 xml:space="preserve">Ceramic high efficiency cones have been source tested at as low as 0.06 gr/dscf.  </w:t>
      </w:r>
      <w:r>
        <w:rPr>
          <w:rFonts w:ascii="Times New Roman" w:eastAsia="Times New Roman" w:hAnsi="Times New Roman" w:cs="Times New Roman"/>
          <w:bCs/>
        </w:rPr>
        <w:t xml:space="preserve">The range of costs for regular multiclones and installation is approximately $60,000 to $100,000.  Installed ceramic high efficiency multiple cyclones cost </w:t>
      </w:r>
      <w:r w:rsidR="00C736DE">
        <w:rPr>
          <w:rFonts w:ascii="Times New Roman" w:eastAsia="Times New Roman" w:hAnsi="Times New Roman" w:cs="Times New Roman"/>
          <w:bCs/>
        </w:rPr>
        <w:t>approximately $</w:t>
      </w:r>
      <w:r>
        <w:rPr>
          <w:rFonts w:ascii="Times New Roman" w:eastAsia="Times New Roman" w:hAnsi="Times New Roman" w:cs="Times New Roman"/>
          <w:bCs/>
        </w:rPr>
        <w:t xml:space="preserve">110,000 to $120.000. </w:t>
      </w:r>
      <w:r w:rsidR="00C14051">
        <w:rPr>
          <w:rFonts w:ascii="Times New Roman" w:eastAsia="Times New Roman" w:hAnsi="Times New Roman" w:cs="Times New Roman"/>
          <w:bCs/>
        </w:rPr>
        <w:t xml:space="preserve"> Typical iron m</w:t>
      </w:r>
      <w:r>
        <w:rPr>
          <w:rFonts w:ascii="Times New Roman" w:eastAsia="Times New Roman" w:hAnsi="Times New Roman" w:cs="Times New Roman"/>
          <w:bCs/>
        </w:rPr>
        <w:t>ul</w:t>
      </w:r>
      <w:r w:rsidR="00C14051">
        <w:rPr>
          <w:rFonts w:ascii="Times New Roman" w:eastAsia="Times New Roman" w:hAnsi="Times New Roman" w:cs="Times New Roman"/>
          <w:bCs/>
        </w:rPr>
        <w:t>ti</w:t>
      </w:r>
      <w:r>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B155A9"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Engineering Analysis: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 xml:space="preserve">will vary, but is expected to </w:t>
      </w:r>
      <w:r w:rsidR="00E7194C">
        <w:rPr>
          <w:rFonts w:ascii="Times New Roman" w:eastAsia="Times New Roman" w:hAnsi="Times New Roman" w:cs="Times New Roman"/>
          <w:bCs/>
        </w:rPr>
        <w:t xml:space="preserve">be approximately $5,000.  </w:t>
      </w:r>
    </w:p>
    <w:p w:rsidR="000C367A" w:rsidRDefault="000C367A" w:rsidP="00635602">
      <w:pPr>
        <w:ind w:left="1080" w:right="18"/>
        <w:outlineLvl w:val="0"/>
        <w:rPr>
          <w:rFonts w:ascii="Times New Roman" w:eastAsia="Times New Roman" w:hAnsi="Times New Roman" w:cs="Times New Roman"/>
          <w:bCs/>
        </w:rPr>
      </w:pPr>
    </w:p>
    <w:p w:rsidR="00566848" w:rsidRPr="00566848" w:rsidRDefault="007E51EC" w:rsidP="00566848">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Pr="001A4276">
        <w:rPr>
          <w:rFonts w:ascii="Times New Roman" w:eastAsia="Times New Roman" w:hAnsi="Times New Roman" w:cs="Times New Roman"/>
          <w:bCs/>
        </w:rPr>
        <w:t xml:space="preserve">$1,000 per year. </w:t>
      </w:r>
      <w:r w:rsidR="00417F1B" w:rsidRPr="001A4276">
        <w:rPr>
          <w:rFonts w:ascii="Times New Roman" w:eastAsia="Times New Roman" w:hAnsi="Times New Roman" w:cs="Times New Roman"/>
          <w:bCs/>
        </w:rPr>
        <w:t>Equipment and installation of a recently installed COMS on a wood-fired boiler cost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Pr="0092287A" w:rsidRDefault="0009093B"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While not required by th</w:t>
      </w:r>
      <w:r w:rsidR="00BB46A9">
        <w:rPr>
          <w:rFonts w:ascii="Times New Roman" w:eastAsia="Times New Roman" w:hAnsi="Times New Roman" w:cs="Times New Roman"/>
          <w:bCs/>
        </w:rPr>
        <w:t>e</w:t>
      </w:r>
      <w:r>
        <w:rPr>
          <w:rFonts w:ascii="Times New Roman" w:eastAsia="Times New Roman" w:hAnsi="Times New Roman" w:cs="Times New Roman"/>
          <w:bCs/>
        </w:rPr>
        <w:t xml:space="preserve"> proposed rule</w:t>
      </w:r>
      <w:r w:rsidR="00BB46A9">
        <w:rPr>
          <w:rFonts w:ascii="Times New Roman" w:eastAsia="Times New Roman" w:hAnsi="Times New Roman" w:cs="Times New Roman"/>
          <w:bCs/>
        </w:rPr>
        <w:t>s</w:t>
      </w:r>
      <w:r>
        <w:rPr>
          <w:rFonts w:ascii="Times New Roman" w:eastAsia="Times New Roman" w:hAnsi="Times New Roman" w:cs="Times New Roman"/>
          <w:bCs/>
        </w:rPr>
        <w:t>, some businesses may voluntarily elect to install electrostatic precipitators, which can easily meet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ESP is that it can control emissions over a wider range of operating conditions that may vary significantly due to steam demand and fuel quality.  </w:t>
      </w:r>
      <w:r w:rsidR="0092287A" w:rsidRPr="0092287A">
        <w:rPr>
          <w:rFonts w:ascii="Times New Roman" w:eastAsia="Times New Roman" w:hAnsi="Times New Roman" w:cs="Times New Roman"/>
          <w:bCs/>
        </w:rPr>
        <w:t>Information from vendors indicates a new ESP costs approximately $</w:t>
      </w:r>
      <w:r w:rsidR="00524020">
        <w:rPr>
          <w:rFonts w:ascii="Times New Roman" w:eastAsia="Times New Roman" w:hAnsi="Times New Roman" w:cs="Times New Roman"/>
          <w:bCs/>
        </w:rPr>
        <w:t>850,000</w:t>
      </w:r>
      <w:r w:rsidR="0092287A" w:rsidRPr="0092287A">
        <w:rPr>
          <w:rFonts w:ascii="Times New Roman" w:eastAsia="Times New Roman" w:hAnsi="Times New Roman" w:cs="Times New Roman"/>
          <w:bCs/>
        </w:rPr>
        <w:t xml:space="preserve"> to $2.2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for the affected wood fired boilers range in costs from approximately $420,000 to $700,000 installed.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92287A" w:rsidRPr="0092287A" w:rsidRDefault="0092287A" w:rsidP="0092287A">
      <w:pPr>
        <w:ind w:left="1080" w:right="18"/>
        <w:outlineLvl w:val="0"/>
        <w:rPr>
          <w:rFonts w:ascii="Times New Roman" w:eastAsia="Times New Roman" w:hAnsi="Times New Roman" w:cs="Times New Roman"/>
          <w:b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may not meet the lower standards 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DE17C7" w:rsidP="00A52FEF">
      <w:pPr>
        <w:ind w:left="108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 </w:t>
      </w:r>
      <w:r w:rsidR="00EF7509">
        <w:rPr>
          <w:rFonts w:ascii="Times New Roman" w:eastAsia="Times New Roman" w:hAnsi="Times New Roman" w:cs="Times New Roman"/>
          <w:bCs/>
        </w:rPr>
        <w:t xml:space="preserve">A recent extensive rebuild of an asphalt plant scrubber cost $13,500 and was tested at 0.035 gr/dscf.  </w:t>
      </w:r>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r w:rsidR="00274EC1">
        <w:rPr>
          <w:rFonts w:ascii="Times New Roman" w:eastAsia="Times New Roman" w:hAnsi="Times New Roman" w:cs="Times New Roman"/>
          <w:bCs/>
        </w:rPr>
        <w:t>.  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Pr="0092287A">
        <w:rPr>
          <w:rFonts w:ascii="Times New Roman" w:eastAsia="Times New Roman" w:hAnsi="Times New Roman" w:cs="Times New Roman"/>
          <w:bCs/>
          <w:iCs/>
        </w:rPr>
        <w:t xml:space="preserve">lower standards. </w:t>
      </w:r>
      <w:bookmarkStart w:id="2" w:name="_GoBack"/>
      <w:bookmarkEnd w:id="2"/>
      <w:r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DE17C7" w:rsidP="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S</w:t>
      </w:r>
      <w:r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Pr>
          <w:rFonts w:ascii="Times New Roman" w:eastAsia="Times New Roman" w:hAnsi="Times New Roman" w:cs="Times New Roman"/>
          <w:bCs/>
        </w:rPr>
        <w:t xml:space="preserve"> cost </w:t>
      </w:r>
      <w:r w:rsidRPr="0092287A">
        <w:rPr>
          <w:rFonts w:ascii="Times New Roman" w:eastAsia="Times New Roman" w:hAnsi="Times New Roman" w:cs="Times New Roman"/>
          <w:bCs/>
        </w:rPr>
        <w:t>$12,000</w:t>
      </w:r>
      <w:r>
        <w:rPr>
          <w:rFonts w:ascii="Times New Roman" w:eastAsia="Times New Roman" w:hAnsi="Times New Roman" w:cs="Times New Roman"/>
          <w:bCs/>
        </w:rPr>
        <w:t xml:space="preserve"> to $13,000</w:t>
      </w:r>
      <w:r w:rsidRPr="0092287A">
        <w:rPr>
          <w:rFonts w:ascii="Times New Roman" w:eastAsia="Times New Roman" w:hAnsi="Times New Roman" w:cs="Times New Roman"/>
          <w:bCs/>
        </w:rPr>
        <w:t>.</w:t>
      </w:r>
      <w:r>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510B7C" w:rsidRP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Establishing a separate minor NSR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NSR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with monthly throughput of less than 10,000 gallons of gasoline is 540. Removing the annual reporting </w:t>
      </w:r>
      <w:r w:rsidRPr="00E638D3">
        <w:rPr>
          <w:rFonts w:ascii="Times New Roman" w:eastAsia="Times New Roman" w:hAnsi="Times New Roman" w:cs="Times New Roman"/>
          <w:bCs/>
        </w:rPr>
        <w:lastRenderedPageBreak/>
        <w:t>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5"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r w:rsidR="0059415B">
              <w:rPr>
                <w:rFonts w:ascii="Times New Roman" w:eastAsia="Times New Roman" w:hAnsi="Times New Roman" w:cs="Times New Roman"/>
                <w:bCs/>
              </w:rPr>
              <w:t xml:space="preserve">Approximately </w:t>
            </w:r>
            <w:r w:rsidR="00855294">
              <w:rPr>
                <w:rFonts w:ascii="Times New Roman" w:eastAsia="Times New Roman" w:hAnsi="Times New Roman" w:cs="Times New Roman"/>
                <w:bCs/>
              </w:rPr>
              <w:t>3</w:t>
            </w:r>
            <w:r w:rsidR="0059415B">
              <w:rPr>
                <w:rFonts w:ascii="Times New Roman" w:eastAsia="Times New Roman" w:hAnsi="Times New Roman" w:cs="Times New Roman"/>
                <w:bCs/>
              </w:rPr>
              <w:t xml:space="preserve">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w:t>
            </w:r>
            <w:r w:rsidR="00855294">
              <w:rPr>
                <w:rFonts w:ascii="Times New Roman" w:eastAsia="Times New Roman" w:hAnsi="Times New Roman" w:cs="Times New Roman"/>
                <w:bCs/>
              </w:rPr>
              <w:t>optimize operations or upgrade existing controls</w:t>
            </w:r>
            <w:r w:rsidR="0059415B">
              <w:rPr>
                <w:rFonts w:ascii="Times New Roman" w:eastAsia="Times New Roman" w:hAnsi="Times New Roman" w:cs="Times New Roman"/>
                <w:b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7D0F98" w:rsidP="0089297D">
      <w:pPr>
        <w:ind w:left="720" w:right="18"/>
      </w:pPr>
      <w:hyperlink r:id="rId26"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lastRenderedPageBreak/>
        <w:t>EPA Air Pollution Control Cost Manual, Report No. 452/B-02-001, January 2002, Section 6, Chapter 1, Baghouses and Filters.</w:t>
      </w:r>
      <w:r>
        <w:rPr>
          <w:rFonts w:asciiTheme="minorHAnsi" w:eastAsia="Times New Roman" w:hAnsiTheme="minorHAnsi" w:cstheme="minorHAnsi"/>
          <w:bCs/>
        </w:rPr>
        <w:t xml:space="preserve"> </w:t>
      </w:r>
      <w:hyperlink r:id="rId27"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510B7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29"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5B5BB9" w:rsidRPr="006E4FC1" w:rsidRDefault="005B5BB9" w:rsidP="0089297D">
      <w:pPr>
        <w:pStyle w:val="ListParagraph"/>
        <w:numPr>
          <w:ilvl w:val="0"/>
          <w:numId w:val="26"/>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lastRenderedPageBreak/>
        <w:t xml:space="preserve">DEQ considered leaving the rules as they are but wanted to clarify as much as possible and update all rules. DEQ did not pursue this 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The New Source Performance Standard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008B2BC3">
        <w:rPr>
          <w:rFonts w:ascii="Times New Roman" w:hAnsi="Times New Roman" w:cs="Times New Roman"/>
          <w:bCs/>
        </w:rPr>
        <w:t xml:space="preserve">The New Source Performance </w:t>
      </w:r>
      <w:r w:rsidRPr="00BD316E">
        <w:rPr>
          <w:rFonts w:ascii="Times New Roman" w:hAnsi="Times New Roman" w:cs="Times New Roman"/>
          <w:bCs/>
        </w:rPr>
        <w:t>Standards for Nonmetallic Mineral Processing Plants</w:t>
      </w:r>
      <w:r w:rsidR="008B2BC3" w:rsidRPr="008B2BC3">
        <w:rPr>
          <w:rFonts w:ascii="Times New Roman" w:hAnsi="Times New Roman" w:cs="Times New Roman"/>
          <w:bCs/>
        </w:rPr>
        <w:t xml:space="preserve"> </w:t>
      </w:r>
      <w:r w:rsidR="008B2BC3">
        <w:rPr>
          <w:rFonts w:ascii="Times New Roman" w:hAnsi="Times New Roman" w:cs="Times New Roman"/>
          <w:bCs/>
        </w:rPr>
        <w:t>(</w:t>
      </w:r>
      <w:r w:rsidR="008B2BC3" w:rsidRPr="00BD316E">
        <w:rPr>
          <w:rFonts w:ascii="Times New Roman" w:hAnsi="Times New Roman" w:cs="Times New Roman"/>
          <w:bCs/>
        </w:rPr>
        <w:t>Subpart OOO</w:t>
      </w:r>
      <w:r w:rsidR="008B2BC3">
        <w:rPr>
          <w:rFonts w:ascii="Times New Roman" w:hAnsi="Times New Roman" w:cs="Times New Roman"/>
          <w:bCs/>
        </w:rPr>
        <w:t>)</w:t>
      </w:r>
      <w:r w:rsidRPr="00BD316E">
        <w:rPr>
          <w:rFonts w:ascii="Times New Roman" w:hAnsi="Times New Roman" w:cs="Times New Roman"/>
          <w:bCs/>
        </w:rPr>
        <w:t xml:space="preserve">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w:t>
      </w:r>
      <w:r w:rsidR="007A30D0" w:rsidRPr="00BD316E">
        <w:rPr>
          <w:rFonts w:ascii="Times New Roman" w:hAnsi="Times New Roman" w:cs="Times New Roman"/>
          <w:bCs/>
        </w:rPr>
        <w:t>New Source Performance Standard</w:t>
      </w:r>
      <w:r w:rsidR="007A30D0">
        <w:rPr>
          <w:rFonts w:ascii="Times New Roman" w:hAnsi="Times New Roman" w:cs="Times New Roman"/>
          <w:bCs/>
        </w:rPr>
        <w:t xml:space="preserve">s </w:t>
      </w:r>
      <w:r w:rsidRPr="00BD316E">
        <w:rPr>
          <w:rFonts w:ascii="Times New Roman" w:hAnsi="Times New Roman" w:cs="Times New Roman"/>
          <w:bCs/>
        </w:rPr>
        <w:t>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to 0.10 gr/dscf)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89297D">
      <w:pPr>
        <w:pStyle w:val="ListParagraph"/>
        <w:numPr>
          <w:ilvl w:val="0"/>
          <w:numId w:val="26"/>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lastRenderedPageBreak/>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0855AB">
      <w:pPr>
        <w:ind w:left="1080" w:right="18"/>
        <w:rPr>
          <w:rFonts w:ascii="Times New Roman" w:hAnsi="Times New Roman" w:cs="Times New Roman"/>
          <w:bCs/>
        </w:rPr>
      </w:pPr>
    </w:p>
    <w:p w:rsidR="004C7FD1" w:rsidRPr="00870068" w:rsidRDefault="004677BD" w:rsidP="004C7FD1">
      <w:pPr>
        <w:pStyle w:val="ListParagraph"/>
        <w:numPr>
          <w:ilvl w:val="0"/>
          <w:numId w:val="26"/>
        </w:numPr>
        <w:ind w:left="1080" w:right="18"/>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4C7FD1" w:rsidRDefault="004C7FD1" w:rsidP="004C7FD1">
      <w:pPr>
        <w:ind w:left="1080" w:right="1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Pr>
          <w:rFonts w:ascii="Times New Roman" w:hAnsi="Times New Roman" w:cs="Times New Roman"/>
          <w:bCs/>
        </w:rPr>
        <w:t xml:space="preserve"> because the </w:t>
      </w:r>
      <w:r w:rsidR="004677BD">
        <w:rPr>
          <w:rFonts w:ascii="Times New Roman" w:hAnsi="Times New Roman" w:cs="Times New Roman"/>
          <w:bCs/>
        </w:rPr>
        <w:t xml:space="preserve">possibility of EPA approval </w:t>
      </w:r>
      <w:r>
        <w:rPr>
          <w:rFonts w:ascii="Times New Roman" w:hAnsi="Times New Roman" w:cs="Times New Roman"/>
          <w:bCs/>
        </w:rPr>
        <w:t xml:space="preserve">was unknown at the time. </w:t>
      </w:r>
      <w:r w:rsidRPr="005B116B">
        <w:rPr>
          <w:rFonts w:ascii="Times New Roman" w:hAnsi="Times New Roman" w:cs="Times New Roman"/>
          <w:bCs/>
        </w:rPr>
        <w:t xml:space="preserve">DEQ did not pursue this alternative because </w:t>
      </w:r>
      <w:r w:rsidR="004677BD">
        <w:rPr>
          <w:rFonts w:ascii="Times New Roman" w:hAnsi="Times New Roman" w:cs="Times New Roman"/>
          <w:bCs/>
        </w:rPr>
        <w:t>meeting</w:t>
      </w:r>
      <w:r w:rsidR="00464130">
        <w:rPr>
          <w:rFonts w:ascii="Times New Roman" w:hAnsi="Times New Roman" w:cs="Times New Roman"/>
          <w:bCs/>
        </w:rPr>
        <w:t>s</w:t>
      </w:r>
      <w:r w:rsidR="004677BD">
        <w:rPr>
          <w:rFonts w:ascii="Times New Roman" w:hAnsi="Times New Roman" w:cs="Times New Roman"/>
          <w:bCs/>
        </w:rPr>
        <w:t xml:space="preserve"> with 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0855AB">
      <w:pPr>
        <w:ind w:left="1080" w:right="18"/>
        <w:rPr>
          <w:rFonts w:ascii="Times New Roman" w:hAnsi="Times New Roman" w:cs="Times New Roman"/>
          <w:bCs/>
        </w:rPr>
      </w:pPr>
    </w:p>
    <w:p w:rsidR="004C7FD1" w:rsidRPr="00870068" w:rsidRDefault="004006D4" w:rsidP="004C7FD1">
      <w:pPr>
        <w:pStyle w:val="ListParagraph"/>
        <w:numPr>
          <w:ilvl w:val="0"/>
          <w:numId w:val="26"/>
        </w:numPr>
        <w:ind w:left="1080" w:right="1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566848" w:rsidRPr="00566848" w:rsidRDefault="00566848" w:rsidP="00566848">
      <w:pPr>
        <w:ind w:left="1080" w:right="18"/>
        <w:rPr>
          <w:rFonts w:ascii="Times New Roman" w:hAnsi="Times New Roman" w:cs="Times New Roman"/>
          <w:bCs/>
        </w:rPr>
      </w:pPr>
      <w:r w:rsidRPr="00566848">
        <w:rPr>
          <w:rFonts w:ascii="Times New Roman" w:hAnsi="Times New Roman" w:cs="Times New Roman"/>
          <w:bCs/>
        </w:rPr>
        <w:t>DEQ considered not designating Lakeview a sustainment area because the desire of the local community was unknown at the time. DEQ did not pursue this alternative because loca</w:t>
      </w:r>
      <w:r>
        <w:rPr>
          <w:rFonts w:ascii="Times New Roman" w:hAnsi="Times New Roman" w:cs="Times New Roman"/>
          <w:bCs/>
        </w:rPr>
        <w:t>l</w:t>
      </w:r>
      <w:r w:rsidRPr="00566848">
        <w:rPr>
          <w:rFonts w:ascii="Times New Roman" w:hAnsi="Times New Roman" w:cs="Times New Roman"/>
          <w:bCs/>
        </w:rPr>
        <w:t xml:space="preserve"> city and county officials </w:t>
      </w:r>
      <w:r>
        <w:rPr>
          <w:rFonts w:ascii="Times New Roman" w:hAnsi="Times New Roman" w:cs="Times New Roman"/>
          <w:bCs/>
        </w:rPr>
        <w:t>support</w:t>
      </w:r>
      <w:r w:rsidRPr="00566848">
        <w:rPr>
          <w:rFonts w:ascii="Times New Roman" w:hAnsi="Times New Roman" w:cs="Times New Roman"/>
          <w:bCs/>
        </w:rPr>
        <w:t xml:space="preserve"> the designation.  </w:t>
      </w:r>
    </w:p>
    <w:p w:rsidR="004C7FD1" w:rsidRPr="00BD316E" w:rsidRDefault="004C7FD1" w:rsidP="004C7FD1">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w:t>
      </w:r>
      <w:r w:rsidRPr="00BD316E">
        <w:rPr>
          <w:rFonts w:ascii="Times New Roman" w:hAnsi="Times New Roman" w:cs="Times New Roman"/>
          <w:bCs/>
        </w:rPr>
        <w:lastRenderedPageBreak/>
        <w:t xml:space="preserve">called State New Source Review. This change, along with the designation of sustainment and reattainment areas </w:t>
      </w:r>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but still protect the 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A52184">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this 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4C7FD1" w:rsidP="0089297D">
      <w:pPr>
        <w:pStyle w:val="ListParagraph"/>
        <w:numPr>
          <w:ilvl w:val="0"/>
          <w:numId w:val="26"/>
        </w:numPr>
        <w:ind w:left="1080" w:right="18"/>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8B2BC3" w:rsidP="0089297D">
      <w:pPr>
        <w:ind w:left="1080" w:right="18"/>
        <w:rPr>
          <w:rFonts w:ascii="Times New Roman" w:hAnsi="Times New Roman" w:cs="Times New Roman"/>
          <w:bCs/>
        </w:rPr>
      </w:pPr>
      <w:r>
        <w:rPr>
          <w:rFonts w:ascii="Times New Roman" w:hAnsi="Times New Roman" w:cs="Times New Roman"/>
          <w:bCs/>
        </w:rPr>
        <w:t>C</w:t>
      </w:r>
      <w:r w:rsidR="005B5BB9" w:rsidRPr="00BD316E">
        <w:rPr>
          <w:rFonts w:ascii="Times New Roman" w:hAnsi="Times New Roman" w:cs="Times New Roman"/>
          <w:bCs/>
        </w:rPr>
        <w:t>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lastRenderedPageBreak/>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0"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1"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7D0F98"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2"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3"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1B1956" w:rsidP="00E11474">
      <w:pPr>
        <w:ind w:left="1440" w:right="1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lastRenderedPageBreak/>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1B1956" w:rsidP="00137427">
      <w:pPr>
        <w:pStyle w:val="ListParagraph"/>
        <w:numPr>
          <w:ilvl w:val="0"/>
          <w:numId w:val="17"/>
        </w:numPr>
        <w:ind w:right="18"/>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137427">
      <w:pPr>
        <w:pStyle w:val="ListParagraph"/>
        <w:numPr>
          <w:ilvl w:val="0"/>
          <w:numId w:val="16"/>
        </w:numPr>
        <w:ind w:right="1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3" w:name="AdvisoryCommittee"/>
      <w:r w:rsidR="00C9239E" w:rsidRPr="006E3C74">
        <w:rPr>
          <w:rFonts w:asciiTheme="majorHAnsi" w:eastAsia="Times New Roman" w:hAnsiTheme="majorHAnsi" w:cstheme="majorHAnsi"/>
          <w:bCs/>
          <w:sz w:val="22"/>
          <w:szCs w:val="22"/>
        </w:rPr>
        <w:t>Advisory committee</w:t>
      </w:r>
      <w:bookmarkEnd w:id="3"/>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 xml:space="preserve">throughout the state (Portland, Pendleton, Eugene and Medford) to discuss and </w:t>
      </w:r>
      <w:r w:rsidR="00122920" w:rsidRPr="006E3C74">
        <w:rPr>
          <w:rFonts w:asciiTheme="minorHAnsi" w:eastAsia="Times New Roman" w:hAnsiTheme="minorHAnsi" w:cstheme="minorHAnsi"/>
        </w:rPr>
        <w:t xml:space="preserve">allow </w:t>
      </w:r>
      <w:r>
        <w:rPr>
          <w:rFonts w:asciiTheme="minorHAnsi" w:eastAsia="Times New Roman" w:hAnsiTheme="minorHAnsi" w:cstheme="minorHAnsi"/>
        </w:rPr>
        <w:t xml:space="preserve">for </w:t>
      </w:r>
      <w:r w:rsidR="00122920"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w:t>
      </w:r>
      <w:r w:rsidR="00122920" w:rsidRPr="006E3C74">
        <w:rPr>
          <w:rFonts w:asciiTheme="minorHAnsi" w:eastAsia="Times New Roman" w:hAnsiTheme="minorHAnsi" w:cstheme="minorHAnsi"/>
        </w:rPr>
        <w:t>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w:t>
      </w:r>
      <w:r w:rsidR="0001243A">
        <w:rPr>
          <w:rFonts w:ascii="Times New Roman" w:eastAsia="Times New Roman" w:hAnsi="Times New Roman" w:cs="Times New Roman"/>
        </w:rPr>
        <w:t xml:space="preserve"> Dire</w:t>
      </w:r>
      <w:r w:rsidR="007F5700">
        <w:rPr>
          <w:rFonts w:ascii="Times New Roman" w:eastAsia="Times New Roman" w:hAnsi="Times New Roman" w:cs="Times New Roman"/>
        </w:rPr>
        <w:t xml:space="preserve">ctor’s dialog at the </w:t>
      </w:r>
      <w:r w:rsidR="007F5700" w:rsidRPr="00D42572">
        <w:rPr>
          <w:rFonts w:ascii="Times New Roman" w:eastAsia="Times New Roman" w:hAnsi="Times New Roman" w:cs="Times New Roman"/>
          <w:highlight w:val="yellow"/>
        </w:rPr>
        <w:t xml:space="preserve">December 11, </w:t>
      </w:r>
      <w:r w:rsidR="0001243A" w:rsidRPr="00D42572">
        <w:rPr>
          <w:rFonts w:ascii="Times New Roman" w:eastAsia="Times New Roman" w:hAnsi="Times New Roman" w:cs="Times New Roman"/>
          <w:highlight w:val="yellow"/>
        </w:rPr>
        <w:t>2013 EQC meeting and a</w:t>
      </w:r>
      <w:r w:rsidR="00A74227" w:rsidRPr="00D42572">
        <w:rPr>
          <w:rFonts w:ascii="Times New Roman" w:eastAsia="Times New Roman" w:hAnsi="Times New Roman" w:cs="Times New Roman"/>
          <w:highlight w:val="yellow"/>
        </w:rPr>
        <w:t>n i</w:t>
      </w:r>
      <w:r w:rsidR="001F2D3C" w:rsidRPr="00D42572">
        <w:rPr>
          <w:rFonts w:ascii="Times New Roman" w:eastAsia="Times New Roman" w:hAnsi="Times New Roman" w:cs="Times New Roman"/>
          <w:highlight w:val="yellow"/>
        </w:rPr>
        <w:t xml:space="preserve">nformation item 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510B7C" w:rsidRPr="00D42572">
        <w:rPr>
          <w:rFonts w:ascii="Times New Roman" w:eastAsia="Times New Roman" w:hAnsi="Times New Roman" w:cs="Times New Roman"/>
          <w:highlight w:val="yellow"/>
        </w:rPr>
        <w:t>.</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4"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5"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 xml:space="preserve">on </w:t>
      </w:r>
      <w:r w:rsidR="00FB5B86">
        <w:rPr>
          <w:rFonts w:asciiTheme="minorHAnsi" w:eastAsia="Times New Roman" w:hAnsiTheme="minorHAnsi" w:cstheme="minorHAnsi"/>
        </w:rPr>
        <w:t>Decem</w:t>
      </w:r>
      <w:r w:rsidR="006510A0" w:rsidRPr="006510A0">
        <w:rPr>
          <w:rFonts w:asciiTheme="minorHAnsi" w:eastAsia="Times New Roman" w:hAnsiTheme="minorHAnsi" w:cstheme="minorHAnsi"/>
        </w:rPr>
        <w:t>ber 1</w:t>
      </w:r>
      <w:r w:rsidR="007F5700">
        <w:rPr>
          <w:rFonts w:asciiTheme="minorHAnsi" w:eastAsia="Times New Roman" w:hAnsiTheme="minorHAnsi" w:cstheme="minorHAnsi"/>
        </w:rPr>
        <w:t>7</w:t>
      </w:r>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8514A8">
        <w:rPr>
          <w:rFonts w:asciiTheme="minorHAnsi" w:eastAsia="Times New Roman" w:hAnsiTheme="minorHAnsi" w:cstheme="minorHAnsi"/>
        </w:rPr>
        <w:t>____________</w:t>
      </w:r>
      <w:r w:rsidR="00C21575" w:rsidRPr="006E3C74">
        <w:rPr>
          <w:rFonts w:asciiTheme="minorHAnsi" w:eastAsia="Times New Roman" w:hAnsiTheme="minorHAnsi" w:cstheme="minorHAnsi"/>
        </w:rPr>
        <w:t xml:space="preserve">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lastRenderedPageBreak/>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6"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4" w:name="SENR"/>
      <w:r w:rsidR="008723F5" w:rsidRPr="008514A8">
        <w:rPr>
          <w:rFonts w:asciiTheme="minorHAnsi" w:eastAsia="Times New Roman" w:hAnsiTheme="minorHAnsi" w:cstheme="minorHAnsi"/>
          <w:bCs/>
        </w:rPr>
        <w:t>Senate Environment and Natural Resources</w:t>
      </w:r>
      <w:bookmarkEnd w:id="4"/>
      <w:r w:rsidR="00016F5E" w:rsidRPr="008514A8">
        <w:rPr>
          <w:rFonts w:asciiTheme="minorHAnsi" w:eastAsia="Times New Roman" w:hAnsiTheme="minorHAnsi" w:cstheme="minorHAnsi"/>
        </w:rPr>
        <w:t xml:space="preserve"> </w:t>
      </w:r>
    </w:p>
    <w:p w:rsidR="00016F5E" w:rsidRPr="008514A8" w:rsidRDefault="006A06FC"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5" w:name="HEE"/>
      <w:r w:rsidR="008723F5" w:rsidRPr="008514A8">
        <w:rPr>
          <w:rFonts w:asciiTheme="minorHAnsi" w:eastAsia="Times New Roman" w:hAnsiTheme="minorHAnsi" w:cstheme="minorHAnsi"/>
          <w:bCs/>
        </w:rPr>
        <w:t>House Energy and Environment</w:t>
      </w:r>
      <w:bookmarkEnd w:id="5"/>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B13120" w:rsidRPr="008514A8">
        <w:rPr>
          <w:rFonts w:asciiTheme="minorHAnsi" w:eastAsia="Times New Roman" w:hAnsiTheme="minorHAnsi" w:cstheme="minorHAnsi"/>
        </w:rPr>
        <w:t xml:space="preserve"> on </w:t>
      </w:r>
      <w:r w:rsidR="008514A8">
        <w:rPr>
          <w:rFonts w:asciiTheme="minorHAnsi" w:eastAsia="Times New Roman" w:hAnsiTheme="minorHAnsi" w:cstheme="minorHAnsi"/>
        </w:rPr>
        <w:t>______________</w:t>
      </w:r>
      <w:r w:rsidR="006510A0" w:rsidRPr="008514A8">
        <w:rPr>
          <w:rFonts w:asciiTheme="minorHAnsi" w:eastAsia="Times New Roman" w:hAnsiTheme="minorHAnsi" w:cstheme="minorHAnsi"/>
        </w:rPr>
        <w:t>,</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w:t>
      </w:r>
      <w:r w:rsidR="00FB5B86">
        <w:rPr>
          <w:rFonts w:asciiTheme="minorHAnsi" w:eastAsia="Times New Roman" w:hAnsiTheme="minorHAnsi" w:cstheme="minorHAnsi"/>
        </w:rPr>
        <w:t xml:space="preserve">aily Journal of Commerce on </w:t>
      </w:r>
      <w:r w:rsidR="008514A8">
        <w:rPr>
          <w:rFonts w:asciiTheme="minorHAnsi" w:eastAsia="Times New Roman" w:hAnsiTheme="minorHAnsi" w:cstheme="minorHAnsi"/>
        </w:rPr>
        <w:t>________________</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8514A8">
        <w:rPr>
          <w:rFonts w:asciiTheme="minorHAnsi" w:eastAsia="Times New Roman" w:hAnsiTheme="minorHAnsi" w:cstheme="minorHAnsi"/>
          <w:bCs/>
        </w:rPr>
        <w:t>___________</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7"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8"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6" w:name="_MON_1421138453"/>
    <w:bookmarkEnd w:id="6"/>
    <w:p w:rsidR="00982C6B" w:rsidRPr="006E3C74" w:rsidRDefault="003968FD"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5pt;height:3in" o:ole="">
            <v:imagedata r:id="rId39" o:title=""/>
          </v:shape>
          <o:OLEObject Type="Embed" ProgID="Excel.Sheet.12" ShapeID="_x0000_i1025" DrawAspect="Content" ObjectID="_1449999524" r:id="rId40"/>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2F5550" w:rsidRPr="00E638D3" w:rsidRDefault="009B4ACA" w:rsidP="00B24C91">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lastRenderedPageBreak/>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3968FD">
        <w:rPr>
          <w:rFonts w:asciiTheme="minorHAnsi" w:eastAsia="Times New Roman" w:hAnsiTheme="minorHAnsi" w:cstheme="minorHAnsi"/>
          <w:bCs/>
        </w:rPr>
        <w:t>__________</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FB5B86" w:rsidRPr="00E638D3" w:rsidRDefault="00FB5B86">
      <w:pPr>
        <w:spacing w:after="120"/>
        <w:ind w:left="720" w:right="18"/>
        <w:outlineLvl w:val="0"/>
        <w:rPr>
          <w:rFonts w:asciiTheme="minorHAnsi" w:eastAsia="Times New Roman" w:hAnsiTheme="minorHAnsi" w:cstheme="minorHAnsi"/>
          <w:bCs/>
        </w:rPr>
      </w:pPr>
    </w:p>
    <w:sectPr w:rsidR="00FB5B86" w:rsidRPr="00E638D3" w:rsidSect="002E76F1">
      <w:footerReference w:type="default" r:id="rId41"/>
      <w:pgSz w:w="12240" w:h="15840"/>
      <w:pgMar w:top="1080" w:right="72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948" w:rsidRDefault="00296948" w:rsidP="00BD316E">
      <w:r>
        <w:separator/>
      </w:r>
    </w:p>
  </w:endnote>
  <w:endnote w:type="continuationSeparator" w:id="0">
    <w:p w:rsidR="00296948" w:rsidRDefault="00296948"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48" w:rsidRPr="00BD316E" w:rsidRDefault="00296948" w:rsidP="00A31506">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C736DE">
      <w:rPr>
        <w:rFonts w:asciiTheme="minorHAnsi" w:hAnsiTheme="minorHAnsi" w:cstheme="minorHAnsi"/>
        <w:noProof/>
        <w:sz w:val="20"/>
        <w:szCs w:val="20"/>
      </w:rPr>
      <w:t>12/31/2013 12:50 PM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t>Pre-Public Notice Draft – Please Do Not Distribute</w:t>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C736DE">
      <w:rPr>
        <w:rFonts w:asciiTheme="minorHAnsi" w:hAnsiTheme="minorHAnsi" w:cstheme="minorHAnsi"/>
        <w:noProof/>
        <w:sz w:val="20"/>
        <w:szCs w:val="20"/>
      </w:rPr>
      <w:t>23</w:t>
    </w:r>
    <w:r w:rsidRPr="00BD316E">
      <w:rPr>
        <w:rFonts w:asciiTheme="minorHAnsi" w:hAnsiTheme="minorHAnsi" w:cstheme="minorHAnsi"/>
        <w:sz w:val="20"/>
        <w:szCs w:val="20"/>
      </w:rPr>
      <w:fldChar w:fldCharType="end"/>
    </w:r>
  </w:p>
  <w:p w:rsidR="00296948" w:rsidRDefault="002969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948" w:rsidRDefault="00296948" w:rsidP="00BD316E">
      <w:r>
        <w:separator/>
      </w:r>
    </w:p>
  </w:footnote>
  <w:footnote w:type="continuationSeparator" w:id="0">
    <w:p w:rsidR="00296948" w:rsidRDefault="00296948"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4">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21">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8">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3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33">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8"/>
  </w:num>
  <w:num w:numId="4">
    <w:abstractNumId w:val="8"/>
  </w:num>
  <w:num w:numId="5">
    <w:abstractNumId w:val="31"/>
  </w:num>
  <w:num w:numId="6">
    <w:abstractNumId w:val="27"/>
  </w:num>
  <w:num w:numId="7">
    <w:abstractNumId w:val="4"/>
  </w:num>
  <w:num w:numId="8">
    <w:abstractNumId w:val="20"/>
  </w:num>
  <w:num w:numId="9">
    <w:abstractNumId w:val="2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2"/>
  </w:num>
  <w:num w:numId="13">
    <w:abstractNumId w:val="17"/>
  </w:num>
  <w:num w:numId="14">
    <w:abstractNumId w:val="12"/>
  </w:num>
  <w:num w:numId="15">
    <w:abstractNumId w:val="39"/>
  </w:num>
  <w:num w:numId="16">
    <w:abstractNumId w:val="29"/>
  </w:num>
  <w:num w:numId="17">
    <w:abstractNumId w:val="22"/>
  </w:num>
  <w:num w:numId="18">
    <w:abstractNumId w:val="10"/>
  </w:num>
  <w:num w:numId="19">
    <w:abstractNumId w:val="2"/>
  </w:num>
  <w:num w:numId="20">
    <w:abstractNumId w:val="37"/>
  </w:num>
  <w:num w:numId="21">
    <w:abstractNumId w:val="11"/>
  </w:num>
  <w:num w:numId="22">
    <w:abstractNumId w:val="14"/>
  </w:num>
  <w:num w:numId="23">
    <w:abstractNumId w:val="36"/>
  </w:num>
  <w:num w:numId="24">
    <w:abstractNumId w:val="7"/>
  </w:num>
  <w:num w:numId="25">
    <w:abstractNumId w:val="5"/>
  </w:num>
  <w:num w:numId="26">
    <w:abstractNumId w:val="38"/>
  </w:num>
  <w:num w:numId="27">
    <w:abstractNumId w:val="30"/>
  </w:num>
  <w:num w:numId="28">
    <w:abstractNumId w:val="33"/>
  </w:num>
  <w:num w:numId="29">
    <w:abstractNumId w:val="41"/>
  </w:num>
  <w:num w:numId="30">
    <w:abstractNumId w:val="18"/>
  </w:num>
  <w:num w:numId="31">
    <w:abstractNumId w:val="40"/>
  </w:num>
  <w:num w:numId="32">
    <w:abstractNumId w:val="34"/>
  </w:num>
  <w:num w:numId="33">
    <w:abstractNumId w:val="24"/>
  </w:num>
  <w:num w:numId="34">
    <w:abstractNumId w:val="3"/>
  </w:num>
  <w:num w:numId="35">
    <w:abstractNumId w:val="15"/>
  </w:num>
  <w:num w:numId="36">
    <w:abstractNumId w:val="26"/>
  </w:num>
  <w:num w:numId="37">
    <w:abstractNumId w:val="21"/>
  </w:num>
  <w:num w:numId="38">
    <w:abstractNumId w:val="35"/>
  </w:num>
  <w:num w:numId="39">
    <w:abstractNumId w:val="19"/>
  </w:num>
  <w:num w:numId="40">
    <w:abstractNumId w:val="9"/>
  </w:num>
  <w:num w:numId="41">
    <w:abstractNumId w:val="1"/>
  </w:num>
  <w:num w:numId="42">
    <w:abstractNumId w:val="2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110AF"/>
    <w:rsid w:val="0001243A"/>
    <w:rsid w:val="000144E0"/>
    <w:rsid w:val="00015E14"/>
    <w:rsid w:val="00016F5E"/>
    <w:rsid w:val="00017270"/>
    <w:rsid w:val="000176BD"/>
    <w:rsid w:val="000179CE"/>
    <w:rsid w:val="00021CEF"/>
    <w:rsid w:val="000229FF"/>
    <w:rsid w:val="00025EC3"/>
    <w:rsid w:val="00026313"/>
    <w:rsid w:val="00026A45"/>
    <w:rsid w:val="000277C4"/>
    <w:rsid w:val="000308D9"/>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2E98"/>
    <w:rsid w:val="0007563A"/>
    <w:rsid w:val="0007627C"/>
    <w:rsid w:val="000764A7"/>
    <w:rsid w:val="00076D25"/>
    <w:rsid w:val="0007703C"/>
    <w:rsid w:val="000778E2"/>
    <w:rsid w:val="00081F93"/>
    <w:rsid w:val="000832D3"/>
    <w:rsid w:val="00083CF4"/>
    <w:rsid w:val="00084C0A"/>
    <w:rsid w:val="000855AB"/>
    <w:rsid w:val="0008683B"/>
    <w:rsid w:val="00087654"/>
    <w:rsid w:val="000904FA"/>
    <w:rsid w:val="00090514"/>
    <w:rsid w:val="0009093B"/>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85A"/>
    <w:rsid w:val="000B6AA9"/>
    <w:rsid w:val="000B6D90"/>
    <w:rsid w:val="000B783F"/>
    <w:rsid w:val="000C0746"/>
    <w:rsid w:val="000C19C4"/>
    <w:rsid w:val="000C367A"/>
    <w:rsid w:val="000C3C54"/>
    <w:rsid w:val="000C459C"/>
    <w:rsid w:val="000C553F"/>
    <w:rsid w:val="000D00E6"/>
    <w:rsid w:val="000D05D3"/>
    <w:rsid w:val="000D07CA"/>
    <w:rsid w:val="000D40BC"/>
    <w:rsid w:val="000D7803"/>
    <w:rsid w:val="000E0C74"/>
    <w:rsid w:val="000E4491"/>
    <w:rsid w:val="000E493C"/>
    <w:rsid w:val="000E5208"/>
    <w:rsid w:val="000E5ECC"/>
    <w:rsid w:val="000E60A5"/>
    <w:rsid w:val="000E7E33"/>
    <w:rsid w:val="000F0C2A"/>
    <w:rsid w:val="000F2916"/>
    <w:rsid w:val="000F38D9"/>
    <w:rsid w:val="000F4BA0"/>
    <w:rsid w:val="000F7758"/>
    <w:rsid w:val="001005DB"/>
    <w:rsid w:val="00104859"/>
    <w:rsid w:val="00104B43"/>
    <w:rsid w:val="001057B1"/>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29B4"/>
    <w:rsid w:val="001329E5"/>
    <w:rsid w:val="001333E2"/>
    <w:rsid w:val="00133795"/>
    <w:rsid w:val="00133A57"/>
    <w:rsid w:val="0013432F"/>
    <w:rsid w:val="00136667"/>
    <w:rsid w:val="00137086"/>
    <w:rsid w:val="00137427"/>
    <w:rsid w:val="00141EBE"/>
    <w:rsid w:val="0014434D"/>
    <w:rsid w:val="00145BC8"/>
    <w:rsid w:val="00146E30"/>
    <w:rsid w:val="001474B5"/>
    <w:rsid w:val="001502FB"/>
    <w:rsid w:val="001530D6"/>
    <w:rsid w:val="0015450A"/>
    <w:rsid w:val="001547D2"/>
    <w:rsid w:val="00154DBC"/>
    <w:rsid w:val="00157409"/>
    <w:rsid w:val="00157C03"/>
    <w:rsid w:val="001602E5"/>
    <w:rsid w:val="00160467"/>
    <w:rsid w:val="001618D1"/>
    <w:rsid w:val="00161CEB"/>
    <w:rsid w:val="0016312C"/>
    <w:rsid w:val="00164210"/>
    <w:rsid w:val="00165AA1"/>
    <w:rsid w:val="00167802"/>
    <w:rsid w:val="00167D7C"/>
    <w:rsid w:val="001708BB"/>
    <w:rsid w:val="001729BE"/>
    <w:rsid w:val="001730A0"/>
    <w:rsid w:val="0017372B"/>
    <w:rsid w:val="00174C57"/>
    <w:rsid w:val="00176D61"/>
    <w:rsid w:val="00177E50"/>
    <w:rsid w:val="001805E5"/>
    <w:rsid w:val="00180670"/>
    <w:rsid w:val="0018159F"/>
    <w:rsid w:val="00182C5A"/>
    <w:rsid w:val="00182DC3"/>
    <w:rsid w:val="00182DE3"/>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6AB"/>
    <w:rsid w:val="001A273D"/>
    <w:rsid w:val="001A3880"/>
    <w:rsid w:val="001A403A"/>
    <w:rsid w:val="001A4276"/>
    <w:rsid w:val="001A4AB6"/>
    <w:rsid w:val="001A5840"/>
    <w:rsid w:val="001B1956"/>
    <w:rsid w:val="001B23A9"/>
    <w:rsid w:val="001B667C"/>
    <w:rsid w:val="001B7733"/>
    <w:rsid w:val="001B7E05"/>
    <w:rsid w:val="001C05D1"/>
    <w:rsid w:val="001C0BC0"/>
    <w:rsid w:val="001C17AC"/>
    <w:rsid w:val="001C2690"/>
    <w:rsid w:val="001C3C72"/>
    <w:rsid w:val="001C54D4"/>
    <w:rsid w:val="001C7274"/>
    <w:rsid w:val="001C7506"/>
    <w:rsid w:val="001C7981"/>
    <w:rsid w:val="001C7C84"/>
    <w:rsid w:val="001D0F2E"/>
    <w:rsid w:val="001D28B2"/>
    <w:rsid w:val="001D6608"/>
    <w:rsid w:val="001E1BD3"/>
    <w:rsid w:val="001E2BD3"/>
    <w:rsid w:val="001E3F8A"/>
    <w:rsid w:val="001E4DC7"/>
    <w:rsid w:val="001E57C6"/>
    <w:rsid w:val="001E629B"/>
    <w:rsid w:val="001E62D1"/>
    <w:rsid w:val="001E6DCA"/>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421C"/>
    <w:rsid w:val="00214B5B"/>
    <w:rsid w:val="00214E20"/>
    <w:rsid w:val="00215D54"/>
    <w:rsid w:val="00216917"/>
    <w:rsid w:val="00220E40"/>
    <w:rsid w:val="00221910"/>
    <w:rsid w:val="00223226"/>
    <w:rsid w:val="00223522"/>
    <w:rsid w:val="002242F1"/>
    <w:rsid w:val="00225AE8"/>
    <w:rsid w:val="00227427"/>
    <w:rsid w:val="00230762"/>
    <w:rsid w:val="00232062"/>
    <w:rsid w:val="0023418C"/>
    <w:rsid w:val="00234297"/>
    <w:rsid w:val="00235585"/>
    <w:rsid w:val="00236519"/>
    <w:rsid w:val="00240157"/>
    <w:rsid w:val="002404EF"/>
    <w:rsid w:val="002405F8"/>
    <w:rsid w:val="00240C51"/>
    <w:rsid w:val="00240FFF"/>
    <w:rsid w:val="0024263F"/>
    <w:rsid w:val="00243AF1"/>
    <w:rsid w:val="0024501F"/>
    <w:rsid w:val="0024580A"/>
    <w:rsid w:val="00245E7E"/>
    <w:rsid w:val="00247AB0"/>
    <w:rsid w:val="00250E7E"/>
    <w:rsid w:val="00252800"/>
    <w:rsid w:val="0025467F"/>
    <w:rsid w:val="00257D81"/>
    <w:rsid w:val="00261127"/>
    <w:rsid w:val="00261C1B"/>
    <w:rsid w:val="00262AC3"/>
    <w:rsid w:val="00263B9C"/>
    <w:rsid w:val="002642AB"/>
    <w:rsid w:val="00264FDD"/>
    <w:rsid w:val="002654B2"/>
    <w:rsid w:val="0026750D"/>
    <w:rsid w:val="0027012C"/>
    <w:rsid w:val="00270504"/>
    <w:rsid w:val="00270D01"/>
    <w:rsid w:val="0027111E"/>
    <w:rsid w:val="0027467D"/>
    <w:rsid w:val="00274EC1"/>
    <w:rsid w:val="0027774D"/>
    <w:rsid w:val="00281104"/>
    <w:rsid w:val="00284C59"/>
    <w:rsid w:val="00284F61"/>
    <w:rsid w:val="00286CEC"/>
    <w:rsid w:val="00291129"/>
    <w:rsid w:val="0029119A"/>
    <w:rsid w:val="002915BB"/>
    <w:rsid w:val="00291A33"/>
    <w:rsid w:val="00292E18"/>
    <w:rsid w:val="00293323"/>
    <w:rsid w:val="0029662E"/>
    <w:rsid w:val="00296948"/>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A5F"/>
    <w:rsid w:val="002A7D43"/>
    <w:rsid w:val="002B0C9C"/>
    <w:rsid w:val="002B1149"/>
    <w:rsid w:val="002B1663"/>
    <w:rsid w:val="002B1B77"/>
    <w:rsid w:val="002B4E81"/>
    <w:rsid w:val="002B51F9"/>
    <w:rsid w:val="002B68A3"/>
    <w:rsid w:val="002B6A4B"/>
    <w:rsid w:val="002B6D58"/>
    <w:rsid w:val="002B7331"/>
    <w:rsid w:val="002C068B"/>
    <w:rsid w:val="002C11AE"/>
    <w:rsid w:val="002C1C59"/>
    <w:rsid w:val="002C27BF"/>
    <w:rsid w:val="002C2CF3"/>
    <w:rsid w:val="002C2D98"/>
    <w:rsid w:val="002C3A6B"/>
    <w:rsid w:val="002C5467"/>
    <w:rsid w:val="002C5923"/>
    <w:rsid w:val="002C5A4C"/>
    <w:rsid w:val="002C7A23"/>
    <w:rsid w:val="002D08C7"/>
    <w:rsid w:val="002D1EF7"/>
    <w:rsid w:val="002D31BC"/>
    <w:rsid w:val="002D735D"/>
    <w:rsid w:val="002D7385"/>
    <w:rsid w:val="002E046A"/>
    <w:rsid w:val="002E27EF"/>
    <w:rsid w:val="002E283F"/>
    <w:rsid w:val="002E4AA0"/>
    <w:rsid w:val="002E4B0F"/>
    <w:rsid w:val="002E5314"/>
    <w:rsid w:val="002E5F1C"/>
    <w:rsid w:val="002E7578"/>
    <w:rsid w:val="002E76F1"/>
    <w:rsid w:val="002F0C21"/>
    <w:rsid w:val="002F0C40"/>
    <w:rsid w:val="002F18FE"/>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AF4"/>
    <w:rsid w:val="0031008D"/>
    <w:rsid w:val="0031583D"/>
    <w:rsid w:val="003158C0"/>
    <w:rsid w:val="00316157"/>
    <w:rsid w:val="00324289"/>
    <w:rsid w:val="003248CA"/>
    <w:rsid w:val="003249D9"/>
    <w:rsid w:val="003309C4"/>
    <w:rsid w:val="00332F0A"/>
    <w:rsid w:val="00333429"/>
    <w:rsid w:val="0033534B"/>
    <w:rsid w:val="003359FB"/>
    <w:rsid w:val="003372D5"/>
    <w:rsid w:val="00342615"/>
    <w:rsid w:val="00343477"/>
    <w:rsid w:val="00347173"/>
    <w:rsid w:val="00347771"/>
    <w:rsid w:val="00347ABB"/>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BE9"/>
    <w:rsid w:val="003918FF"/>
    <w:rsid w:val="0039216C"/>
    <w:rsid w:val="00392381"/>
    <w:rsid w:val="00394372"/>
    <w:rsid w:val="00395651"/>
    <w:rsid w:val="00396465"/>
    <w:rsid w:val="00396764"/>
    <w:rsid w:val="003968FD"/>
    <w:rsid w:val="00396AC2"/>
    <w:rsid w:val="003970AB"/>
    <w:rsid w:val="00397D49"/>
    <w:rsid w:val="003A039C"/>
    <w:rsid w:val="003A1E76"/>
    <w:rsid w:val="003A2F55"/>
    <w:rsid w:val="003A508B"/>
    <w:rsid w:val="003B015F"/>
    <w:rsid w:val="003B28BE"/>
    <w:rsid w:val="003B2BBA"/>
    <w:rsid w:val="003B467D"/>
    <w:rsid w:val="003B5574"/>
    <w:rsid w:val="003B628A"/>
    <w:rsid w:val="003B6F1C"/>
    <w:rsid w:val="003C12DB"/>
    <w:rsid w:val="003C2903"/>
    <w:rsid w:val="003C2EA5"/>
    <w:rsid w:val="003C325E"/>
    <w:rsid w:val="003C36EF"/>
    <w:rsid w:val="003C60B9"/>
    <w:rsid w:val="003C6C7E"/>
    <w:rsid w:val="003D04F0"/>
    <w:rsid w:val="003D1D26"/>
    <w:rsid w:val="003D25CF"/>
    <w:rsid w:val="003D3A6B"/>
    <w:rsid w:val="003D3B3C"/>
    <w:rsid w:val="003D4960"/>
    <w:rsid w:val="003D6D98"/>
    <w:rsid w:val="003D7A50"/>
    <w:rsid w:val="003E0361"/>
    <w:rsid w:val="003E4094"/>
    <w:rsid w:val="003E4937"/>
    <w:rsid w:val="003E691F"/>
    <w:rsid w:val="003E787C"/>
    <w:rsid w:val="003F0390"/>
    <w:rsid w:val="003F0606"/>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FF4"/>
    <w:rsid w:val="00447281"/>
    <w:rsid w:val="004476D9"/>
    <w:rsid w:val="004501F2"/>
    <w:rsid w:val="0045366E"/>
    <w:rsid w:val="004536FD"/>
    <w:rsid w:val="00454205"/>
    <w:rsid w:val="004546DB"/>
    <w:rsid w:val="004577C0"/>
    <w:rsid w:val="00457B9D"/>
    <w:rsid w:val="004602C5"/>
    <w:rsid w:val="00462F3C"/>
    <w:rsid w:val="00464130"/>
    <w:rsid w:val="004677BD"/>
    <w:rsid w:val="00470175"/>
    <w:rsid w:val="00470AD8"/>
    <w:rsid w:val="0047155E"/>
    <w:rsid w:val="00473958"/>
    <w:rsid w:val="00476EAE"/>
    <w:rsid w:val="00477F16"/>
    <w:rsid w:val="00481A98"/>
    <w:rsid w:val="00482192"/>
    <w:rsid w:val="00482D18"/>
    <w:rsid w:val="00483CDE"/>
    <w:rsid w:val="004847C0"/>
    <w:rsid w:val="004866E7"/>
    <w:rsid w:val="004905F1"/>
    <w:rsid w:val="004918AF"/>
    <w:rsid w:val="00494995"/>
    <w:rsid w:val="00496A70"/>
    <w:rsid w:val="00497709"/>
    <w:rsid w:val="004A088C"/>
    <w:rsid w:val="004A1CB2"/>
    <w:rsid w:val="004A5282"/>
    <w:rsid w:val="004A5AB9"/>
    <w:rsid w:val="004A5D95"/>
    <w:rsid w:val="004A77C8"/>
    <w:rsid w:val="004B020E"/>
    <w:rsid w:val="004B04BE"/>
    <w:rsid w:val="004B09B3"/>
    <w:rsid w:val="004B18D2"/>
    <w:rsid w:val="004B22BC"/>
    <w:rsid w:val="004B3FA0"/>
    <w:rsid w:val="004B442C"/>
    <w:rsid w:val="004B6240"/>
    <w:rsid w:val="004B692D"/>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7A3"/>
    <w:rsid w:val="004E5A2F"/>
    <w:rsid w:val="004F4B6D"/>
    <w:rsid w:val="004F673A"/>
    <w:rsid w:val="004F7CDC"/>
    <w:rsid w:val="004F7F70"/>
    <w:rsid w:val="00503B62"/>
    <w:rsid w:val="005047E5"/>
    <w:rsid w:val="0050509A"/>
    <w:rsid w:val="00505C99"/>
    <w:rsid w:val="005064E6"/>
    <w:rsid w:val="0051019C"/>
    <w:rsid w:val="005102CA"/>
    <w:rsid w:val="005103FC"/>
    <w:rsid w:val="00510B7C"/>
    <w:rsid w:val="005114A6"/>
    <w:rsid w:val="005115F8"/>
    <w:rsid w:val="00511D76"/>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3497"/>
    <w:rsid w:val="00534B98"/>
    <w:rsid w:val="005365B3"/>
    <w:rsid w:val="00537B1E"/>
    <w:rsid w:val="005409B2"/>
    <w:rsid w:val="00540AFE"/>
    <w:rsid w:val="00540DED"/>
    <w:rsid w:val="00541273"/>
    <w:rsid w:val="00542DD8"/>
    <w:rsid w:val="005450D2"/>
    <w:rsid w:val="0054554E"/>
    <w:rsid w:val="00545A38"/>
    <w:rsid w:val="00550A65"/>
    <w:rsid w:val="0055208D"/>
    <w:rsid w:val="00552975"/>
    <w:rsid w:val="005537F7"/>
    <w:rsid w:val="0055413E"/>
    <w:rsid w:val="00555A58"/>
    <w:rsid w:val="0055604D"/>
    <w:rsid w:val="00556367"/>
    <w:rsid w:val="00556726"/>
    <w:rsid w:val="00561B7E"/>
    <w:rsid w:val="00562330"/>
    <w:rsid w:val="00565AEE"/>
    <w:rsid w:val="005664EB"/>
    <w:rsid w:val="00566848"/>
    <w:rsid w:val="00567A6D"/>
    <w:rsid w:val="00567DA1"/>
    <w:rsid w:val="00567DD2"/>
    <w:rsid w:val="0057078C"/>
    <w:rsid w:val="00571C4C"/>
    <w:rsid w:val="00572FA9"/>
    <w:rsid w:val="00574160"/>
    <w:rsid w:val="0057735D"/>
    <w:rsid w:val="0058198A"/>
    <w:rsid w:val="0058357F"/>
    <w:rsid w:val="00584C7D"/>
    <w:rsid w:val="005854D7"/>
    <w:rsid w:val="005857AA"/>
    <w:rsid w:val="0058602E"/>
    <w:rsid w:val="005862A8"/>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18D"/>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27791"/>
    <w:rsid w:val="006306E2"/>
    <w:rsid w:val="006308FF"/>
    <w:rsid w:val="00633FD4"/>
    <w:rsid w:val="00635602"/>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ACE"/>
    <w:rsid w:val="006A2188"/>
    <w:rsid w:val="006A4F59"/>
    <w:rsid w:val="006A5105"/>
    <w:rsid w:val="006A64E6"/>
    <w:rsid w:val="006A7FCE"/>
    <w:rsid w:val="006B00C2"/>
    <w:rsid w:val="006B0916"/>
    <w:rsid w:val="006B0D43"/>
    <w:rsid w:val="006B0D45"/>
    <w:rsid w:val="006B2074"/>
    <w:rsid w:val="006B4488"/>
    <w:rsid w:val="006B481C"/>
    <w:rsid w:val="006B6267"/>
    <w:rsid w:val="006C0AFF"/>
    <w:rsid w:val="006C2E2C"/>
    <w:rsid w:val="006C311B"/>
    <w:rsid w:val="006C4805"/>
    <w:rsid w:val="006C7D6D"/>
    <w:rsid w:val="006D17B2"/>
    <w:rsid w:val="006D18F9"/>
    <w:rsid w:val="006D2B56"/>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E73C3"/>
    <w:rsid w:val="006F0108"/>
    <w:rsid w:val="006F02EB"/>
    <w:rsid w:val="006F0D97"/>
    <w:rsid w:val="006F220B"/>
    <w:rsid w:val="006F3A8D"/>
    <w:rsid w:val="006F4419"/>
    <w:rsid w:val="006F5CDB"/>
    <w:rsid w:val="00700417"/>
    <w:rsid w:val="00700ACF"/>
    <w:rsid w:val="007013EC"/>
    <w:rsid w:val="00702190"/>
    <w:rsid w:val="0070224C"/>
    <w:rsid w:val="00702678"/>
    <w:rsid w:val="007029A0"/>
    <w:rsid w:val="00704E28"/>
    <w:rsid w:val="00705C22"/>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6E7C"/>
    <w:rsid w:val="00727622"/>
    <w:rsid w:val="007279FB"/>
    <w:rsid w:val="00727AA6"/>
    <w:rsid w:val="00730121"/>
    <w:rsid w:val="00730489"/>
    <w:rsid w:val="00731487"/>
    <w:rsid w:val="00732601"/>
    <w:rsid w:val="007335E8"/>
    <w:rsid w:val="00733A49"/>
    <w:rsid w:val="00733E4E"/>
    <w:rsid w:val="00734D35"/>
    <w:rsid w:val="007426BE"/>
    <w:rsid w:val="00745A55"/>
    <w:rsid w:val="00747220"/>
    <w:rsid w:val="007511B0"/>
    <w:rsid w:val="00754884"/>
    <w:rsid w:val="00754AE8"/>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478B"/>
    <w:rsid w:val="00797FC9"/>
    <w:rsid w:val="007A1EFB"/>
    <w:rsid w:val="007A24BE"/>
    <w:rsid w:val="007A30D0"/>
    <w:rsid w:val="007A34ED"/>
    <w:rsid w:val="007A5842"/>
    <w:rsid w:val="007B080C"/>
    <w:rsid w:val="007B0FBC"/>
    <w:rsid w:val="007B114D"/>
    <w:rsid w:val="007B115F"/>
    <w:rsid w:val="007B32A8"/>
    <w:rsid w:val="007B4301"/>
    <w:rsid w:val="007B56D1"/>
    <w:rsid w:val="007C04C3"/>
    <w:rsid w:val="007C0ACD"/>
    <w:rsid w:val="007C0DCF"/>
    <w:rsid w:val="007C169D"/>
    <w:rsid w:val="007C1C74"/>
    <w:rsid w:val="007C1E2F"/>
    <w:rsid w:val="007C56BC"/>
    <w:rsid w:val="007C6897"/>
    <w:rsid w:val="007C6D48"/>
    <w:rsid w:val="007C77AA"/>
    <w:rsid w:val="007D021E"/>
    <w:rsid w:val="007D0F98"/>
    <w:rsid w:val="007D0FC4"/>
    <w:rsid w:val="007D1A36"/>
    <w:rsid w:val="007D2F91"/>
    <w:rsid w:val="007D3B78"/>
    <w:rsid w:val="007D3EB6"/>
    <w:rsid w:val="007D6004"/>
    <w:rsid w:val="007D60EA"/>
    <w:rsid w:val="007D695C"/>
    <w:rsid w:val="007D703C"/>
    <w:rsid w:val="007D74B2"/>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C6"/>
    <w:rsid w:val="007F7BDA"/>
    <w:rsid w:val="0080107D"/>
    <w:rsid w:val="008013F0"/>
    <w:rsid w:val="00801852"/>
    <w:rsid w:val="00802CC5"/>
    <w:rsid w:val="00802FDF"/>
    <w:rsid w:val="00803A21"/>
    <w:rsid w:val="00805C3F"/>
    <w:rsid w:val="00811EE1"/>
    <w:rsid w:val="00812753"/>
    <w:rsid w:val="00814165"/>
    <w:rsid w:val="008141CD"/>
    <w:rsid w:val="008158B8"/>
    <w:rsid w:val="00816D54"/>
    <w:rsid w:val="0082074B"/>
    <w:rsid w:val="00820EBA"/>
    <w:rsid w:val="00820F35"/>
    <w:rsid w:val="00821ABF"/>
    <w:rsid w:val="00823C9D"/>
    <w:rsid w:val="00830C32"/>
    <w:rsid w:val="00832AE5"/>
    <w:rsid w:val="0083323F"/>
    <w:rsid w:val="008342B0"/>
    <w:rsid w:val="008349B4"/>
    <w:rsid w:val="00835C99"/>
    <w:rsid w:val="00835E2B"/>
    <w:rsid w:val="00841360"/>
    <w:rsid w:val="00844A6C"/>
    <w:rsid w:val="00847AEA"/>
    <w:rsid w:val="008502BB"/>
    <w:rsid w:val="0085122C"/>
    <w:rsid w:val="008514A8"/>
    <w:rsid w:val="008520FC"/>
    <w:rsid w:val="00853DAD"/>
    <w:rsid w:val="00854517"/>
    <w:rsid w:val="00855294"/>
    <w:rsid w:val="00855A96"/>
    <w:rsid w:val="00857DBD"/>
    <w:rsid w:val="00864F3D"/>
    <w:rsid w:val="00866E22"/>
    <w:rsid w:val="00866F57"/>
    <w:rsid w:val="00867284"/>
    <w:rsid w:val="00870068"/>
    <w:rsid w:val="008723F5"/>
    <w:rsid w:val="008737CA"/>
    <w:rsid w:val="008776CF"/>
    <w:rsid w:val="00882392"/>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471D"/>
    <w:rsid w:val="008B7037"/>
    <w:rsid w:val="008C01DD"/>
    <w:rsid w:val="008C0573"/>
    <w:rsid w:val="008C0741"/>
    <w:rsid w:val="008C2AEB"/>
    <w:rsid w:val="008C4024"/>
    <w:rsid w:val="008C4590"/>
    <w:rsid w:val="008C6415"/>
    <w:rsid w:val="008C744F"/>
    <w:rsid w:val="008C7798"/>
    <w:rsid w:val="008D1EEF"/>
    <w:rsid w:val="008D31E6"/>
    <w:rsid w:val="008D52B1"/>
    <w:rsid w:val="008D5772"/>
    <w:rsid w:val="008D6D83"/>
    <w:rsid w:val="008D6F31"/>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8CA"/>
    <w:rsid w:val="00971B7D"/>
    <w:rsid w:val="0097311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D3EBB"/>
    <w:rsid w:val="009D59CC"/>
    <w:rsid w:val="009D5EB5"/>
    <w:rsid w:val="009E04FF"/>
    <w:rsid w:val="009E0E6A"/>
    <w:rsid w:val="009E148C"/>
    <w:rsid w:val="009E1691"/>
    <w:rsid w:val="009E1F6C"/>
    <w:rsid w:val="009E3412"/>
    <w:rsid w:val="009E5A4F"/>
    <w:rsid w:val="009E72B3"/>
    <w:rsid w:val="009E74BD"/>
    <w:rsid w:val="009E7E9C"/>
    <w:rsid w:val="009F03FE"/>
    <w:rsid w:val="009F06CF"/>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6894"/>
    <w:rsid w:val="00A17426"/>
    <w:rsid w:val="00A17802"/>
    <w:rsid w:val="00A1795E"/>
    <w:rsid w:val="00A22EAE"/>
    <w:rsid w:val="00A23B90"/>
    <w:rsid w:val="00A25345"/>
    <w:rsid w:val="00A25EC6"/>
    <w:rsid w:val="00A27771"/>
    <w:rsid w:val="00A31506"/>
    <w:rsid w:val="00A32043"/>
    <w:rsid w:val="00A3244F"/>
    <w:rsid w:val="00A3377B"/>
    <w:rsid w:val="00A34D40"/>
    <w:rsid w:val="00A35D63"/>
    <w:rsid w:val="00A35E2E"/>
    <w:rsid w:val="00A37C25"/>
    <w:rsid w:val="00A401AA"/>
    <w:rsid w:val="00A40BA9"/>
    <w:rsid w:val="00A413FE"/>
    <w:rsid w:val="00A415F3"/>
    <w:rsid w:val="00A42903"/>
    <w:rsid w:val="00A43169"/>
    <w:rsid w:val="00A44113"/>
    <w:rsid w:val="00A46142"/>
    <w:rsid w:val="00A46F33"/>
    <w:rsid w:val="00A47273"/>
    <w:rsid w:val="00A4735E"/>
    <w:rsid w:val="00A47F95"/>
    <w:rsid w:val="00A50464"/>
    <w:rsid w:val="00A51D12"/>
    <w:rsid w:val="00A52184"/>
    <w:rsid w:val="00A5255B"/>
    <w:rsid w:val="00A52FEF"/>
    <w:rsid w:val="00A53283"/>
    <w:rsid w:val="00A53C3C"/>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7D3"/>
    <w:rsid w:val="00A924CA"/>
    <w:rsid w:val="00A9276C"/>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D5303"/>
    <w:rsid w:val="00AE29F3"/>
    <w:rsid w:val="00AE2B55"/>
    <w:rsid w:val="00AE3390"/>
    <w:rsid w:val="00AF100B"/>
    <w:rsid w:val="00AF15AD"/>
    <w:rsid w:val="00AF2B3B"/>
    <w:rsid w:val="00AF6949"/>
    <w:rsid w:val="00B01263"/>
    <w:rsid w:val="00B0210D"/>
    <w:rsid w:val="00B041EC"/>
    <w:rsid w:val="00B04A0D"/>
    <w:rsid w:val="00B04ADA"/>
    <w:rsid w:val="00B07E98"/>
    <w:rsid w:val="00B10075"/>
    <w:rsid w:val="00B10DC9"/>
    <w:rsid w:val="00B1210C"/>
    <w:rsid w:val="00B13120"/>
    <w:rsid w:val="00B155A9"/>
    <w:rsid w:val="00B1573F"/>
    <w:rsid w:val="00B15A95"/>
    <w:rsid w:val="00B15DF7"/>
    <w:rsid w:val="00B15FBD"/>
    <w:rsid w:val="00B16025"/>
    <w:rsid w:val="00B16C7A"/>
    <w:rsid w:val="00B1714A"/>
    <w:rsid w:val="00B21CFE"/>
    <w:rsid w:val="00B22430"/>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BB0"/>
    <w:rsid w:val="00B7348A"/>
    <w:rsid w:val="00B779C3"/>
    <w:rsid w:val="00B77D12"/>
    <w:rsid w:val="00B81B47"/>
    <w:rsid w:val="00B82764"/>
    <w:rsid w:val="00B8354A"/>
    <w:rsid w:val="00B838E2"/>
    <w:rsid w:val="00B83B10"/>
    <w:rsid w:val="00B84EF5"/>
    <w:rsid w:val="00B87603"/>
    <w:rsid w:val="00B90163"/>
    <w:rsid w:val="00B9175F"/>
    <w:rsid w:val="00B91E32"/>
    <w:rsid w:val="00B9609C"/>
    <w:rsid w:val="00BA056B"/>
    <w:rsid w:val="00BA1AC8"/>
    <w:rsid w:val="00BA466F"/>
    <w:rsid w:val="00BA4ABE"/>
    <w:rsid w:val="00BA56F4"/>
    <w:rsid w:val="00BA66A7"/>
    <w:rsid w:val="00BA69EF"/>
    <w:rsid w:val="00BB0113"/>
    <w:rsid w:val="00BB4089"/>
    <w:rsid w:val="00BB46A9"/>
    <w:rsid w:val="00BB5748"/>
    <w:rsid w:val="00BB5803"/>
    <w:rsid w:val="00BB6CA4"/>
    <w:rsid w:val="00BB6CEE"/>
    <w:rsid w:val="00BC1975"/>
    <w:rsid w:val="00BC19AB"/>
    <w:rsid w:val="00BC46EB"/>
    <w:rsid w:val="00BC4A92"/>
    <w:rsid w:val="00BC5228"/>
    <w:rsid w:val="00BC5F50"/>
    <w:rsid w:val="00BC6D4E"/>
    <w:rsid w:val="00BD0DC2"/>
    <w:rsid w:val="00BD15C9"/>
    <w:rsid w:val="00BD316E"/>
    <w:rsid w:val="00BD3CBE"/>
    <w:rsid w:val="00BD464F"/>
    <w:rsid w:val="00BD565F"/>
    <w:rsid w:val="00BD5BC2"/>
    <w:rsid w:val="00BD6173"/>
    <w:rsid w:val="00BE055D"/>
    <w:rsid w:val="00BE0849"/>
    <w:rsid w:val="00BE1814"/>
    <w:rsid w:val="00BE1870"/>
    <w:rsid w:val="00BE2CB0"/>
    <w:rsid w:val="00BE5B6B"/>
    <w:rsid w:val="00BE6CA6"/>
    <w:rsid w:val="00BE6CAC"/>
    <w:rsid w:val="00BE6E6D"/>
    <w:rsid w:val="00BE7983"/>
    <w:rsid w:val="00BF0505"/>
    <w:rsid w:val="00BF347E"/>
    <w:rsid w:val="00BF43D3"/>
    <w:rsid w:val="00BF5F38"/>
    <w:rsid w:val="00BF70F1"/>
    <w:rsid w:val="00C02811"/>
    <w:rsid w:val="00C044ED"/>
    <w:rsid w:val="00C046A4"/>
    <w:rsid w:val="00C076E8"/>
    <w:rsid w:val="00C13AFC"/>
    <w:rsid w:val="00C14051"/>
    <w:rsid w:val="00C15DD4"/>
    <w:rsid w:val="00C163B2"/>
    <w:rsid w:val="00C175C0"/>
    <w:rsid w:val="00C20385"/>
    <w:rsid w:val="00C21575"/>
    <w:rsid w:val="00C223EF"/>
    <w:rsid w:val="00C22E0C"/>
    <w:rsid w:val="00C236BB"/>
    <w:rsid w:val="00C257E0"/>
    <w:rsid w:val="00C2676F"/>
    <w:rsid w:val="00C27A23"/>
    <w:rsid w:val="00C32274"/>
    <w:rsid w:val="00C348B1"/>
    <w:rsid w:val="00C34AC9"/>
    <w:rsid w:val="00C35520"/>
    <w:rsid w:val="00C363DB"/>
    <w:rsid w:val="00C36B5C"/>
    <w:rsid w:val="00C42F13"/>
    <w:rsid w:val="00C464F1"/>
    <w:rsid w:val="00C46E92"/>
    <w:rsid w:val="00C472FB"/>
    <w:rsid w:val="00C47E40"/>
    <w:rsid w:val="00C50259"/>
    <w:rsid w:val="00C5067D"/>
    <w:rsid w:val="00C5171A"/>
    <w:rsid w:val="00C51FAE"/>
    <w:rsid w:val="00C531D0"/>
    <w:rsid w:val="00C53F0F"/>
    <w:rsid w:val="00C54DE2"/>
    <w:rsid w:val="00C55357"/>
    <w:rsid w:val="00C564E0"/>
    <w:rsid w:val="00C56A67"/>
    <w:rsid w:val="00C603D7"/>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7192"/>
    <w:rsid w:val="00CA783C"/>
    <w:rsid w:val="00CA7E08"/>
    <w:rsid w:val="00CB06BC"/>
    <w:rsid w:val="00CB06CD"/>
    <w:rsid w:val="00CB1736"/>
    <w:rsid w:val="00CB175C"/>
    <w:rsid w:val="00CB188A"/>
    <w:rsid w:val="00CB2EED"/>
    <w:rsid w:val="00CB32C2"/>
    <w:rsid w:val="00CB4C68"/>
    <w:rsid w:val="00CB4DA0"/>
    <w:rsid w:val="00CB5339"/>
    <w:rsid w:val="00CB54E6"/>
    <w:rsid w:val="00CB7D27"/>
    <w:rsid w:val="00CC00F6"/>
    <w:rsid w:val="00CC1B57"/>
    <w:rsid w:val="00CC307C"/>
    <w:rsid w:val="00CC3DF7"/>
    <w:rsid w:val="00CC6C82"/>
    <w:rsid w:val="00CC74F4"/>
    <w:rsid w:val="00CC7922"/>
    <w:rsid w:val="00CC7F41"/>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F1752"/>
    <w:rsid w:val="00CF2835"/>
    <w:rsid w:val="00CF4995"/>
    <w:rsid w:val="00D005D1"/>
    <w:rsid w:val="00D02904"/>
    <w:rsid w:val="00D02C1F"/>
    <w:rsid w:val="00D07AAD"/>
    <w:rsid w:val="00D109F3"/>
    <w:rsid w:val="00D128BB"/>
    <w:rsid w:val="00D134BF"/>
    <w:rsid w:val="00D164B2"/>
    <w:rsid w:val="00D17CDB"/>
    <w:rsid w:val="00D210BC"/>
    <w:rsid w:val="00D224B4"/>
    <w:rsid w:val="00D257F6"/>
    <w:rsid w:val="00D25F9E"/>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5110"/>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74E"/>
    <w:rsid w:val="00D72CF1"/>
    <w:rsid w:val="00D74378"/>
    <w:rsid w:val="00D77707"/>
    <w:rsid w:val="00D842F7"/>
    <w:rsid w:val="00D90062"/>
    <w:rsid w:val="00D9108B"/>
    <w:rsid w:val="00D913F6"/>
    <w:rsid w:val="00D9179D"/>
    <w:rsid w:val="00D91937"/>
    <w:rsid w:val="00D91B85"/>
    <w:rsid w:val="00D929A8"/>
    <w:rsid w:val="00D92C51"/>
    <w:rsid w:val="00D94885"/>
    <w:rsid w:val="00DA125C"/>
    <w:rsid w:val="00DA1327"/>
    <w:rsid w:val="00DA1CFC"/>
    <w:rsid w:val="00DA3097"/>
    <w:rsid w:val="00DA36B3"/>
    <w:rsid w:val="00DA4E39"/>
    <w:rsid w:val="00DA6A20"/>
    <w:rsid w:val="00DB0750"/>
    <w:rsid w:val="00DB4164"/>
    <w:rsid w:val="00DB4AA3"/>
    <w:rsid w:val="00DB5E82"/>
    <w:rsid w:val="00DB69C1"/>
    <w:rsid w:val="00DB6D3B"/>
    <w:rsid w:val="00DC04D1"/>
    <w:rsid w:val="00DC064E"/>
    <w:rsid w:val="00DC3FC9"/>
    <w:rsid w:val="00DC5040"/>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3472"/>
    <w:rsid w:val="00DE3622"/>
    <w:rsid w:val="00DE40BA"/>
    <w:rsid w:val="00DE5AD5"/>
    <w:rsid w:val="00DE7D25"/>
    <w:rsid w:val="00DF1042"/>
    <w:rsid w:val="00DF31D2"/>
    <w:rsid w:val="00DF543F"/>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016F"/>
    <w:rsid w:val="00E221D5"/>
    <w:rsid w:val="00E23CBC"/>
    <w:rsid w:val="00E24358"/>
    <w:rsid w:val="00E250C9"/>
    <w:rsid w:val="00E26422"/>
    <w:rsid w:val="00E26AFB"/>
    <w:rsid w:val="00E278B9"/>
    <w:rsid w:val="00E32E17"/>
    <w:rsid w:val="00E33649"/>
    <w:rsid w:val="00E34247"/>
    <w:rsid w:val="00E364A5"/>
    <w:rsid w:val="00E364BC"/>
    <w:rsid w:val="00E36886"/>
    <w:rsid w:val="00E368CA"/>
    <w:rsid w:val="00E41112"/>
    <w:rsid w:val="00E44F53"/>
    <w:rsid w:val="00E478FE"/>
    <w:rsid w:val="00E51708"/>
    <w:rsid w:val="00E51F15"/>
    <w:rsid w:val="00E52CBC"/>
    <w:rsid w:val="00E53CF7"/>
    <w:rsid w:val="00E541B5"/>
    <w:rsid w:val="00E54670"/>
    <w:rsid w:val="00E55F16"/>
    <w:rsid w:val="00E5756F"/>
    <w:rsid w:val="00E57821"/>
    <w:rsid w:val="00E6175F"/>
    <w:rsid w:val="00E61A63"/>
    <w:rsid w:val="00E61C21"/>
    <w:rsid w:val="00E62757"/>
    <w:rsid w:val="00E62B7C"/>
    <w:rsid w:val="00E638D3"/>
    <w:rsid w:val="00E65F41"/>
    <w:rsid w:val="00E67421"/>
    <w:rsid w:val="00E7194C"/>
    <w:rsid w:val="00E71C3C"/>
    <w:rsid w:val="00E726E5"/>
    <w:rsid w:val="00E72A54"/>
    <w:rsid w:val="00E73B91"/>
    <w:rsid w:val="00E73C37"/>
    <w:rsid w:val="00E7412E"/>
    <w:rsid w:val="00E75695"/>
    <w:rsid w:val="00E77F18"/>
    <w:rsid w:val="00E818B3"/>
    <w:rsid w:val="00E826D4"/>
    <w:rsid w:val="00E82718"/>
    <w:rsid w:val="00E82D32"/>
    <w:rsid w:val="00E82FA7"/>
    <w:rsid w:val="00E8305B"/>
    <w:rsid w:val="00E84ED8"/>
    <w:rsid w:val="00E85318"/>
    <w:rsid w:val="00E8584B"/>
    <w:rsid w:val="00E86786"/>
    <w:rsid w:val="00E90891"/>
    <w:rsid w:val="00E908F4"/>
    <w:rsid w:val="00E90978"/>
    <w:rsid w:val="00E911D9"/>
    <w:rsid w:val="00E939AF"/>
    <w:rsid w:val="00E940EB"/>
    <w:rsid w:val="00EA0893"/>
    <w:rsid w:val="00EA0F3C"/>
    <w:rsid w:val="00EA20E8"/>
    <w:rsid w:val="00EA26F5"/>
    <w:rsid w:val="00EA27BD"/>
    <w:rsid w:val="00EA35DC"/>
    <w:rsid w:val="00EA3EC9"/>
    <w:rsid w:val="00EA4362"/>
    <w:rsid w:val="00EA4AC5"/>
    <w:rsid w:val="00EA4AE2"/>
    <w:rsid w:val="00EA70CE"/>
    <w:rsid w:val="00EB1D78"/>
    <w:rsid w:val="00EB2CFC"/>
    <w:rsid w:val="00EC0C81"/>
    <w:rsid w:val="00EC1212"/>
    <w:rsid w:val="00EC1D7C"/>
    <w:rsid w:val="00EC237B"/>
    <w:rsid w:val="00EC2D21"/>
    <w:rsid w:val="00EC3291"/>
    <w:rsid w:val="00EC3F11"/>
    <w:rsid w:val="00ED1A3D"/>
    <w:rsid w:val="00ED323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3115"/>
    <w:rsid w:val="00F043A2"/>
    <w:rsid w:val="00F060BC"/>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91D"/>
    <w:rsid w:val="00F53807"/>
    <w:rsid w:val="00F53EED"/>
    <w:rsid w:val="00F610F6"/>
    <w:rsid w:val="00F615A3"/>
    <w:rsid w:val="00F61653"/>
    <w:rsid w:val="00F650B7"/>
    <w:rsid w:val="00F6607C"/>
    <w:rsid w:val="00F66260"/>
    <w:rsid w:val="00F66EDE"/>
    <w:rsid w:val="00F7036A"/>
    <w:rsid w:val="00F70A18"/>
    <w:rsid w:val="00F72368"/>
    <w:rsid w:val="00F76387"/>
    <w:rsid w:val="00F80BB5"/>
    <w:rsid w:val="00F810EA"/>
    <w:rsid w:val="00F8126E"/>
    <w:rsid w:val="00F812AB"/>
    <w:rsid w:val="00F824B8"/>
    <w:rsid w:val="00F839F2"/>
    <w:rsid w:val="00F83BCB"/>
    <w:rsid w:val="00F867C6"/>
    <w:rsid w:val="00F874AB"/>
    <w:rsid w:val="00F87563"/>
    <w:rsid w:val="00F90D05"/>
    <w:rsid w:val="00F90FEF"/>
    <w:rsid w:val="00F91414"/>
    <w:rsid w:val="00F918D4"/>
    <w:rsid w:val="00F94A78"/>
    <w:rsid w:val="00F951B2"/>
    <w:rsid w:val="00F9767B"/>
    <w:rsid w:val="00F97D7C"/>
    <w:rsid w:val="00FA0128"/>
    <w:rsid w:val="00FA11A0"/>
    <w:rsid w:val="00FA3C76"/>
    <w:rsid w:val="00FA6E97"/>
    <w:rsid w:val="00FB00F0"/>
    <w:rsid w:val="00FB1B05"/>
    <w:rsid w:val="00FB2799"/>
    <w:rsid w:val="00FB3480"/>
    <w:rsid w:val="00FB3EAF"/>
    <w:rsid w:val="00FB4166"/>
    <w:rsid w:val="00FB4B4E"/>
    <w:rsid w:val="00FB5625"/>
    <w:rsid w:val="00FB5B86"/>
    <w:rsid w:val="00FB606A"/>
    <w:rsid w:val="00FB6A86"/>
    <w:rsid w:val="00FB7117"/>
    <w:rsid w:val="00FC1607"/>
    <w:rsid w:val="00FC1B0B"/>
    <w:rsid w:val="00FC2369"/>
    <w:rsid w:val="00FC28B7"/>
    <w:rsid w:val="00FC464E"/>
    <w:rsid w:val="00FC471D"/>
    <w:rsid w:val="00FC4A58"/>
    <w:rsid w:val="00FC5C08"/>
    <w:rsid w:val="00FC71C1"/>
    <w:rsid w:val="00FC7AD6"/>
    <w:rsid w:val="00FD1928"/>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ttn/emc/rounding.pdf" TargetMode="External"/><Relationship Id="rId18" Type="http://schemas.openxmlformats.org/officeDocument/2006/relationships/hyperlink" Target="http://arcweb.sos.state.or.us/pages/rules/oars_300/oar_340/340_045.html" TargetMode="External"/><Relationship Id="rId26" Type="http://schemas.openxmlformats.org/officeDocument/2006/relationships/hyperlink" Target="http://arcweb.sos.state.or.us/pages/rules/oars_300/oar_340/_340_tables/340-216-0020_3-27.pdf" TargetMode="External"/><Relationship Id="rId39"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gpo.gov/fdsys/pkg/FR-2013-02-01/pdf/2012-31645.pdf" TargetMode="External"/><Relationship Id="rId34" Type="http://schemas.openxmlformats.org/officeDocument/2006/relationships/hyperlink" Target="http://arcweb.sos.state.or.us/pages/rules/bulletin/past.html" TargetMode="External"/><Relationship Id="rId42" Type="http://schemas.openxmlformats.org/officeDocument/2006/relationships/fontTable" Target="fontTable.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epa.gov/ttn/atw/area/fr18ja08.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gpo.gov/fdsys/pkg/FR-2013-01-30/pdf/2013-01288.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leg.state.or.us/ors/468a.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JJJJ.pdf" TargetMode="External"/><Relationship Id="rId23" Type="http://schemas.openxmlformats.org/officeDocument/2006/relationships/hyperlink" Target="http://www.gpo.gov/fdsys/granule/CFR-2012-title40-vol6/CFR-2012-title40-vol6-part58-appD/content-detail.html"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www.leg.state.or.us/ors/183.html"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forms/2011AirQualityAnnualReport.pdf" TargetMode="External"/><Relationship Id="rId31" Type="http://schemas.openxmlformats.org/officeDocument/2006/relationships/hyperlink" Target="http://arcweb.sos.state.or.us/pages/rules/oars_600/oar_660/660_tofc.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1-title40-vol6/pdf/CFR-2011-title40-vol6-part60-subpartIIII.pdf" TargetMode="External"/><Relationship Id="rId22" Type="http://schemas.openxmlformats.org/officeDocument/2006/relationships/hyperlink" Target="http://arcweb.sos.state.or.us/pages/rules/oars_300/oar_340/340_214.html" TargetMode="External"/><Relationship Id="rId27" Type="http://schemas.openxmlformats.org/officeDocument/2006/relationships/hyperlink" Target="http://www.epa.gov/ttn/catc/dir1/cost_toc.pdf" TargetMode="External"/><Relationship Id="rId30" Type="http://schemas.openxmlformats.org/officeDocument/2006/relationships/hyperlink" Target="http://www.leg.state.or.us/ors/197.html" TargetMode="External"/><Relationship Id="rId35" Type="http://schemas.openxmlformats.org/officeDocument/2006/relationships/hyperlink" Target="http://www.oregon.gov/deq/RulesandRegulations/Pages/2013/aqperm.aspx" TargetMode="External"/><Relationship Id="rId43" Type="http://schemas.openxmlformats.org/officeDocument/2006/relationships/theme" Target="theme/theme1.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89FF2246-EA34-4768-B97D-E2C3856301B0}"/>
</file>

<file path=docProps/app.xml><?xml version="1.0" encoding="utf-8"?>
<Properties xmlns="http://schemas.openxmlformats.org/officeDocument/2006/extended-properties" xmlns:vt="http://schemas.openxmlformats.org/officeDocument/2006/docPropsVTypes">
  <Template>Normal</Template>
  <TotalTime>0</TotalTime>
  <Pages>36</Pages>
  <Words>15571</Words>
  <Characters>88758</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2</cp:revision>
  <cp:lastPrinted>2013-12-26T19:12:00Z</cp:lastPrinted>
  <dcterms:created xsi:type="dcterms:W3CDTF">2013-12-31T20:52:00Z</dcterms:created>
  <dcterms:modified xsi:type="dcterms:W3CDTF">2013-12-31T20:52:00Z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