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96" w:rsidRDefault="00AA0696" w:rsidP="00AA0696">
      <w:pPr>
        <w:spacing w:after="0"/>
      </w:pPr>
      <w:r>
        <w:t xml:space="preserve">August 28, </w:t>
      </w:r>
      <w:bookmarkStart w:id="0" w:name="_GoBack"/>
      <w:bookmarkEnd w:id="0"/>
      <w:r>
        <w:t>2014</w:t>
      </w:r>
    </w:p>
    <w:p w:rsidR="00AA0696" w:rsidRDefault="00AA0696" w:rsidP="00AA0696">
      <w:pPr>
        <w:spacing w:after="0"/>
      </w:pPr>
    </w:p>
    <w:p w:rsidR="00AA0696" w:rsidRDefault="00AA0696" w:rsidP="00AA0696">
      <w:pPr>
        <w:spacing w:after="0"/>
      </w:pPr>
    </w:p>
    <w:p w:rsidR="00AA0696" w:rsidRDefault="00AA0696" w:rsidP="00AA0696">
      <w:pPr>
        <w:spacing w:after="0"/>
      </w:pPr>
      <w:r>
        <w:t>Oregon DEQ</w:t>
      </w:r>
    </w:p>
    <w:p w:rsidR="00AA0696" w:rsidRDefault="00AA0696" w:rsidP="00AA0696">
      <w:pPr>
        <w:spacing w:after="0"/>
      </w:pPr>
      <w:r>
        <w:t>Attn: Jill Inahara</w:t>
      </w:r>
    </w:p>
    <w:p w:rsidR="00AA0696" w:rsidRDefault="00AA0696" w:rsidP="00AA0696">
      <w:pPr>
        <w:spacing w:after="0"/>
      </w:pPr>
      <w:r>
        <w:t>811 SW 6</w:t>
      </w:r>
      <w:r w:rsidRPr="00AA0696">
        <w:rPr>
          <w:vertAlign w:val="superscript"/>
        </w:rPr>
        <w:t>th</w:t>
      </w:r>
      <w:r>
        <w:t xml:space="preserve"> Avenue</w:t>
      </w:r>
    </w:p>
    <w:p w:rsidR="00AA0696" w:rsidRDefault="00AA0696" w:rsidP="00AA0696">
      <w:pPr>
        <w:spacing w:after="0"/>
      </w:pPr>
      <w:r>
        <w:t>Portland, OR 97204</w:t>
      </w:r>
    </w:p>
    <w:p w:rsidR="00AA0696" w:rsidRDefault="00AA0696" w:rsidP="00AA0696">
      <w:pPr>
        <w:spacing w:after="0"/>
      </w:pPr>
    </w:p>
    <w:p w:rsidR="00AA0696" w:rsidRDefault="00AA0696" w:rsidP="00AA0696">
      <w:pPr>
        <w:spacing w:after="0"/>
      </w:pPr>
      <w:r>
        <w:t>Re:  LRAPA Comment on Rulemaking to Revise Air Quality Permitting, Heat Smart and Gasoline Dispensing Facility Rules</w:t>
      </w:r>
    </w:p>
    <w:p w:rsidR="00AA0696" w:rsidRDefault="00AA0696" w:rsidP="00AA0696">
      <w:pPr>
        <w:spacing w:after="0"/>
      </w:pPr>
    </w:p>
    <w:p w:rsidR="00C13462" w:rsidRDefault="00C13462">
      <w:r>
        <w:t>Dear DEQ:</w:t>
      </w:r>
    </w:p>
    <w:p w:rsidR="00C13462" w:rsidRDefault="00C13462">
      <w:r>
        <w:t xml:space="preserve">LRAPA has reviewed the proposed rules and </w:t>
      </w:r>
      <w:r w:rsidR="003D4F28">
        <w:t>hereby requests</w:t>
      </w:r>
      <w:r>
        <w:t xml:space="preserve"> that the following </w:t>
      </w:r>
      <w:r w:rsidR="00394240">
        <w:t xml:space="preserve">divisions and/or </w:t>
      </w:r>
      <w:r>
        <w:t xml:space="preserve">rules apply in Lane County upon adoption by DEQ since they represent a level of greater stringency and/or are necessary for LRAPA to maintain rules that are consistent with state and federal regulations.  </w:t>
      </w:r>
    </w:p>
    <w:p w:rsidR="00081E5D" w:rsidRDefault="00081E5D">
      <w:r>
        <w:t>The following divisions and/or rules are specifically requested to be effective in Lane County upon EQC adoption.  More detail</w:t>
      </w:r>
      <w:r w:rsidR="00434079">
        <w:t>s</w:t>
      </w:r>
      <w:r>
        <w:t xml:space="preserve"> are included in the attached table.</w:t>
      </w:r>
    </w:p>
    <w:p w:rsidR="00081E5D" w:rsidRDefault="00081E5D" w:rsidP="00081E5D">
      <w:pPr>
        <w:pStyle w:val="ListParagraph"/>
        <w:numPr>
          <w:ilvl w:val="0"/>
          <w:numId w:val="2"/>
        </w:numPr>
      </w:pPr>
      <w:r>
        <w:t>Division 224 – New Source Review:  LRAPA request this division in its entirety (including references</w:t>
      </w:r>
      <w:r w:rsidR="009C26CC">
        <w:t xml:space="preserve"> contained therein</w:t>
      </w:r>
      <w:r>
        <w:t xml:space="preserve">) be effective in Lane County.  </w:t>
      </w:r>
      <w:r>
        <w:rPr>
          <w:bCs/>
        </w:rPr>
        <w:t>This is needed for LRAPA to maintain rules that are consistent with state and federal regulations.</w:t>
      </w:r>
    </w:p>
    <w:p w:rsidR="00081E5D" w:rsidRPr="00081E5D" w:rsidRDefault="00081E5D" w:rsidP="00081E5D">
      <w:pPr>
        <w:pStyle w:val="ListParagraph"/>
        <w:numPr>
          <w:ilvl w:val="0"/>
          <w:numId w:val="2"/>
        </w:numPr>
      </w:pPr>
      <w:r>
        <w:t>Division 225 – Air Quality Analysis Requirements: LRAPA request this division in its entirety (including references</w:t>
      </w:r>
      <w:r w:rsidR="009C26CC">
        <w:t xml:space="preserve"> contained therein</w:t>
      </w:r>
      <w:r>
        <w:t xml:space="preserve">) be effective in Lane County.  </w:t>
      </w:r>
      <w:r>
        <w:rPr>
          <w:bCs/>
        </w:rPr>
        <w:t>This is needed for LRAPA to maintain rules that are consistent with state and federal regulations.</w:t>
      </w:r>
    </w:p>
    <w:p w:rsidR="00081E5D" w:rsidRDefault="00081E5D" w:rsidP="00081E5D">
      <w:pPr>
        <w:pStyle w:val="ListParagraph"/>
        <w:numPr>
          <w:ilvl w:val="0"/>
          <w:numId w:val="2"/>
        </w:numPr>
      </w:pPr>
      <w:r>
        <w:t>OAR 340-208-0110 - Visible Air Contaminant Limitations:  LRAPA requests this rule be effective in Lane County since the opacity limitation is numerically more stringent than the existing LRAPA rule</w:t>
      </w:r>
      <w:r w:rsidR="009C26CC">
        <w:t xml:space="preserve"> (40% vs. 20%)</w:t>
      </w:r>
      <w:r>
        <w:t>.</w:t>
      </w:r>
      <w:r w:rsidR="003E3C0D">
        <w:t xml:space="preserve">  LRAPA requests this rule apply only to </w:t>
      </w:r>
      <w:r w:rsidR="009C26CC">
        <w:t>wood/biomass</w:t>
      </w:r>
      <w:r w:rsidR="003E3C0D">
        <w:t xml:space="preserve">-fired boilers in Lane County; LRAPA needs additional time to evaluate the proposed revisions to the visible emission (VE) monitoring method </w:t>
      </w:r>
      <w:r w:rsidR="009C26CC">
        <w:t xml:space="preserve">as it applies to </w:t>
      </w:r>
      <w:r w:rsidR="003E3C0D">
        <w:t>sources</w:t>
      </w:r>
      <w:r w:rsidR="009C26CC">
        <w:t xml:space="preserve"> other than wood/biomass-fired boilers</w:t>
      </w:r>
      <w:r w:rsidR="003E3C0D">
        <w:t xml:space="preserve">.  </w:t>
      </w:r>
    </w:p>
    <w:p w:rsidR="00081E5D" w:rsidRDefault="00081E5D" w:rsidP="00081E5D">
      <w:pPr>
        <w:pStyle w:val="ListParagraph"/>
        <w:numPr>
          <w:ilvl w:val="0"/>
          <w:numId w:val="2"/>
        </w:numPr>
      </w:pPr>
      <w:r>
        <w:t xml:space="preserve">OAR 340-226-0210 - </w:t>
      </w:r>
      <w:r w:rsidRPr="00014A27">
        <w:t>Particulate Emission Limitations for Sources Other Than Fuel Burning, and Refuse Burning Equipment and Fugitive Emissions</w:t>
      </w:r>
      <w:r>
        <w:t>:  LRAPA requests this rule be effective in Lane County since the particulate concentration limitation is numerically more stringent than the existing LRAPA rule</w:t>
      </w:r>
      <w:r w:rsidR="009C26CC">
        <w:t xml:space="preserve"> (0.2 gr/dscf vs 0.15 and/or 0.10 gr/dscf)</w:t>
      </w:r>
      <w:r>
        <w:t>.</w:t>
      </w:r>
    </w:p>
    <w:p w:rsidR="007F5337" w:rsidRDefault="007F5337" w:rsidP="00081E5D">
      <w:pPr>
        <w:pStyle w:val="ListParagraph"/>
        <w:numPr>
          <w:ilvl w:val="0"/>
          <w:numId w:val="2"/>
        </w:numPr>
      </w:pPr>
      <w:r>
        <w:t xml:space="preserve">OAR 340-228-0210 – Grain Loading Standards for Fuel Burning Equipment:  LRAPA requests this proposed revision apply in Lane County since the particulate concentration limitation is numerically more stringent than the existing LRAPA </w:t>
      </w:r>
      <w:r w:rsidR="009D50F3">
        <w:t>rule (0.2 gr/dscf vs 0.15 or</w:t>
      </w:r>
      <w:r>
        <w:t xml:space="preserve"> 0.14 and/or 0.10 gr/dscf, etc.).</w:t>
      </w:r>
    </w:p>
    <w:p w:rsidR="003F386E" w:rsidRDefault="003F386E" w:rsidP="00081E5D">
      <w:pPr>
        <w:pStyle w:val="ListParagraph"/>
        <w:numPr>
          <w:ilvl w:val="0"/>
          <w:numId w:val="2"/>
        </w:numPr>
      </w:pPr>
      <w:r>
        <w:t>Division 200 – Definition of “Categorically Insignificant Activity”:  LRAPA request</w:t>
      </w:r>
      <w:r w:rsidR="007F5337">
        <w:t xml:space="preserve">s </w:t>
      </w:r>
      <w:r>
        <w:t xml:space="preserve">the definition of “Categorically Insignificant Activity” apply in Lane County since the fuel and gas burning equipment are proposed to also include the aggregate of all devices for determination of the heat input threshold(s). </w:t>
      </w:r>
    </w:p>
    <w:p w:rsidR="003F386E" w:rsidRDefault="003F386E" w:rsidP="00081E5D">
      <w:pPr>
        <w:pStyle w:val="ListParagraph"/>
        <w:numPr>
          <w:ilvl w:val="0"/>
          <w:numId w:val="2"/>
        </w:numPr>
      </w:pPr>
      <w:r>
        <w:lastRenderedPageBreak/>
        <w:t xml:space="preserve">OAR 340-222-0090 – Combining and Splitting Sources:  LRAPA requests this rule be effective in Lane County since the proposed version specifies </w:t>
      </w:r>
      <w:r w:rsidR="009D50F3">
        <w:t>Standard Industrial Classification (</w:t>
      </w:r>
      <w:r>
        <w:t>SIC</w:t>
      </w:r>
      <w:r w:rsidR="009D50F3">
        <w:t>)</w:t>
      </w:r>
      <w:r>
        <w:t xml:space="preserve"> code limitations for combining and splitting source emission allotments</w:t>
      </w:r>
      <w:r w:rsidR="009D50F3">
        <w:t xml:space="preserve"> (i.e., netting basis)</w:t>
      </w:r>
      <w:r>
        <w:t xml:space="preserve">. </w:t>
      </w:r>
    </w:p>
    <w:p w:rsidR="003F386E" w:rsidRDefault="003F386E" w:rsidP="00081E5D">
      <w:pPr>
        <w:pStyle w:val="ListParagraph"/>
        <w:numPr>
          <w:ilvl w:val="0"/>
          <w:numId w:val="2"/>
        </w:numPr>
      </w:pPr>
      <w:r>
        <w:t xml:space="preserve">OAR 340-208-0210(2)(a), (b), and (3) – Visible Emission Monitoring for Fugitive Emissions:  LRAPA requests these rule sections be effective in Lane County since the proposed rule includes additional requirements for Visible Emission </w:t>
      </w:r>
      <w:r w:rsidR="009D50F3">
        <w:t xml:space="preserve">(VE) </w:t>
      </w:r>
      <w:r>
        <w:t xml:space="preserve">monitoring </w:t>
      </w:r>
      <w:r w:rsidR="009D50F3">
        <w:t xml:space="preserve">(i.e., EPA Method 22) </w:t>
      </w:r>
      <w:r>
        <w:t>for fugitive sources.</w:t>
      </w:r>
    </w:p>
    <w:p w:rsidR="007F5337" w:rsidRDefault="007F5337" w:rsidP="00081E5D">
      <w:pPr>
        <w:pStyle w:val="ListParagraph"/>
        <w:numPr>
          <w:ilvl w:val="0"/>
          <w:numId w:val="2"/>
        </w:numPr>
      </w:pPr>
      <w:r>
        <w:t>OAR 340-214-0114(5</w:t>
      </w:r>
      <w:r w:rsidR="009D50F3">
        <w:t xml:space="preserve">) – </w:t>
      </w:r>
      <w:r>
        <w:t>Recordkeeping for 5 years:  LRAPA requests this proposed rule be effective in Lane County since it contains a requirement for sources to maintain records for at least 5 years; there is no equivalent rule in LRAPA’s rules.</w:t>
      </w:r>
    </w:p>
    <w:p w:rsidR="00BF0B92" w:rsidRDefault="008C5224">
      <w:r>
        <w:t>All other existing LRAPA rules are at least as strict as the proposed DEQ rules</w:t>
      </w:r>
      <w:r w:rsidR="003D4F28">
        <w:t xml:space="preserve"> and/or can be proposed by LRAPA for adoption at a later time</w:t>
      </w:r>
      <w:r>
        <w:t>.  The EQC formally adopted LRAPA rules at the March 20, 2014 meeting.  The EQC-approved rules at that time were rules at least as strict as the DEQ rules pr</w:t>
      </w:r>
      <w:r w:rsidR="003940AF">
        <w:t>ior to these proposed revisions.</w:t>
      </w:r>
      <w:r>
        <w:t xml:space="preserve">  </w:t>
      </w:r>
    </w:p>
    <w:p w:rsidR="00BF0B92" w:rsidRDefault="00BF0B92">
      <w:r>
        <w:t>Sincerely,</w:t>
      </w:r>
    </w:p>
    <w:p w:rsidR="00BF0B92" w:rsidRDefault="00BF0B92"/>
    <w:p w:rsidR="00BF0B92" w:rsidRDefault="00BF0B92" w:rsidP="003216AB">
      <w:pPr>
        <w:spacing w:after="0"/>
      </w:pPr>
      <w:r>
        <w:t>Max Hueftle, P.E.</w:t>
      </w:r>
    </w:p>
    <w:p w:rsidR="00BF0B92" w:rsidRDefault="00BF0B92" w:rsidP="003216AB">
      <w:pPr>
        <w:spacing w:after="0"/>
      </w:pPr>
      <w:r>
        <w:t>Environmental Engineer/Permit Section Manager</w:t>
      </w:r>
    </w:p>
    <w:p w:rsidR="00081E5D" w:rsidRDefault="00081E5D">
      <w:pPr>
        <w:sectPr w:rsidR="00081E5D" w:rsidSect="00AA0696">
          <w:pgSz w:w="12240" w:h="15840"/>
          <w:pgMar w:top="1890" w:right="1440" w:bottom="1440" w:left="1440" w:header="720" w:footer="720" w:gutter="0"/>
          <w:cols w:space="720"/>
          <w:docGrid w:linePitch="360"/>
        </w:sectPr>
      </w:pPr>
    </w:p>
    <w:p w:rsidR="00081E5D" w:rsidRDefault="00081E5D"/>
    <w:tbl>
      <w:tblPr>
        <w:tblStyle w:val="TableGrid"/>
        <w:tblW w:w="13315" w:type="dxa"/>
        <w:tblBorders>
          <w:top w:val="double" w:sz="4" w:space="0" w:color="auto"/>
          <w:left w:val="double" w:sz="4" w:space="0" w:color="auto"/>
          <w:bottom w:val="double" w:sz="4" w:space="0" w:color="auto"/>
          <w:right w:val="double" w:sz="4" w:space="0" w:color="auto"/>
        </w:tblBorders>
        <w:tblLayout w:type="fixed"/>
        <w:tblLook w:val="04A0"/>
      </w:tblPr>
      <w:tblGrid>
        <w:gridCol w:w="1605"/>
        <w:gridCol w:w="1890"/>
        <w:gridCol w:w="1620"/>
        <w:gridCol w:w="2070"/>
        <w:gridCol w:w="6130"/>
      </w:tblGrid>
      <w:tr w:rsidR="00081E5D" w:rsidTr="003E3C0D">
        <w:trPr>
          <w:tblHeader/>
        </w:trPr>
        <w:tc>
          <w:tcPr>
            <w:tcW w:w="1605" w:type="dxa"/>
            <w:tcBorders>
              <w:top w:val="double" w:sz="4" w:space="0" w:color="auto"/>
              <w:bottom w:val="double" w:sz="4" w:space="0" w:color="auto"/>
            </w:tcBorders>
          </w:tcPr>
          <w:p w:rsidR="00081E5D" w:rsidRDefault="00081E5D" w:rsidP="001B716F">
            <w:r>
              <w:t>DEQ proposed division and/or rule reference</w:t>
            </w:r>
          </w:p>
        </w:tc>
        <w:tc>
          <w:tcPr>
            <w:tcW w:w="1890" w:type="dxa"/>
            <w:tcBorders>
              <w:top w:val="double" w:sz="4" w:space="0" w:color="auto"/>
              <w:bottom w:val="double" w:sz="4" w:space="0" w:color="auto"/>
            </w:tcBorders>
          </w:tcPr>
          <w:p w:rsidR="00081E5D" w:rsidRDefault="00081E5D" w:rsidP="001B716F">
            <w:r>
              <w:t>DEQ proposed division and/or rule description</w:t>
            </w:r>
          </w:p>
        </w:tc>
        <w:tc>
          <w:tcPr>
            <w:tcW w:w="1620" w:type="dxa"/>
            <w:tcBorders>
              <w:top w:val="double" w:sz="4" w:space="0" w:color="auto"/>
              <w:bottom w:val="double" w:sz="4" w:space="0" w:color="auto"/>
            </w:tcBorders>
          </w:tcPr>
          <w:p w:rsidR="00081E5D" w:rsidRDefault="00081E5D" w:rsidP="001B716F">
            <w:r>
              <w:t>Replaces/Supersedes Existing LRAPA Rule</w:t>
            </w:r>
          </w:p>
        </w:tc>
        <w:tc>
          <w:tcPr>
            <w:tcW w:w="2070" w:type="dxa"/>
            <w:tcBorders>
              <w:top w:val="double" w:sz="4" w:space="0" w:color="auto"/>
              <w:bottom w:val="double" w:sz="4" w:space="0" w:color="auto"/>
            </w:tcBorders>
          </w:tcPr>
          <w:p w:rsidR="00081E5D" w:rsidRDefault="00081E5D" w:rsidP="001B716F">
            <w:r>
              <w:t>Existing LRAPA Rule Description</w:t>
            </w:r>
          </w:p>
        </w:tc>
        <w:tc>
          <w:tcPr>
            <w:tcW w:w="6130" w:type="dxa"/>
            <w:tcBorders>
              <w:top w:val="double" w:sz="4" w:space="0" w:color="auto"/>
              <w:bottom w:val="double" w:sz="4" w:space="0" w:color="auto"/>
            </w:tcBorders>
          </w:tcPr>
          <w:p w:rsidR="00081E5D" w:rsidRDefault="00081E5D" w:rsidP="001B716F">
            <w:r>
              <w:t>Reason/Issues</w:t>
            </w:r>
          </w:p>
        </w:tc>
      </w:tr>
      <w:tr w:rsidR="00081E5D" w:rsidTr="003E3C0D">
        <w:tc>
          <w:tcPr>
            <w:tcW w:w="1605" w:type="dxa"/>
            <w:tcBorders>
              <w:top w:val="double" w:sz="4" w:space="0" w:color="auto"/>
            </w:tcBorders>
          </w:tcPr>
          <w:p w:rsidR="00081E5D" w:rsidRDefault="00081E5D" w:rsidP="005C46D2">
            <w:pPr>
              <w:pStyle w:val="ListParagraph"/>
              <w:numPr>
                <w:ilvl w:val="0"/>
                <w:numId w:val="3"/>
              </w:numPr>
              <w:ind w:left="147" w:hanging="180"/>
            </w:pPr>
            <w:r>
              <w:t>Division 224</w:t>
            </w:r>
          </w:p>
        </w:tc>
        <w:tc>
          <w:tcPr>
            <w:tcW w:w="1890" w:type="dxa"/>
            <w:tcBorders>
              <w:top w:val="double" w:sz="4" w:space="0" w:color="auto"/>
            </w:tcBorders>
          </w:tcPr>
          <w:p w:rsidR="00081E5D" w:rsidRDefault="00081E5D" w:rsidP="001B716F">
            <w:r>
              <w:t>“New Source Review”</w:t>
            </w:r>
          </w:p>
        </w:tc>
        <w:tc>
          <w:tcPr>
            <w:tcW w:w="1620" w:type="dxa"/>
            <w:tcBorders>
              <w:top w:val="double" w:sz="4" w:space="0" w:color="auto"/>
            </w:tcBorders>
          </w:tcPr>
          <w:p w:rsidR="00081E5D" w:rsidRDefault="000B3296" w:rsidP="001B716F">
            <w:hyperlink r:id="rId7" w:history="1">
              <w:r w:rsidR="00081E5D" w:rsidRPr="009C26CC">
                <w:rPr>
                  <w:rStyle w:val="Hyperlink"/>
                </w:rPr>
                <w:t>Title 38</w:t>
              </w:r>
            </w:hyperlink>
          </w:p>
        </w:tc>
        <w:tc>
          <w:tcPr>
            <w:tcW w:w="2070" w:type="dxa"/>
            <w:tcBorders>
              <w:top w:val="double" w:sz="4" w:space="0" w:color="auto"/>
            </w:tcBorders>
          </w:tcPr>
          <w:p w:rsidR="00081E5D" w:rsidRDefault="00081E5D" w:rsidP="001B716F">
            <w:r>
              <w:t>“Major New Source Review”</w:t>
            </w:r>
          </w:p>
        </w:tc>
        <w:tc>
          <w:tcPr>
            <w:tcW w:w="6130" w:type="dxa"/>
            <w:tcBorders>
              <w:top w:val="double" w:sz="4" w:space="0" w:color="auto"/>
            </w:tcBorders>
          </w:tcPr>
          <w:p w:rsidR="00081E5D" w:rsidRDefault="007B3032" w:rsidP="001B716F">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00081E5D">
              <w:t xml:space="preserve"> </w:t>
            </w:r>
          </w:p>
        </w:tc>
      </w:tr>
      <w:tr w:rsidR="00081E5D" w:rsidTr="003E3C0D">
        <w:tc>
          <w:tcPr>
            <w:tcW w:w="1605" w:type="dxa"/>
          </w:tcPr>
          <w:p w:rsidR="00081E5D" w:rsidRDefault="005C46D2" w:rsidP="001B716F">
            <w:r>
              <w:t xml:space="preserve">2. </w:t>
            </w:r>
            <w:r w:rsidR="00081E5D">
              <w:t>Division 225</w:t>
            </w:r>
          </w:p>
        </w:tc>
        <w:tc>
          <w:tcPr>
            <w:tcW w:w="1890" w:type="dxa"/>
          </w:tcPr>
          <w:p w:rsidR="00081E5D" w:rsidRDefault="00081E5D" w:rsidP="001B716F">
            <w:r>
              <w:t>“Air Quality Analysis Requirements”</w:t>
            </w:r>
          </w:p>
        </w:tc>
        <w:tc>
          <w:tcPr>
            <w:tcW w:w="1620" w:type="dxa"/>
          </w:tcPr>
          <w:p w:rsidR="00081E5D" w:rsidRDefault="000B3296" w:rsidP="001B716F">
            <w:hyperlink r:id="rId8" w:history="1">
              <w:r w:rsidR="00081E5D" w:rsidRPr="009C26CC">
                <w:rPr>
                  <w:rStyle w:val="Hyperlink"/>
                </w:rPr>
                <w:t>Title 40</w:t>
              </w:r>
            </w:hyperlink>
          </w:p>
        </w:tc>
        <w:tc>
          <w:tcPr>
            <w:tcW w:w="2070" w:type="dxa"/>
          </w:tcPr>
          <w:p w:rsidR="00081E5D" w:rsidRDefault="00081E5D" w:rsidP="001B716F">
            <w:r>
              <w:t>“Air Quality Analysis Requirements”</w:t>
            </w:r>
          </w:p>
        </w:tc>
        <w:tc>
          <w:tcPr>
            <w:tcW w:w="6130" w:type="dxa"/>
          </w:tcPr>
          <w:p w:rsidR="007B3032" w:rsidRDefault="007B3032" w:rsidP="001B716F">
            <w:pPr>
              <w:shd w:val="clear" w:color="auto" w:fill="FFFFFF"/>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 xml:space="preserve">argued that EPA lacks authority to establish </w:t>
            </w:r>
            <w:r>
              <w:rPr>
                <w:bCs/>
              </w:rPr>
              <w:t>SILs.</w:t>
            </w:r>
          </w:p>
          <w:p w:rsidR="007B3032" w:rsidRDefault="007B3032" w:rsidP="001B716F">
            <w:pPr>
              <w:shd w:val="clear" w:color="auto" w:fill="FFFFFF"/>
              <w:rPr>
                <w:bCs/>
              </w:rPr>
            </w:pPr>
          </w:p>
          <w:p w:rsidR="00081E5D" w:rsidRDefault="00081E5D" w:rsidP="001B716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081E5D" w:rsidRDefault="00081E5D" w:rsidP="001B716F">
            <w:pPr>
              <w:shd w:val="clear" w:color="auto" w:fill="FFFFFF"/>
            </w:pPr>
          </w:p>
          <w:p w:rsidR="00081E5D" w:rsidRPr="00C4407F" w:rsidRDefault="00081E5D" w:rsidP="001B716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r>
              <w:t xml:space="preserve"> </w:t>
            </w: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081E5D" w:rsidRPr="00C4407F" w:rsidRDefault="00081E5D" w:rsidP="001B716F">
            <w:pPr>
              <w:shd w:val="clear" w:color="auto" w:fill="FFFFFF"/>
            </w:pPr>
            <w:r w:rsidRPr="00C4407F">
              <w:t>permit the reviewing authority to</w:t>
            </w:r>
            <w:r>
              <w:t xml:space="preserve"> </w:t>
            </w:r>
            <w:r w:rsidRPr="00C4407F">
              <w:t xml:space="preserve">exempt a permit applicant from </w:t>
            </w:r>
            <w:r w:rsidRPr="00C4407F">
              <w:lastRenderedPageBreak/>
              <w:t>the</w:t>
            </w:r>
            <w:r>
              <w:t xml:space="preserve"> </w:t>
            </w:r>
            <w:r w:rsidRPr="00C4407F">
              <w:t>monitoring requirements if ‘‘[t]he</w:t>
            </w:r>
            <w:r>
              <w:t xml:space="preserve"> </w:t>
            </w:r>
            <w:r w:rsidRPr="00C4407F">
              <w:t>pollutant is not listed in paragraph</w:t>
            </w:r>
          </w:p>
          <w:p w:rsidR="00081E5D" w:rsidRDefault="00081E5D" w:rsidP="001B716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r>
              <w:t xml:space="preserve"> </w:t>
            </w: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r>
              <w:t xml:space="preserve"> </w:t>
            </w: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r>
              <w:t xml:space="preserve"> </w:t>
            </w: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r>
              <w:t xml:space="preserve"> </w:t>
            </w: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r>
      <w:tr w:rsidR="00081E5D" w:rsidTr="003E3C0D">
        <w:tc>
          <w:tcPr>
            <w:tcW w:w="1605" w:type="dxa"/>
          </w:tcPr>
          <w:p w:rsidR="00081E5D" w:rsidRDefault="005C46D2" w:rsidP="001B716F">
            <w:r>
              <w:lastRenderedPageBreak/>
              <w:t xml:space="preserve">3. </w:t>
            </w:r>
            <w:r w:rsidR="00081E5D">
              <w:t>340-208-0110</w:t>
            </w:r>
          </w:p>
        </w:tc>
        <w:tc>
          <w:tcPr>
            <w:tcW w:w="1890" w:type="dxa"/>
          </w:tcPr>
          <w:p w:rsidR="00081E5D" w:rsidRDefault="00081E5D" w:rsidP="001B716F">
            <w:r>
              <w:t>Visible Air Contaminant Limitations</w:t>
            </w:r>
          </w:p>
        </w:tc>
        <w:tc>
          <w:tcPr>
            <w:tcW w:w="1620" w:type="dxa"/>
          </w:tcPr>
          <w:p w:rsidR="00081E5D" w:rsidRDefault="000B3296" w:rsidP="001B716F">
            <w:hyperlink r:id="rId9" w:anchor="32010" w:history="1">
              <w:r w:rsidR="00081E5D" w:rsidRPr="00D129D8">
                <w:rPr>
                  <w:rStyle w:val="Hyperlink"/>
                </w:rPr>
                <w:t>32-010</w:t>
              </w:r>
            </w:hyperlink>
          </w:p>
        </w:tc>
        <w:tc>
          <w:tcPr>
            <w:tcW w:w="2070" w:type="dxa"/>
          </w:tcPr>
          <w:p w:rsidR="00081E5D" w:rsidRDefault="00081E5D" w:rsidP="001B716F">
            <w:r>
              <w:t>Visible Air Contaminant Limitations</w:t>
            </w:r>
          </w:p>
        </w:tc>
        <w:tc>
          <w:tcPr>
            <w:tcW w:w="6130" w:type="dxa"/>
          </w:tcPr>
          <w:p w:rsidR="00081E5D" w:rsidRDefault="00081E5D" w:rsidP="003E3C0D">
            <w:r>
              <w:t>The opacity limitations for wood-fired combustion equipment in the rules proposed by DEQ are more stringent than the same limitations in LRAPA’s existing rule</w:t>
            </w:r>
            <w:r w:rsidR="001061F1">
              <w:t xml:space="preserve"> (40% vs. 20%)</w:t>
            </w:r>
            <w:r>
              <w:t>.</w:t>
            </w:r>
            <w:r w:rsidR="003E3C0D">
              <w:t xml:space="preserve">  </w:t>
            </w:r>
            <w:r w:rsidR="003E3C0D" w:rsidRPr="002706DC">
              <w:rPr>
                <w:b/>
                <w:i/>
              </w:rPr>
              <w:t>LRAPA believes this rule should apply only to wood-fired boilers in Lane County</w:t>
            </w:r>
            <w:r w:rsidR="003E3C0D">
              <w:t>.  Additional time is needed to evaluate the proposed revisions to the visible emission (VE) monitoring method for other sources.  LRAPA is considering retaining the 3-minute aggregate VE data reduction method (i.e., Modified EPA Method 9) for other types of sources</w:t>
            </w:r>
            <w:r w:rsidR="002706DC">
              <w:t xml:space="preserve"> (e.g., batch-type processes such as crematories and coffee roasters)</w:t>
            </w:r>
            <w:r w:rsidR="003E3C0D">
              <w:t>.</w:t>
            </w:r>
          </w:p>
        </w:tc>
      </w:tr>
      <w:tr w:rsidR="00081E5D" w:rsidTr="003E3C0D">
        <w:tc>
          <w:tcPr>
            <w:tcW w:w="1605" w:type="dxa"/>
          </w:tcPr>
          <w:p w:rsidR="00081E5D" w:rsidRDefault="005C46D2" w:rsidP="001B716F">
            <w:r>
              <w:t xml:space="preserve">4. </w:t>
            </w:r>
            <w:r w:rsidR="00081E5D">
              <w:t>340-226-</w:t>
            </w:r>
            <w:r w:rsidR="00081E5D">
              <w:lastRenderedPageBreak/>
              <w:t>0210</w:t>
            </w:r>
          </w:p>
          <w:p w:rsidR="005C46D2" w:rsidRDefault="005C46D2" w:rsidP="001B716F"/>
        </w:tc>
        <w:tc>
          <w:tcPr>
            <w:tcW w:w="1890" w:type="dxa"/>
          </w:tcPr>
          <w:p w:rsidR="00081E5D" w:rsidRDefault="00081E5D" w:rsidP="001B716F">
            <w:r w:rsidRPr="00014A27">
              <w:lastRenderedPageBreak/>
              <w:t xml:space="preserve">Particulate </w:t>
            </w:r>
            <w:r w:rsidRPr="00014A27">
              <w:lastRenderedPageBreak/>
              <w:t>Emission Limitations for Sources Other Than Fuel Burning, and Refuse Burning Equipment and Fugitive Emissions</w:t>
            </w:r>
          </w:p>
        </w:tc>
        <w:tc>
          <w:tcPr>
            <w:tcW w:w="1620" w:type="dxa"/>
          </w:tcPr>
          <w:p w:rsidR="00081E5D" w:rsidRDefault="000B3296" w:rsidP="00A61CFF">
            <w:hyperlink r:id="rId10" w:anchor="32015" w:history="1">
              <w:r w:rsidR="00A61CFF" w:rsidRPr="009D50F3">
                <w:rPr>
                  <w:rStyle w:val="Hyperlink"/>
                </w:rPr>
                <w:t>32-015</w:t>
              </w:r>
            </w:hyperlink>
            <w:r w:rsidR="00A61CFF">
              <w:t xml:space="preserve"> </w:t>
            </w:r>
          </w:p>
        </w:tc>
        <w:tc>
          <w:tcPr>
            <w:tcW w:w="2070" w:type="dxa"/>
          </w:tcPr>
          <w:p w:rsidR="00081E5D" w:rsidRDefault="00081E5D" w:rsidP="00A61CFF">
            <w:r>
              <w:t>Parti</w:t>
            </w:r>
            <w:r w:rsidR="00A61CFF">
              <w:t>culate Mat</w:t>
            </w:r>
            <w:r w:rsidR="002706DC">
              <w:t xml:space="preserve">ter </w:t>
            </w:r>
            <w:r w:rsidR="002706DC">
              <w:lastRenderedPageBreak/>
              <w:t>Weight Standards</w:t>
            </w:r>
          </w:p>
        </w:tc>
        <w:tc>
          <w:tcPr>
            <w:tcW w:w="6130" w:type="dxa"/>
          </w:tcPr>
          <w:p w:rsidR="00081E5D" w:rsidRDefault="00081E5D" w:rsidP="001B716F">
            <w:r>
              <w:lastRenderedPageBreak/>
              <w:t xml:space="preserve">The particulate concentration limitation(s) in the rules proposed </w:t>
            </w:r>
            <w:r>
              <w:lastRenderedPageBreak/>
              <w:t>by DEQ are more stringent than the same limit</w:t>
            </w:r>
            <w:r w:rsidR="001061F1">
              <w:t>ations in LRAPA’s existing rule (0.2 gr/dscf vs 0.15 and/or 0.10 gr/dscf).</w:t>
            </w:r>
          </w:p>
        </w:tc>
      </w:tr>
      <w:tr w:rsidR="005C46D2" w:rsidTr="003E3C0D">
        <w:tc>
          <w:tcPr>
            <w:tcW w:w="1605" w:type="dxa"/>
          </w:tcPr>
          <w:p w:rsidR="005C46D2" w:rsidRDefault="005C46D2" w:rsidP="001B716F">
            <w:r>
              <w:lastRenderedPageBreak/>
              <w:t>5. OAR 340-228-0210</w:t>
            </w:r>
          </w:p>
        </w:tc>
        <w:tc>
          <w:tcPr>
            <w:tcW w:w="1890" w:type="dxa"/>
          </w:tcPr>
          <w:p w:rsidR="005C46D2" w:rsidRPr="00014A27" w:rsidRDefault="005C46D2" w:rsidP="001B716F">
            <w:r>
              <w:t xml:space="preserve">Grain Loading Standards </w:t>
            </w:r>
            <w:r w:rsidR="00A61CFF">
              <w:t>(</w:t>
            </w:r>
            <w:r>
              <w:t>for Fuel Burning Equipment</w:t>
            </w:r>
            <w:r w:rsidR="00A61CFF">
              <w:t>)</w:t>
            </w:r>
          </w:p>
        </w:tc>
        <w:tc>
          <w:tcPr>
            <w:tcW w:w="1620" w:type="dxa"/>
          </w:tcPr>
          <w:p w:rsidR="005C46D2" w:rsidRDefault="000B3296" w:rsidP="001B716F">
            <w:hyperlink r:id="rId11" w:anchor="32020" w:history="1">
              <w:r w:rsidR="00A61CFF" w:rsidRPr="009D50F3">
                <w:rPr>
                  <w:rStyle w:val="Hyperlink"/>
                </w:rPr>
                <w:t>32-020</w:t>
              </w:r>
            </w:hyperlink>
            <w:r w:rsidR="00A61CFF" w:rsidRPr="00A61CFF">
              <w:t xml:space="preserve">, </w:t>
            </w:r>
            <w:hyperlink r:id="rId12" w:anchor="32030" w:history="1">
              <w:r w:rsidR="00A61CFF" w:rsidRPr="009D50F3">
                <w:rPr>
                  <w:rStyle w:val="Hyperlink"/>
                </w:rPr>
                <w:t>32-030</w:t>
              </w:r>
            </w:hyperlink>
          </w:p>
        </w:tc>
        <w:tc>
          <w:tcPr>
            <w:tcW w:w="2070" w:type="dxa"/>
          </w:tcPr>
          <w:p w:rsidR="005C46D2" w:rsidRDefault="00A61CFF" w:rsidP="001B716F">
            <w:r>
              <w:t>Particulate Matter Weight Standards – Existing Combustion Sources Particulate Matter Weight Standards – New Combustion Sources</w:t>
            </w:r>
          </w:p>
        </w:tc>
        <w:tc>
          <w:tcPr>
            <w:tcW w:w="6130" w:type="dxa"/>
          </w:tcPr>
          <w:p w:rsidR="005C46D2" w:rsidRDefault="00A61CFF" w:rsidP="001B716F">
            <w:r>
              <w:t>The particulate concentration limitation(s) in the rules proposed by DEQ are more stringent than the same limitations in LRAPA’s existing rule (0.2 gr/dscf vs 0.15 or 0.14 and/or 0.10 gr/dscf).</w:t>
            </w:r>
          </w:p>
        </w:tc>
      </w:tr>
      <w:tr w:rsidR="005C46D2" w:rsidTr="003E3C0D">
        <w:tc>
          <w:tcPr>
            <w:tcW w:w="1605" w:type="dxa"/>
          </w:tcPr>
          <w:p w:rsidR="005C46D2" w:rsidRDefault="005C46D2" w:rsidP="001B716F">
            <w:r>
              <w:t>6. Division 200 Definition of Categorically Insignificant Activity</w:t>
            </w:r>
          </w:p>
        </w:tc>
        <w:tc>
          <w:tcPr>
            <w:tcW w:w="1890" w:type="dxa"/>
          </w:tcPr>
          <w:p w:rsidR="005C46D2" w:rsidRDefault="005C46D2" w:rsidP="001B716F">
            <w:r>
              <w:t>Definition of “Categorically Insignificant Activity”</w:t>
            </w:r>
          </w:p>
        </w:tc>
        <w:tc>
          <w:tcPr>
            <w:tcW w:w="1620" w:type="dxa"/>
          </w:tcPr>
          <w:p w:rsidR="005C46D2" w:rsidRDefault="000B3296" w:rsidP="001B716F">
            <w:hyperlink r:id="rId13" w:anchor="12005" w:history="1">
              <w:r w:rsidR="00A61CFF" w:rsidRPr="009D50F3">
                <w:rPr>
                  <w:rStyle w:val="Hyperlink"/>
                </w:rPr>
                <w:t>Title 12</w:t>
              </w:r>
            </w:hyperlink>
            <w:r w:rsidR="00A61CFF">
              <w:t>, Definition of “Categorically Insignificant Activity”</w:t>
            </w:r>
          </w:p>
        </w:tc>
        <w:tc>
          <w:tcPr>
            <w:tcW w:w="2070" w:type="dxa"/>
          </w:tcPr>
          <w:p w:rsidR="005C46D2" w:rsidRDefault="00A61CFF" w:rsidP="001B716F">
            <w:r>
              <w:t>Definition of “Categorically Insignificant Activity”</w:t>
            </w:r>
          </w:p>
        </w:tc>
        <w:tc>
          <w:tcPr>
            <w:tcW w:w="6130" w:type="dxa"/>
          </w:tcPr>
          <w:p w:rsidR="005C46D2" w:rsidRDefault="00A61CFF" w:rsidP="009D50F3">
            <w:r>
              <w:t xml:space="preserve">The fuel and gas burning equipment </w:t>
            </w:r>
            <w:r w:rsidR="009D50F3">
              <w:t xml:space="preserve">activity components of the definition </w:t>
            </w:r>
            <w:r>
              <w:t>are proposed to include the aggregate of all devices for determination of the heat input threshold(s).  Currently there is no aggregation of devices</w:t>
            </w:r>
            <w:r w:rsidR="009D50F3">
              <w:t xml:space="preserve"> required when determining if the</w:t>
            </w:r>
            <w:r>
              <w:t xml:space="preserve"> </w:t>
            </w:r>
            <w:r w:rsidR="009D50F3">
              <w:t>activities are</w:t>
            </w:r>
            <w:r>
              <w:t xml:space="preserve"> insignificant.</w:t>
            </w:r>
          </w:p>
        </w:tc>
      </w:tr>
      <w:tr w:rsidR="005C46D2" w:rsidTr="003E3C0D">
        <w:tc>
          <w:tcPr>
            <w:tcW w:w="1605" w:type="dxa"/>
          </w:tcPr>
          <w:p w:rsidR="005C46D2" w:rsidRDefault="005C46D2" w:rsidP="001B716F">
            <w:r>
              <w:t>7. OAR 340-22</w:t>
            </w:r>
            <w:r w:rsidR="00A61CFF">
              <w:t>2</w:t>
            </w:r>
            <w:r>
              <w:t>-0090</w:t>
            </w:r>
          </w:p>
        </w:tc>
        <w:tc>
          <w:tcPr>
            <w:tcW w:w="1890" w:type="dxa"/>
          </w:tcPr>
          <w:p w:rsidR="005C46D2" w:rsidRDefault="005C46D2" w:rsidP="001B716F">
            <w:r>
              <w:t>Combining and Splitting Sources</w:t>
            </w:r>
            <w:r w:rsidR="00A61CFF">
              <w:t xml:space="preserve"> and Changing Primary SIC Code</w:t>
            </w:r>
          </w:p>
        </w:tc>
        <w:tc>
          <w:tcPr>
            <w:tcW w:w="1620" w:type="dxa"/>
          </w:tcPr>
          <w:p w:rsidR="005C46D2" w:rsidRDefault="000B3296" w:rsidP="001B716F">
            <w:hyperlink r:id="rId14" w:anchor="420090" w:history="1">
              <w:r w:rsidR="00A61CFF" w:rsidRPr="009D50F3">
                <w:rPr>
                  <w:rStyle w:val="Hyperlink"/>
                </w:rPr>
                <w:t>42-0090</w:t>
              </w:r>
            </w:hyperlink>
          </w:p>
        </w:tc>
        <w:tc>
          <w:tcPr>
            <w:tcW w:w="2070" w:type="dxa"/>
          </w:tcPr>
          <w:p w:rsidR="005C46D2" w:rsidRDefault="00A61CFF" w:rsidP="001B716F">
            <w:r>
              <w:t>Combining and Splitting Sources</w:t>
            </w:r>
          </w:p>
        </w:tc>
        <w:tc>
          <w:tcPr>
            <w:tcW w:w="6130" w:type="dxa"/>
          </w:tcPr>
          <w:p w:rsidR="005C46D2" w:rsidRDefault="00A61CFF" w:rsidP="002706DC">
            <w:r>
              <w:t xml:space="preserve">The proposed regulation is more stringent than the existing LRAPA rule because the rule limits the scope of changes to a facility where </w:t>
            </w:r>
            <w:r w:rsidR="002706DC">
              <w:t>the netting basis is</w:t>
            </w:r>
            <w:r>
              <w:t xml:space="preserve"> allotted between two combining and/or splitting sources</w:t>
            </w:r>
            <w:r w:rsidR="002706DC">
              <w:t xml:space="preserve"> by the inclusion of a primary SIC code criteria</w:t>
            </w:r>
            <w:r>
              <w:t xml:space="preserve">.  </w:t>
            </w:r>
          </w:p>
        </w:tc>
      </w:tr>
      <w:tr w:rsidR="005C46D2" w:rsidTr="003E3C0D">
        <w:tc>
          <w:tcPr>
            <w:tcW w:w="1605" w:type="dxa"/>
          </w:tcPr>
          <w:p w:rsidR="005C46D2" w:rsidRDefault="005C46D2" w:rsidP="001B716F">
            <w:r>
              <w:t>8. OAR 340-208-0210(2)(a), (b), and (3)</w:t>
            </w:r>
          </w:p>
        </w:tc>
        <w:tc>
          <w:tcPr>
            <w:tcW w:w="1890" w:type="dxa"/>
          </w:tcPr>
          <w:p w:rsidR="005C46D2" w:rsidRDefault="005C46D2" w:rsidP="001B716F">
            <w:r>
              <w:t>Visible Emission Monitoring for Fugitive Emissions</w:t>
            </w:r>
          </w:p>
        </w:tc>
        <w:tc>
          <w:tcPr>
            <w:tcW w:w="1620" w:type="dxa"/>
          </w:tcPr>
          <w:p w:rsidR="005C46D2" w:rsidRDefault="000B3296" w:rsidP="001B716F">
            <w:hyperlink r:id="rId15" w:anchor="48010" w:history="1">
              <w:r w:rsidR="00A61CFF" w:rsidRPr="009D50F3">
                <w:rPr>
                  <w:rStyle w:val="Hyperlink"/>
                </w:rPr>
                <w:t>48-015</w:t>
              </w:r>
            </w:hyperlink>
          </w:p>
        </w:tc>
        <w:tc>
          <w:tcPr>
            <w:tcW w:w="2070" w:type="dxa"/>
          </w:tcPr>
          <w:p w:rsidR="005C46D2" w:rsidRDefault="00A61CFF" w:rsidP="001B716F">
            <w:r>
              <w:t>Rules for Fugitive Emissions - General Requirements</w:t>
            </w:r>
          </w:p>
        </w:tc>
        <w:tc>
          <w:tcPr>
            <w:tcW w:w="6130" w:type="dxa"/>
          </w:tcPr>
          <w:p w:rsidR="005C46D2" w:rsidRDefault="00A61CFF" w:rsidP="001B716F">
            <w:r>
              <w:t>The proposed rule includes additional requirements for Visible Emission (VE) monitoring for fugitive sources.  LRAPA’s existing rule does not require specific VE monitoring for fugitive emissions.</w:t>
            </w:r>
          </w:p>
        </w:tc>
      </w:tr>
      <w:tr w:rsidR="005C46D2" w:rsidTr="00411C32">
        <w:trPr>
          <w:trHeight w:val="683"/>
        </w:trPr>
        <w:tc>
          <w:tcPr>
            <w:tcW w:w="1605" w:type="dxa"/>
          </w:tcPr>
          <w:p w:rsidR="005C46D2" w:rsidRDefault="005C46D2" w:rsidP="005C46D2">
            <w:pPr>
              <w:pStyle w:val="ListParagraph"/>
              <w:numPr>
                <w:ilvl w:val="0"/>
                <w:numId w:val="5"/>
              </w:numPr>
              <w:ind w:left="237" w:hanging="237"/>
            </w:pPr>
            <w:r>
              <w:lastRenderedPageBreak/>
              <w:t>OAR 340-214-0114(5)</w:t>
            </w:r>
          </w:p>
        </w:tc>
        <w:tc>
          <w:tcPr>
            <w:tcW w:w="1890" w:type="dxa"/>
          </w:tcPr>
          <w:p w:rsidR="005C46D2" w:rsidRDefault="005C46D2" w:rsidP="009D50F3">
            <w:r>
              <w:t>Record</w:t>
            </w:r>
            <w:r w:rsidR="009D50F3">
              <w:t>s; Maintaining and Reporting</w:t>
            </w:r>
          </w:p>
        </w:tc>
        <w:tc>
          <w:tcPr>
            <w:tcW w:w="1620" w:type="dxa"/>
          </w:tcPr>
          <w:p w:rsidR="005C46D2" w:rsidRDefault="009D50F3" w:rsidP="001B716F">
            <w:r>
              <w:t xml:space="preserve">Augments LRAPA </w:t>
            </w:r>
            <w:hyperlink r:id="rId16" w:anchor="350160" w:history="1">
              <w:r w:rsidRPr="009D50F3">
                <w:rPr>
                  <w:rStyle w:val="Hyperlink"/>
                </w:rPr>
                <w:t>35-0160</w:t>
              </w:r>
            </w:hyperlink>
          </w:p>
        </w:tc>
        <w:tc>
          <w:tcPr>
            <w:tcW w:w="2070" w:type="dxa"/>
          </w:tcPr>
          <w:p w:rsidR="005C46D2" w:rsidRDefault="009D50F3" w:rsidP="001B716F">
            <w:r>
              <w:t>Records; Maintaining and Reporting</w:t>
            </w:r>
          </w:p>
        </w:tc>
        <w:tc>
          <w:tcPr>
            <w:tcW w:w="6130" w:type="dxa"/>
          </w:tcPr>
          <w:p w:rsidR="005C46D2" w:rsidRDefault="001672A7" w:rsidP="001B716F">
            <w:r>
              <w:t xml:space="preserve">The proposed revision adds a requirement to existing recordkeeping rules specifying that records must be kept for at least five (5) years.  LRAPA’s corresponding rule (LRAPA 35-0160) is identical except for the proposed revision. </w:t>
            </w:r>
          </w:p>
        </w:tc>
      </w:tr>
    </w:tbl>
    <w:p w:rsidR="00081E5D" w:rsidRDefault="00081E5D" w:rsidP="00081E5D"/>
    <w:p w:rsidR="003D4F28" w:rsidRDefault="001672A7">
      <w:r>
        <w:t xml:space="preserve">Max </w:t>
      </w:r>
      <w:r w:rsidR="002706DC">
        <w:t>0</w:t>
      </w:r>
      <w:r w:rsidR="00AA0696">
        <w:t>8</w:t>
      </w:r>
      <w:r>
        <w:t>/</w:t>
      </w:r>
      <w:r w:rsidR="00AA0696">
        <w:t>28</w:t>
      </w:r>
      <w:r w:rsidR="003D4F28">
        <w:t>/14</w:t>
      </w:r>
    </w:p>
    <w:sectPr w:rsidR="003D4F28" w:rsidSect="00081E5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696" w:rsidRDefault="00AA0696" w:rsidP="00AA0696">
      <w:pPr>
        <w:spacing w:after="0" w:line="240" w:lineRule="auto"/>
      </w:pPr>
      <w:r>
        <w:separator/>
      </w:r>
    </w:p>
  </w:endnote>
  <w:endnote w:type="continuationSeparator" w:id="0">
    <w:p w:rsidR="00AA0696" w:rsidRDefault="00AA0696" w:rsidP="00AA0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696" w:rsidRDefault="00AA0696" w:rsidP="00AA0696">
      <w:pPr>
        <w:spacing w:after="0" w:line="240" w:lineRule="auto"/>
      </w:pPr>
      <w:r>
        <w:separator/>
      </w:r>
    </w:p>
  </w:footnote>
  <w:footnote w:type="continuationSeparator" w:id="0">
    <w:p w:rsidR="00AA0696" w:rsidRDefault="00AA0696" w:rsidP="00AA06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A80"/>
    <w:multiLevelType w:val="hybridMultilevel"/>
    <w:tmpl w:val="B784D2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654BA"/>
    <w:multiLevelType w:val="hybridMultilevel"/>
    <w:tmpl w:val="339E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F2FD1"/>
    <w:multiLevelType w:val="hybridMultilevel"/>
    <w:tmpl w:val="7E8E8C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3462"/>
    <w:rsid w:val="00014A27"/>
    <w:rsid w:val="00024009"/>
    <w:rsid w:val="00081E5D"/>
    <w:rsid w:val="000B3296"/>
    <w:rsid w:val="000F5D3B"/>
    <w:rsid w:val="001061F1"/>
    <w:rsid w:val="001672A7"/>
    <w:rsid w:val="001C2449"/>
    <w:rsid w:val="002706DC"/>
    <w:rsid w:val="003216AB"/>
    <w:rsid w:val="00334333"/>
    <w:rsid w:val="0034248C"/>
    <w:rsid w:val="003940AF"/>
    <w:rsid w:val="00394240"/>
    <w:rsid w:val="003D4F28"/>
    <w:rsid w:val="003E3C0D"/>
    <w:rsid w:val="003F386E"/>
    <w:rsid w:val="00411C32"/>
    <w:rsid w:val="00423BA9"/>
    <w:rsid w:val="00434079"/>
    <w:rsid w:val="00575DD3"/>
    <w:rsid w:val="005A443A"/>
    <w:rsid w:val="005C46D2"/>
    <w:rsid w:val="00615BF8"/>
    <w:rsid w:val="006162B0"/>
    <w:rsid w:val="007A2FA3"/>
    <w:rsid w:val="007B3032"/>
    <w:rsid w:val="007F5337"/>
    <w:rsid w:val="007F5BFD"/>
    <w:rsid w:val="008C5224"/>
    <w:rsid w:val="009543D2"/>
    <w:rsid w:val="009C26CC"/>
    <w:rsid w:val="009D50F3"/>
    <w:rsid w:val="009E2529"/>
    <w:rsid w:val="00A61CFF"/>
    <w:rsid w:val="00A7297C"/>
    <w:rsid w:val="00AA0696"/>
    <w:rsid w:val="00AC2D73"/>
    <w:rsid w:val="00B106EA"/>
    <w:rsid w:val="00B7433D"/>
    <w:rsid w:val="00BF0B92"/>
    <w:rsid w:val="00C13462"/>
    <w:rsid w:val="00D129D8"/>
    <w:rsid w:val="00D86C44"/>
    <w:rsid w:val="00E159A7"/>
    <w:rsid w:val="00E3355B"/>
    <w:rsid w:val="00FE2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462"/>
    <w:pPr>
      <w:ind w:left="720"/>
      <w:contextualSpacing/>
    </w:pPr>
  </w:style>
  <w:style w:type="table" w:styleId="TableGrid">
    <w:name w:val="Table Grid"/>
    <w:basedOn w:val="TableNormal"/>
    <w:uiPriority w:val="39"/>
    <w:rsid w:val="00C13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A7"/>
    <w:rPr>
      <w:rFonts w:ascii="Tahoma" w:hAnsi="Tahoma" w:cs="Tahoma"/>
      <w:sz w:val="16"/>
      <w:szCs w:val="16"/>
    </w:rPr>
  </w:style>
  <w:style w:type="character" w:styleId="CommentReference">
    <w:name w:val="annotation reference"/>
    <w:basedOn w:val="DefaultParagraphFont"/>
    <w:uiPriority w:val="99"/>
    <w:semiHidden/>
    <w:unhideWhenUsed/>
    <w:rsid w:val="009C26CC"/>
    <w:rPr>
      <w:sz w:val="16"/>
      <w:szCs w:val="16"/>
    </w:rPr>
  </w:style>
  <w:style w:type="paragraph" w:styleId="CommentText">
    <w:name w:val="annotation text"/>
    <w:basedOn w:val="Normal"/>
    <w:link w:val="CommentTextChar"/>
    <w:uiPriority w:val="99"/>
    <w:semiHidden/>
    <w:unhideWhenUsed/>
    <w:rsid w:val="009C26CC"/>
    <w:pPr>
      <w:spacing w:line="240" w:lineRule="auto"/>
    </w:pPr>
    <w:rPr>
      <w:sz w:val="20"/>
      <w:szCs w:val="20"/>
    </w:rPr>
  </w:style>
  <w:style w:type="character" w:customStyle="1" w:styleId="CommentTextChar">
    <w:name w:val="Comment Text Char"/>
    <w:basedOn w:val="DefaultParagraphFont"/>
    <w:link w:val="CommentText"/>
    <w:uiPriority w:val="99"/>
    <w:semiHidden/>
    <w:rsid w:val="009C26CC"/>
    <w:rPr>
      <w:sz w:val="20"/>
      <w:szCs w:val="20"/>
    </w:rPr>
  </w:style>
  <w:style w:type="paragraph" w:styleId="CommentSubject">
    <w:name w:val="annotation subject"/>
    <w:basedOn w:val="CommentText"/>
    <w:next w:val="CommentText"/>
    <w:link w:val="CommentSubjectChar"/>
    <w:uiPriority w:val="99"/>
    <w:semiHidden/>
    <w:unhideWhenUsed/>
    <w:rsid w:val="009C26CC"/>
    <w:rPr>
      <w:b/>
      <w:bCs/>
    </w:rPr>
  </w:style>
  <w:style w:type="character" w:customStyle="1" w:styleId="CommentSubjectChar">
    <w:name w:val="Comment Subject Char"/>
    <w:basedOn w:val="CommentTextChar"/>
    <w:link w:val="CommentSubject"/>
    <w:uiPriority w:val="99"/>
    <w:semiHidden/>
    <w:rsid w:val="009C26CC"/>
    <w:rPr>
      <w:b/>
      <w:bCs/>
      <w:sz w:val="20"/>
      <w:szCs w:val="20"/>
    </w:rPr>
  </w:style>
  <w:style w:type="character" w:styleId="Hyperlink">
    <w:name w:val="Hyperlink"/>
    <w:basedOn w:val="DefaultParagraphFont"/>
    <w:uiPriority w:val="99"/>
    <w:unhideWhenUsed/>
    <w:rsid w:val="009C26CC"/>
    <w:rPr>
      <w:color w:val="0563C1" w:themeColor="hyperlink"/>
      <w:u w:val="single"/>
    </w:rPr>
  </w:style>
  <w:style w:type="paragraph" w:styleId="Header">
    <w:name w:val="header"/>
    <w:basedOn w:val="Normal"/>
    <w:link w:val="HeaderChar"/>
    <w:uiPriority w:val="99"/>
    <w:unhideWhenUsed/>
    <w:rsid w:val="00AA0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96"/>
  </w:style>
  <w:style w:type="paragraph" w:styleId="Footer">
    <w:name w:val="footer"/>
    <w:basedOn w:val="Normal"/>
    <w:link w:val="FooterChar"/>
    <w:uiPriority w:val="99"/>
    <w:unhideWhenUsed/>
    <w:rsid w:val="00AA0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apa.org/rules_and_regulations/downloads/Title_40.pdf" TargetMode="External"/><Relationship Id="rId13" Type="http://schemas.openxmlformats.org/officeDocument/2006/relationships/hyperlink" Target="http://www.lrapa.org/rules_and_regulations/title_12-General_Provisions_and_Definitions.php"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lrapa.org/rules_and_regulations/downloads/Title_38.pdf" TargetMode="External"/><Relationship Id="rId12" Type="http://schemas.openxmlformats.org/officeDocument/2006/relationships/hyperlink" Target="http://www.lrapa.org/rules_and_regulations/title_32-Emission_Standard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rapa.org/rules_and_regulations/title_35-Stationary_Source_Testing_and_Monitoring.php"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apa.org/rules_and_regulations/title_32-Emission_Standards.php" TargetMode="External"/><Relationship Id="rId5" Type="http://schemas.openxmlformats.org/officeDocument/2006/relationships/footnotes" Target="footnotes.xml"/><Relationship Id="rId15" Type="http://schemas.openxmlformats.org/officeDocument/2006/relationships/hyperlink" Target="http://www.lrapa.org/rules_and_regulations/title_48-Rules_For_Fugitive_Emissions.php" TargetMode="External"/><Relationship Id="rId10" Type="http://schemas.openxmlformats.org/officeDocument/2006/relationships/hyperlink" Target="http://www.lrapa.org/rules_and_regulations/title_32-Emission_Standards.php"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lrapa.org/rules_and_regulations/title_32-Emission_Standards.php" TargetMode="External"/><Relationship Id="rId14" Type="http://schemas.openxmlformats.org/officeDocument/2006/relationships/hyperlink" Target="http://www.lrapa.org/rules_and_regulations/title_42-Stationary_Source_Plant_Site_Emission_Limi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897CDA19-EB14-4578-AE26-3DDA01246580}"/>
</file>

<file path=customXml/itemProps2.xml><?xml version="1.0" encoding="utf-8"?>
<ds:datastoreItem xmlns:ds="http://schemas.openxmlformats.org/officeDocument/2006/customXml" ds:itemID="{D93FE112-EED0-4A0E-9B66-A15654BBE583}"/>
</file>

<file path=customXml/itemProps3.xml><?xml version="1.0" encoding="utf-8"?>
<ds:datastoreItem xmlns:ds="http://schemas.openxmlformats.org/officeDocument/2006/customXml" ds:itemID="{8A023E5C-5713-4087-B19D-48F0136E5C2D}"/>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LRAPA</Company>
  <LinksUpToDate>false</LinksUpToDate>
  <CharactersWithSpaces>11091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Hueftle</dc:creator>
  <cp:lastModifiedBy>jinahar</cp:lastModifiedBy>
  <cp:revision>2</cp:revision>
  <cp:lastPrinted>2014-07-01T17:33:00Z</cp:lastPrinted>
  <dcterms:created xsi:type="dcterms:W3CDTF">2014-12-15T22:59:00Z</dcterms:created>
  <dcterms:modified xsi:type="dcterms:W3CDTF">2014-12-15T22:59:00Z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