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p w:rsidR="00774E85" w:rsidRDefault="00774E8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sidRPr="00196B94">
              <w:rPr>
                <w:b/>
                <w:sz w:val="22"/>
                <w:szCs w:val="22"/>
              </w:rPr>
              <w:t>Summary of Comments and DEQ Responses</w:t>
            </w:r>
          </w:p>
        </w:tc>
      </w:tr>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196B94" w:rsidRPr="00196B94" w:rsidTr="00C6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t>0</w:t>
            </w:r>
            <w:r w:rsidRPr="00196B94">
              <w:rPr>
                <w:sz w:val="22"/>
                <w:szCs w:val="22"/>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2C283B" w:rsidRDefault="00196B94" w:rsidP="002F2691">
            <w:pPr>
              <w:spacing w:after="120"/>
              <w:rPr>
                <w:i/>
              </w:rPr>
            </w:pPr>
            <w:r w:rsidRPr="002C283B">
              <w:rPr>
                <w:i/>
              </w:rPr>
              <w:t>Special Discussion of Greenhouse Gas (GHG) Rules</w:t>
            </w:r>
            <w:r w:rsidR="00CB4351" w:rsidRPr="002C283B">
              <w:rPr>
                <w:i/>
              </w:rPr>
              <w:t xml:space="preserve"> and Response to Comments</w:t>
            </w:r>
          </w:p>
          <w:p w:rsidR="00CB4351" w:rsidRPr="002C283B" w:rsidRDefault="00CB4351" w:rsidP="00CB4351">
            <w:pPr>
              <w:spacing w:after="120"/>
            </w:pPr>
            <w:r w:rsidRPr="002C283B">
              <w:t xml:space="preserve">DEQ should keep its current regulations on greenhouse gases for Prevention of Significant Deterioration and Title V. The Supreme Court’s decision in UARG does not affect Oregon’s ability to regulate sources based on greenhouse gas emissions. DEQ can and should regulate greenhouse gas emissions under its state law authority. </w:t>
            </w:r>
          </w:p>
          <w:p w:rsidR="00CB4351" w:rsidRPr="002C283B" w:rsidRDefault="00CB4351" w:rsidP="00CB4351">
            <w:pPr>
              <w:spacing w:after="120"/>
            </w:pPr>
            <w:r w:rsidRPr="002C283B">
              <w:t>DEQ received comments in this category from commenters 9, 10, 11, 14, 15, 16, 18, 23, 25, 26, 27, 30, 33, 34, 37, 45 and 51 listed in the Commenter section below.</w:t>
            </w:r>
          </w:p>
          <w:p w:rsidR="00CB4351" w:rsidRPr="002C283B" w:rsidRDefault="00CB4351" w:rsidP="00CB4351">
            <w:pPr>
              <w:spacing w:after="120"/>
            </w:pPr>
            <w:r w:rsidRPr="002C283B">
              <w:t xml:space="preserve">DEQ should revise its rules to reflect the current status of the law, i.e., to clarify that sources cannot trigger Prevention of Significant Deterioration or Title V permitting based solely on their GHG emissions. </w:t>
            </w:r>
          </w:p>
          <w:p w:rsidR="00CB4351" w:rsidRPr="002C283B" w:rsidRDefault="00CB4351" w:rsidP="00CB4351">
            <w:pPr>
              <w:spacing w:after="120"/>
            </w:pPr>
            <w:r w:rsidRPr="002C283B">
              <w:t>DEQ received comments in this category from commenters 2, 3, 4, 7, 20, 40, 41, 42, 44, 47, 48, 56 and 58 listed in the Commenter section below.</w:t>
            </w:r>
          </w:p>
          <w:p w:rsidR="00CB4351" w:rsidRPr="002C283B" w:rsidRDefault="00CB4351" w:rsidP="002F2691">
            <w:pPr>
              <w:spacing w:after="120"/>
              <w:rPr>
                <w:i/>
              </w:rPr>
            </w:pPr>
          </w:p>
          <w:p w:rsidR="002F2691" w:rsidRPr="002C283B" w:rsidRDefault="002F2691" w:rsidP="002F2691">
            <w:pPr>
              <w:spacing w:after="120"/>
              <w:rPr>
                <w:i/>
                <w:iCs/>
              </w:rPr>
            </w:pPr>
            <w:r w:rsidRPr="002C283B">
              <w:rPr>
                <w:i/>
                <w:iCs/>
              </w:rPr>
              <w:t xml:space="preserve">As part of the response to these </w:t>
            </w:r>
            <w:proofErr w:type="spellStart"/>
            <w:r w:rsidRPr="002C283B">
              <w:rPr>
                <w:i/>
                <w:iCs/>
              </w:rPr>
              <w:t>comments</w:t>
            </w:r>
            <w:proofErr w:type="gramStart"/>
            <w:r w:rsidRPr="002C283B">
              <w:rPr>
                <w:i/>
                <w:iCs/>
              </w:rPr>
              <w:t>,DEQ</w:t>
            </w:r>
            <w:proofErr w:type="spellEnd"/>
            <w:proofErr w:type="gramEnd"/>
            <w:r w:rsidRPr="002C283B">
              <w:rPr>
                <w:i/>
                <w:iCs/>
              </w:rPr>
              <w:t xml:space="preserve"> is providing a general overview of the greenhouse gas permitting rules and how the Supreme Court decision affects DEQ’s permitting program. The purpose of this overview is to help clarify DEQ’s responses to comments.</w:t>
            </w:r>
          </w:p>
          <w:p w:rsidR="00185D71" w:rsidRPr="002C283B" w:rsidRDefault="00185D71" w:rsidP="002F2691">
            <w:pPr>
              <w:spacing w:after="120"/>
              <w:rPr>
                <w:i/>
              </w:rPr>
            </w:pPr>
            <w:r w:rsidRPr="002C283B">
              <w:rPr>
                <w:i/>
              </w:rPr>
              <w:t>In 2011, EQC adopted rules substantively identical to the federal greenhouse gas permitting rules. The 2014 Supreme Court decision invalidate</w:t>
            </w:r>
            <w:r w:rsidR="00580300" w:rsidRPr="002C283B">
              <w:rPr>
                <w:i/>
              </w:rPr>
              <w:t>d</w:t>
            </w:r>
            <w:r w:rsidRPr="002C283B">
              <w:rPr>
                <w:i/>
              </w:rPr>
              <w:t xml:space="preserve">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the agency, regulated community and public so DEQ recommended and the EQC adopted a temporary rule on November 5, 2014 that aligned DEQ’s rules with the Supreme Court decision. </w:t>
            </w:r>
          </w:p>
          <w:p w:rsidR="00185D71" w:rsidRPr="002C283B" w:rsidRDefault="00185D71" w:rsidP="002F2691">
            <w:pPr>
              <w:spacing w:after="120"/>
              <w:rPr>
                <w:i/>
              </w:rPr>
            </w:pPr>
            <w:r w:rsidRPr="002C283B">
              <w:rPr>
                <w:i/>
              </w:rPr>
              <w:t>DEQ requested comments on whether Oregon’s rules should be changed to follow the Supreme Court’s ruling or should retain those elements that the Court struck down. Not surprisingly, comments were received supporting both approaches. To help make a final proposal, DEQ considered the following question:</w:t>
            </w:r>
          </w:p>
          <w:p w:rsidR="00196B94" w:rsidRPr="002C283B" w:rsidRDefault="00196B94" w:rsidP="002F2691">
            <w:pPr>
              <w:spacing w:after="120"/>
              <w:rPr>
                <w:b/>
                <w:i/>
              </w:rPr>
            </w:pPr>
            <w:r w:rsidRPr="002C283B">
              <w:rPr>
                <w:b/>
                <w:i/>
              </w:rPr>
              <w:t>Is there a significant environmental benefit to retaining the provisions that make a source subject to Title V permitting and PSD for greenhouse gases alone?</w:t>
            </w:r>
          </w:p>
          <w:p w:rsidR="00185D71" w:rsidRPr="002C283B" w:rsidRDefault="00185D71" w:rsidP="002F2691">
            <w:pPr>
              <w:spacing w:after="120"/>
              <w:rPr>
                <w:i/>
                <w:u w:val="single"/>
              </w:rPr>
            </w:pPr>
            <w:r w:rsidRPr="002C283B">
              <w:rPr>
                <w:i/>
                <w:u w:val="single"/>
              </w:rPr>
              <w:t>Title V</w:t>
            </w:r>
          </w:p>
          <w:p w:rsidR="00185D71" w:rsidRPr="002C283B" w:rsidRDefault="00185D71" w:rsidP="002F2691">
            <w:pPr>
              <w:spacing w:after="120"/>
              <w:rPr>
                <w:i/>
              </w:rPr>
            </w:pPr>
            <w:r w:rsidRPr="002C283B">
              <w:rPr>
                <w:i/>
              </w:rPr>
              <w:t xml:space="preserve">Title V is a permitting program required by the Clean Air Act Amendments of 1990. </w:t>
            </w:r>
            <w:r w:rsidR="007C0A8B" w:rsidRPr="002C283B">
              <w:rPr>
                <w:i/>
              </w:rPr>
              <w:t>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w:t>
            </w:r>
            <w:r w:rsidRPr="002C283B">
              <w:rPr>
                <w:i/>
              </w:rPr>
              <w:t xml:space="preserve"> However, Title V does not impose new or additional regulations, nor does Title V make any regulations more stringent. In effect, a Title V permit is simply a type of permit.</w:t>
            </w:r>
          </w:p>
          <w:p w:rsidR="00185D71" w:rsidRPr="002C283B" w:rsidRDefault="00185D71" w:rsidP="002F2691">
            <w:pPr>
              <w:spacing w:after="120"/>
              <w:rPr>
                <w:i/>
              </w:rPr>
            </w:pPr>
            <w:r w:rsidRPr="002C283B">
              <w:rPr>
                <w:i/>
              </w:rPr>
              <w:t xml:space="preserve">In Oregon, DEQ’s Air Quality program issues two types of permits: Air Contaminant </w:t>
            </w:r>
            <w:r w:rsidRPr="002C283B">
              <w:rPr>
                <w:i/>
              </w:rPr>
              <w:lastRenderedPageBreak/>
              <w:t>Discharge Permits (ACDPs) and Title V permits. The ACDP program existed before 1990 when the Title V program was created. When the 1990 Clean Air Act Amendments came into being, DEQ elected to create the Oregon Title V permit program while retaining the ACDP program.</w:t>
            </w:r>
            <w:r w:rsidR="00CC2FEB" w:rsidRPr="002C283B">
              <w:rPr>
                <w:i/>
              </w:rPr>
              <w:t xml:space="preserve"> Two of the main </w:t>
            </w:r>
            <w:r w:rsidRPr="002C283B">
              <w:rPr>
                <w:i/>
              </w:rPr>
              <w:t>differences between</w:t>
            </w:r>
            <w:r w:rsidR="00CC2FEB" w:rsidRPr="002C283B">
              <w:rPr>
                <w:i/>
              </w:rPr>
              <w:t xml:space="preserve"> Title V permits and ACDPs have to do with the sources they apply to and citizen lawsuit provisions, as described </w:t>
            </w:r>
            <w:r w:rsidRPr="002C283B">
              <w:rPr>
                <w:i/>
              </w:rPr>
              <w:t>below:</w:t>
            </w:r>
          </w:p>
          <w:tbl>
            <w:tblPr>
              <w:tblStyle w:val="TableGrid"/>
              <w:tblW w:w="8640" w:type="dxa"/>
              <w:tblInd w:w="330" w:type="dxa"/>
              <w:tblLayout w:type="fixed"/>
              <w:tblLook w:val="04A0"/>
            </w:tblPr>
            <w:tblGrid>
              <w:gridCol w:w="4320"/>
              <w:gridCol w:w="4320"/>
            </w:tblGrid>
            <w:tr w:rsidR="00196B94" w:rsidRPr="002C283B" w:rsidTr="009310AA">
              <w:tc>
                <w:tcPr>
                  <w:tcW w:w="4320" w:type="dxa"/>
                </w:tcPr>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Title V</w:t>
                  </w:r>
                </w:p>
              </w:tc>
              <w:tc>
                <w:tcPr>
                  <w:tcW w:w="4320" w:type="dxa"/>
                </w:tcPr>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ACDP</w:t>
                  </w:r>
                </w:p>
              </w:tc>
            </w:tr>
            <w:tr w:rsidR="00196B94" w:rsidRPr="002C283B" w:rsidTr="009310AA">
              <w:tc>
                <w:tcPr>
                  <w:tcW w:w="432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32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196B94" w:rsidRPr="002C283B" w:rsidTr="009310AA">
              <w:tc>
                <w:tcPr>
                  <w:tcW w:w="432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Title V has a citizen lawsuit provision which allows citizens to enforce Title V permits by filing a lawsuit if the permitting agency does not appropriately enforce the permit.</w:t>
                  </w:r>
                </w:p>
              </w:tc>
              <w:tc>
                <w:tcPr>
                  <w:tcW w:w="432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There is no citizen lawsuit provision for ACDPs.</w:t>
                  </w:r>
                </w:p>
              </w:tc>
            </w:tr>
          </w:tbl>
          <w:p w:rsidR="00196B94" w:rsidRPr="002C283B" w:rsidRDefault="00196B94" w:rsidP="002F2691">
            <w:pPr>
              <w:spacing w:after="120"/>
              <w:rPr>
                <w:i/>
              </w:rPr>
            </w:pPr>
          </w:p>
          <w:p w:rsidR="00414EB4" w:rsidRPr="002C283B" w:rsidRDefault="00CC2FEB" w:rsidP="002F2691">
            <w:pPr>
              <w:spacing w:after="120"/>
              <w:rPr>
                <w:i/>
              </w:rPr>
            </w:pPr>
            <w:r w:rsidRPr="002C283B">
              <w:rPr>
                <w:i/>
              </w:rPr>
              <w:t>While there are certainly technical differences between Title V permits and ACDPs</w:t>
            </w:r>
            <w:r w:rsidR="00414EB4" w:rsidRPr="002C283B">
              <w:rPr>
                <w:i/>
              </w:rPr>
              <w:t>, both types of permits perform the same function: they specify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provision that makes sources subject to Title V solely on the basis of their GHG emissions.</w:t>
            </w:r>
          </w:p>
          <w:p w:rsidR="00414EB4" w:rsidRPr="002C283B" w:rsidRDefault="00414EB4" w:rsidP="002F2691">
            <w:pPr>
              <w:spacing w:after="120"/>
              <w:rPr>
                <w:i/>
                <w:u w:val="single"/>
              </w:rPr>
            </w:pPr>
            <w:r w:rsidRPr="002C283B">
              <w:rPr>
                <w:i/>
                <w:u w:val="single"/>
              </w:rPr>
              <w:t>Prevention of Significant Deterioration (PSD)</w:t>
            </w:r>
          </w:p>
          <w:p w:rsidR="00414EB4" w:rsidRPr="002C283B" w:rsidRDefault="00414EB4" w:rsidP="002F2691">
            <w:pPr>
              <w:spacing w:after="120"/>
              <w:rPr>
                <w:i/>
              </w:rPr>
            </w:pPr>
            <w:r w:rsidRPr="002C283B">
              <w:rPr>
                <w:i/>
              </w:rPr>
              <w:t>PSD is a pre-construction permitting program that applies to large sources located in attainment or unclassified areas. Since there is no such thing as a nonattainment area for GHGs because there is no ambient air quality standard, all areas are attainment or unclassified for GHGs.</w:t>
            </w:r>
          </w:p>
          <w:p w:rsidR="00414EB4" w:rsidRPr="002C283B" w:rsidRDefault="00414EB4" w:rsidP="002F2691">
            <w:pPr>
              <w:spacing w:after="120"/>
              <w:rPr>
                <w:i/>
              </w:rPr>
            </w:pPr>
            <w:r w:rsidRPr="002C283B">
              <w:rPr>
                <w:i/>
              </w:rPr>
              <w:t>In general, when a source becomes subject to PSD the source must perform an air quality analysis and a Best Available Control Technology (BACT) analysis. For a source subject to PSD, the air quality and BACT analysis must be performed for each pollutant for which the source makes a major modification (defined in the rules). Thus, while PSD may be triggered for one pollutant because it is over the federal major source threshold, any other pollutants for which major modifications are made are included in the PSD permit evaluation.</w:t>
            </w:r>
          </w:p>
          <w:p w:rsidR="00414EB4" w:rsidRPr="002C283B" w:rsidRDefault="00414EB4" w:rsidP="002F2691">
            <w:pPr>
              <w:spacing w:after="120"/>
              <w:rPr>
                <w:i/>
              </w:rPr>
            </w:pPr>
            <w:r w:rsidRPr="002C283B">
              <w:rPr>
                <w:i/>
              </w:rPr>
              <w:t>In Oregon, a source must be classified as a “federal major source” before it can be subject to PSD. If Oregon follows the Court’s decision, a source could not be classified as a federal major source for GHGs alone. If Oregon does not follow the Court’s decision, a source could be classified as a federal major source for GHGs alone. The threshold to be a federal major source for GHGs is 100,000 tons per year CO2e; for other pollutants the threshold is (in most cases) 250 tons per year.</w:t>
            </w:r>
          </w:p>
          <w:p w:rsidR="00414EB4" w:rsidRPr="002C283B" w:rsidRDefault="00414EB4" w:rsidP="002F2691">
            <w:pPr>
              <w:spacing w:after="120"/>
              <w:rPr>
                <w:i/>
              </w:rPr>
            </w:pPr>
            <w:r w:rsidRPr="002C283B">
              <w:rPr>
                <w:i/>
              </w:rPr>
              <w:t xml:space="preserve">The table below gives three scenarios for a new or modified facility that illustrate the </w:t>
            </w:r>
            <w:r w:rsidRPr="002C283B">
              <w:rPr>
                <w:i/>
              </w:rPr>
              <w:lastRenderedPageBreak/>
              <w:t>differences between following or not following the Court’s ruling. The differences between the scenarios are noted in bold italic print.</w:t>
            </w:r>
          </w:p>
          <w:tbl>
            <w:tblPr>
              <w:tblStyle w:val="TableGrid"/>
              <w:tblW w:w="8640" w:type="dxa"/>
              <w:tblLayout w:type="fixed"/>
              <w:tblLook w:val="04A0"/>
            </w:tblPr>
            <w:tblGrid>
              <w:gridCol w:w="2880"/>
              <w:gridCol w:w="2880"/>
              <w:gridCol w:w="2880"/>
            </w:tblGrid>
            <w:tr w:rsidR="00196B94" w:rsidRPr="002C283B" w:rsidTr="00157D62">
              <w:tc>
                <w:tcPr>
                  <w:tcW w:w="2880" w:type="dxa"/>
                  <w:tcBorders>
                    <w:right w:val="double" w:sz="4" w:space="0" w:color="auto"/>
                  </w:tcBorders>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Scenario A</w:t>
                  </w:r>
                </w:p>
                <w:p w:rsidR="00196B94" w:rsidRPr="002C283B" w:rsidRDefault="00196B94" w:rsidP="002F2691">
                  <w:pPr>
                    <w:jc w:val="center"/>
                    <w:rPr>
                      <w:rFonts w:ascii="Times New Roman" w:eastAsia="Times New Roman" w:hAnsi="Times New Roman" w:cs="Times New Roman"/>
                      <w:b/>
                      <w:i/>
                      <w:sz w:val="24"/>
                      <w:szCs w:val="24"/>
                    </w:rPr>
                  </w:pPr>
                </w:p>
              </w:tc>
              <w:tc>
                <w:tcPr>
                  <w:tcW w:w="2880" w:type="dxa"/>
                  <w:tcBorders>
                    <w:left w:val="double" w:sz="4" w:space="0" w:color="auto"/>
                  </w:tcBorders>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Scenario B</w:t>
                  </w:r>
                </w:p>
              </w:tc>
              <w:tc>
                <w:tcPr>
                  <w:tcW w:w="2880" w:type="dxa"/>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Scenario C</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Oregon </w:t>
                  </w:r>
                  <w:r w:rsidRPr="002C283B">
                    <w:rPr>
                      <w:rFonts w:ascii="Times New Roman" w:eastAsia="Times New Roman" w:hAnsi="Times New Roman" w:cs="Times New Roman"/>
                      <w:b/>
                      <w:i/>
                      <w:sz w:val="24"/>
                      <w:szCs w:val="24"/>
                    </w:rPr>
                    <w:t>does not follow</w:t>
                  </w:r>
                  <w:r w:rsidRPr="002C283B">
                    <w:rPr>
                      <w:rFonts w:ascii="Times New Roman" w:eastAsia="Times New Roman" w:hAnsi="Times New Roman" w:cs="Times New Roman"/>
                      <w:i/>
                      <w:sz w:val="24"/>
                      <w:szCs w:val="24"/>
                    </w:rPr>
                    <w:t xml:space="preserve"> the court’s ruling</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Oregon </w:t>
                  </w:r>
                  <w:r w:rsidRPr="002C283B">
                    <w:rPr>
                      <w:rFonts w:ascii="Times New Roman" w:eastAsia="Times New Roman" w:hAnsi="Times New Roman" w:cs="Times New Roman"/>
                      <w:b/>
                      <w:i/>
                      <w:sz w:val="24"/>
                      <w:szCs w:val="24"/>
                    </w:rPr>
                    <w:t>follows</w:t>
                  </w:r>
                  <w:r w:rsidRPr="002C283B">
                    <w:rPr>
                      <w:rFonts w:ascii="Times New Roman" w:eastAsia="Times New Roman" w:hAnsi="Times New Roman" w:cs="Times New Roman"/>
                      <w:i/>
                      <w:sz w:val="24"/>
                      <w:szCs w:val="24"/>
                    </w:rPr>
                    <w:t xml:space="preserve"> the Court’s ruling</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Oregon </w:t>
                  </w:r>
                  <w:r w:rsidRPr="002C283B">
                    <w:rPr>
                      <w:rFonts w:ascii="Times New Roman" w:eastAsia="Times New Roman" w:hAnsi="Times New Roman" w:cs="Times New Roman"/>
                      <w:b/>
                      <w:i/>
                      <w:sz w:val="24"/>
                      <w:szCs w:val="24"/>
                    </w:rPr>
                    <w:t>follows</w:t>
                  </w:r>
                  <w:r w:rsidRPr="002C283B">
                    <w:rPr>
                      <w:rFonts w:ascii="Times New Roman" w:eastAsia="Times New Roman" w:hAnsi="Times New Roman" w:cs="Times New Roman"/>
                      <w:i/>
                      <w:sz w:val="24"/>
                      <w:szCs w:val="24"/>
                    </w:rPr>
                    <w:t xml:space="preserve"> the Court’s ruling</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has GHG emissions </w:t>
                  </w:r>
                  <w:r w:rsidRPr="002C283B">
                    <w:rPr>
                      <w:rFonts w:ascii="Times New Roman" w:eastAsia="Times New Roman" w:hAnsi="Times New Roman" w:cs="Times New Roman"/>
                      <w:b/>
                      <w:i/>
                      <w:sz w:val="24"/>
                      <w:szCs w:val="24"/>
                    </w:rPr>
                    <w:t>over</w:t>
                  </w:r>
                  <w:r w:rsidRPr="002C283B">
                    <w:rPr>
                      <w:rFonts w:ascii="Times New Roman" w:eastAsia="Times New Roman" w:hAnsi="Times New Roman" w:cs="Times New Roman"/>
                      <w:i/>
                      <w:sz w:val="24"/>
                      <w:szCs w:val="24"/>
                    </w:rPr>
                    <w:t xml:space="preserve"> 100,000 tons per year CO2e</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has GHG emissions </w:t>
                  </w:r>
                  <w:r w:rsidRPr="002C283B">
                    <w:rPr>
                      <w:rFonts w:ascii="Times New Roman" w:eastAsia="Times New Roman" w:hAnsi="Times New Roman" w:cs="Times New Roman"/>
                      <w:b/>
                      <w:i/>
                      <w:sz w:val="24"/>
                      <w:szCs w:val="24"/>
                    </w:rPr>
                    <w:t>over</w:t>
                  </w:r>
                  <w:r w:rsidRPr="002C283B">
                    <w:rPr>
                      <w:rFonts w:ascii="Times New Roman" w:eastAsia="Times New Roman" w:hAnsi="Times New Roman" w:cs="Times New Roman"/>
                      <w:i/>
                      <w:sz w:val="24"/>
                      <w:szCs w:val="24"/>
                    </w:rPr>
                    <w:t xml:space="preserve"> 100,000 tons per year CO2e</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has GHG emissions </w:t>
                  </w:r>
                  <w:r w:rsidRPr="002C283B">
                    <w:rPr>
                      <w:rFonts w:ascii="Times New Roman" w:eastAsia="Times New Roman" w:hAnsi="Times New Roman" w:cs="Times New Roman"/>
                      <w:b/>
                      <w:i/>
                      <w:sz w:val="24"/>
                      <w:szCs w:val="24"/>
                    </w:rPr>
                    <w:t>less than</w:t>
                  </w:r>
                  <w:r w:rsidRPr="002C283B">
                    <w:rPr>
                      <w:rFonts w:ascii="Times New Roman" w:eastAsia="Times New Roman" w:hAnsi="Times New Roman" w:cs="Times New Roman"/>
                      <w:i/>
                      <w:sz w:val="24"/>
                      <w:szCs w:val="24"/>
                    </w:rPr>
                    <w:t xml:space="preserve"> 100,000 tons per year CO2e</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does not have other emissions</w:t>
                  </w:r>
                  <w:r w:rsidRPr="002C283B">
                    <w:rPr>
                      <w:rFonts w:ascii="Times New Roman" w:eastAsia="Times New Roman" w:hAnsi="Times New Roman" w:cs="Times New Roman"/>
                      <w:i/>
                      <w:sz w:val="24"/>
                      <w:szCs w:val="24"/>
                    </w:rPr>
                    <w:t xml:space="preserve"> at or over 250 tons per year</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does not have other emissions</w:t>
                  </w:r>
                  <w:r w:rsidRPr="002C283B">
                    <w:rPr>
                      <w:rFonts w:ascii="Times New Roman" w:eastAsia="Times New Roman" w:hAnsi="Times New Roman" w:cs="Times New Roman"/>
                      <w:i/>
                      <w:sz w:val="24"/>
                      <w:szCs w:val="24"/>
                    </w:rPr>
                    <w:t xml:space="preserve"> at or over 250 tons per year</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has NOx emissions</w:t>
                  </w:r>
                  <w:r w:rsidRPr="002C283B">
                    <w:rPr>
                      <w:rFonts w:ascii="Times New Roman" w:eastAsia="Times New Roman" w:hAnsi="Times New Roman" w:cs="Times New Roman"/>
                      <w:i/>
                      <w:sz w:val="24"/>
                      <w:szCs w:val="24"/>
                    </w:rPr>
                    <w:t xml:space="preserve"> at or over 250 tons per year</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GHGs</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GHGs</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GHGs</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NOx</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NOx</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Source has a major modification for NOx</w:t>
                  </w:r>
                </w:p>
              </w:tc>
            </w:tr>
            <w:tr w:rsidR="00196B94" w:rsidRPr="002C283B" w:rsidTr="00157D62">
              <w:tc>
                <w:tcPr>
                  <w:tcW w:w="2880" w:type="dxa"/>
                  <w:tcBorders>
                    <w:right w:val="double" w:sz="4" w:space="0" w:color="auto"/>
                  </w:tcBorders>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Result of this scenario</w:t>
                  </w:r>
                </w:p>
                <w:p w:rsidR="00196B94" w:rsidRPr="002C283B" w:rsidRDefault="00196B94" w:rsidP="002F2691">
                  <w:pPr>
                    <w:jc w:val="center"/>
                    <w:rPr>
                      <w:rFonts w:ascii="Times New Roman" w:eastAsia="Times New Roman" w:hAnsi="Times New Roman" w:cs="Times New Roman"/>
                      <w:b/>
                      <w:i/>
                      <w:sz w:val="24"/>
                      <w:szCs w:val="24"/>
                    </w:rPr>
                  </w:pPr>
                </w:p>
              </w:tc>
              <w:tc>
                <w:tcPr>
                  <w:tcW w:w="2880" w:type="dxa"/>
                  <w:tcBorders>
                    <w:left w:val="double" w:sz="4" w:space="0" w:color="auto"/>
                  </w:tcBorders>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Result of this scenario</w:t>
                  </w:r>
                </w:p>
              </w:tc>
              <w:tc>
                <w:tcPr>
                  <w:tcW w:w="2880" w:type="dxa"/>
                </w:tcPr>
                <w:p w:rsidR="00196B94" w:rsidRPr="002C283B" w:rsidRDefault="00196B94" w:rsidP="002F2691">
                  <w:pPr>
                    <w:jc w:val="center"/>
                    <w:rPr>
                      <w:rFonts w:ascii="Times New Roman" w:eastAsia="Times New Roman" w:hAnsi="Times New Roman" w:cs="Times New Roman"/>
                      <w:b/>
                      <w:i/>
                      <w:sz w:val="24"/>
                      <w:szCs w:val="24"/>
                    </w:rPr>
                  </w:pPr>
                </w:p>
                <w:p w:rsidR="00196B94" w:rsidRPr="002C283B" w:rsidRDefault="00196B94" w:rsidP="002F2691">
                  <w:pPr>
                    <w:jc w:val="center"/>
                    <w:rPr>
                      <w:rFonts w:ascii="Times New Roman" w:eastAsia="Times New Roman" w:hAnsi="Times New Roman" w:cs="Times New Roman"/>
                      <w:b/>
                      <w:i/>
                      <w:sz w:val="24"/>
                      <w:szCs w:val="24"/>
                    </w:rPr>
                  </w:pPr>
                  <w:r w:rsidRPr="002C283B">
                    <w:rPr>
                      <w:rFonts w:ascii="Times New Roman" w:eastAsia="Times New Roman" w:hAnsi="Times New Roman" w:cs="Times New Roman"/>
                      <w:b/>
                      <w:i/>
                      <w:sz w:val="24"/>
                      <w:szCs w:val="24"/>
                    </w:rPr>
                    <w:t>Result of this scenario</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a federal major source because of GHGs.</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is not</w:t>
                  </w:r>
                  <w:r w:rsidRPr="002C283B">
                    <w:rPr>
                      <w:rFonts w:ascii="Times New Roman" w:eastAsia="Times New Roman" w:hAnsi="Times New Roman" w:cs="Times New Roman"/>
                      <w:i/>
                      <w:sz w:val="24"/>
                      <w:szCs w:val="24"/>
                    </w:rPr>
                    <w:t xml:space="preserve"> a federal major source.</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Source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a federal major source because of NOx.</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PSD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triggered by the major modifications for GHG and NOx.</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PSD </w:t>
                  </w:r>
                  <w:r w:rsidRPr="002C283B">
                    <w:rPr>
                      <w:rFonts w:ascii="Times New Roman" w:eastAsia="Times New Roman" w:hAnsi="Times New Roman" w:cs="Times New Roman"/>
                      <w:b/>
                      <w:i/>
                      <w:sz w:val="24"/>
                      <w:szCs w:val="24"/>
                    </w:rPr>
                    <w:t>is not</w:t>
                  </w:r>
                  <w:r w:rsidRPr="002C283B">
                    <w:rPr>
                      <w:rFonts w:ascii="Times New Roman" w:eastAsia="Times New Roman" w:hAnsi="Times New Roman" w:cs="Times New Roman"/>
                      <w:i/>
                      <w:sz w:val="24"/>
                      <w:szCs w:val="24"/>
                    </w:rPr>
                    <w:t xml:space="preserve"> triggered by the major modifications for GHG and NOx.</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PSD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triggered by the major modifications for GHG and NOx.</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Air quality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NOx.</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Air quality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NOx.</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Air quality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NOx.</w:t>
                  </w:r>
                </w:p>
              </w:tc>
            </w:tr>
            <w:tr w:rsidR="00196B94" w:rsidRPr="002C283B" w:rsidTr="00157D62">
              <w:tc>
                <w:tcPr>
                  <w:tcW w:w="2880" w:type="dxa"/>
                  <w:tcBorders>
                    <w:righ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BACT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GHG and NOx.</w:t>
                  </w:r>
                </w:p>
              </w:tc>
              <w:tc>
                <w:tcPr>
                  <w:tcW w:w="2880" w:type="dxa"/>
                  <w:tcBorders>
                    <w:left w:val="double" w:sz="4" w:space="0" w:color="auto"/>
                  </w:tcBorders>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BACT analysis </w:t>
                  </w:r>
                  <w:r w:rsidRPr="002C283B">
                    <w:rPr>
                      <w:rFonts w:ascii="Times New Roman" w:eastAsia="Times New Roman" w:hAnsi="Times New Roman" w:cs="Times New Roman"/>
                      <w:b/>
                      <w:i/>
                      <w:sz w:val="24"/>
                      <w:szCs w:val="24"/>
                    </w:rPr>
                    <w:t>is not</w:t>
                  </w:r>
                  <w:r w:rsidRPr="002C283B">
                    <w:rPr>
                      <w:rFonts w:ascii="Times New Roman" w:eastAsia="Times New Roman" w:hAnsi="Times New Roman" w:cs="Times New Roman"/>
                      <w:i/>
                      <w:sz w:val="24"/>
                      <w:szCs w:val="24"/>
                    </w:rPr>
                    <w:t xml:space="preserve"> required for GHG and NOx.</w:t>
                  </w:r>
                </w:p>
              </w:tc>
              <w:tc>
                <w:tcPr>
                  <w:tcW w:w="2880" w:type="dxa"/>
                </w:tcPr>
                <w:p w:rsidR="00196B94" w:rsidRPr="002C283B" w:rsidRDefault="00196B94" w:rsidP="002F2691">
                  <w:pPr>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BACT analysis </w:t>
                  </w:r>
                  <w:r w:rsidRPr="002C283B">
                    <w:rPr>
                      <w:rFonts w:ascii="Times New Roman" w:eastAsia="Times New Roman" w:hAnsi="Times New Roman" w:cs="Times New Roman"/>
                      <w:b/>
                      <w:i/>
                      <w:sz w:val="24"/>
                      <w:szCs w:val="24"/>
                    </w:rPr>
                    <w:t>is</w:t>
                  </w:r>
                  <w:r w:rsidRPr="002C283B">
                    <w:rPr>
                      <w:rFonts w:ascii="Times New Roman" w:eastAsia="Times New Roman" w:hAnsi="Times New Roman" w:cs="Times New Roman"/>
                      <w:i/>
                      <w:sz w:val="24"/>
                      <w:szCs w:val="24"/>
                    </w:rPr>
                    <w:t xml:space="preserve"> required for GHG and NOx.</w:t>
                  </w:r>
                </w:p>
              </w:tc>
            </w:tr>
          </w:tbl>
          <w:p w:rsidR="00196B94" w:rsidRPr="002C283B" w:rsidRDefault="00196B94" w:rsidP="002F2691">
            <w:pPr>
              <w:spacing w:after="120"/>
              <w:rPr>
                <w:i/>
              </w:rPr>
            </w:pPr>
          </w:p>
          <w:p w:rsidR="00AF5F29" w:rsidRPr="002C283B" w:rsidRDefault="00AF5F29" w:rsidP="002F2691">
            <w:pPr>
              <w:spacing w:after="120"/>
              <w:rPr>
                <w:i/>
              </w:rPr>
            </w:pPr>
            <w:r w:rsidRPr="002C283B">
              <w:rPr>
                <w:i/>
              </w:rPr>
              <w:t>Other scenarios are possible, but these three illustrate the essential differences between following and not following the Court’s ruling. Note in particular:</w:t>
            </w:r>
          </w:p>
          <w:p w:rsidR="00AF5F29" w:rsidRPr="002C283B" w:rsidRDefault="00AF5F29" w:rsidP="002F2691">
            <w:pPr>
              <w:numPr>
                <w:ilvl w:val="0"/>
                <w:numId w:val="30"/>
              </w:numPr>
              <w:spacing w:after="120"/>
              <w:rPr>
                <w:i/>
              </w:rPr>
            </w:pPr>
            <w:r w:rsidRPr="002C283B">
              <w:rPr>
                <w:i/>
              </w:rPr>
              <w:t>In all three scenarios, an air quality analysis for NOx is required. This analysis ensures that air quality will not exceed the ambient air quality standards or PSD Increments (defined in the rules).</w:t>
            </w:r>
          </w:p>
          <w:p w:rsidR="00AF5F29" w:rsidRPr="002C283B" w:rsidRDefault="00AF5F29" w:rsidP="002F2691">
            <w:pPr>
              <w:numPr>
                <w:ilvl w:val="0"/>
                <w:numId w:val="30"/>
              </w:numPr>
              <w:spacing w:after="120"/>
              <w:rPr>
                <w:i/>
              </w:rPr>
            </w:pPr>
            <w:r w:rsidRPr="002C283B">
              <w:rPr>
                <w:i/>
              </w:rPr>
              <w:t>In all three scenarios, an air quality analysis for GHGs is not required. There are no ambient air quality standards for GHGs to compare the results to.</w:t>
            </w:r>
          </w:p>
          <w:p w:rsidR="00AF5F29" w:rsidRPr="002C283B" w:rsidRDefault="00AF5F29" w:rsidP="002F2691">
            <w:pPr>
              <w:numPr>
                <w:ilvl w:val="0"/>
                <w:numId w:val="30"/>
              </w:numPr>
              <w:spacing w:after="120"/>
              <w:rPr>
                <w:i/>
              </w:rPr>
            </w:pPr>
            <w:r w:rsidRPr="002C283B">
              <w:rPr>
                <w:i/>
              </w:rPr>
              <w:t>Scenario C illustrates the so-called “anyway source”. The source is subject to PSD for a pollutant other than GHGs, but GHGs are also subject to PSD. Sources in this scenario will be subject to PSD whether Oregon does or does not follow the Court’s ruling.</w:t>
            </w:r>
          </w:p>
          <w:p w:rsidR="00AF5F29" w:rsidRPr="002C283B" w:rsidRDefault="00AF5F29" w:rsidP="002F2691">
            <w:pPr>
              <w:spacing w:after="120"/>
              <w:rPr>
                <w:i/>
              </w:rPr>
            </w:pPr>
            <w:r w:rsidRPr="002C283B">
              <w:rPr>
                <w:i/>
              </w:rPr>
              <w:t xml:space="preserve">The real difference above is that sources in Scenario B would not be required to perform a </w:t>
            </w:r>
            <w:r w:rsidRPr="002C283B">
              <w:rPr>
                <w:i/>
              </w:rPr>
              <w:lastRenderedPageBreak/>
              <w:t>BACT analysis for any of the pollutants. The remainder of this discussion will examine what that means.</w:t>
            </w:r>
          </w:p>
          <w:p w:rsidR="00AF5F29" w:rsidRPr="002C283B" w:rsidRDefault="00AF5F29" w:rsidP="002F2691">
            <w:pPr>
              <w:spacing w:after="120"/>
              <w:rPr>
                <w:i/>
                <w:u w:val="single"/>
              </w:rPr>
            </w:pPr>
            <w:r w:rsidRPr="002C283B">
              <w:rPr>
                <w:i/>
                <w:u w:val="single"/>
              </w:rPr>
              <w:t>Quantity of GHGs regulated</w:t>
            </w:r>
          </w:p>
          <w:p w:rsidR="00AF5F29" w:rsidRPr="002C283B" w:rsidRDefault="00AF5F29" w:rsidP="002F2691">
            <w:pPr>
              <w:spacing w:after="120"/>
              <w:rPr>
                <w:i/>
              </w:rPr>
            </w:pPr>
            <w:r w:rsidRPr="002C283B">
              <w:rPr>
                <w:i/>
              </w:rPr>
              <w:t>In June, 2014, the Supreme Court of the United States issued a ruling in the following case:</w:t>
            </w:r>
          </w:p>
          <w:p w:rsidR="00AF5F29" w:rsidRPr="002C283B" w:rsidRDefault="00AF5F29" w:rsidP="002F2691">
            <w:pPr>
              <w:spacing w:after="120"/>
              <w:rPr>
                <w:i/>
              </w:rPr>
            </w:pPr>
            <w:r w:rsidRPr="002C283B">
              <w:rPr>
                <w:i/>
              </w:rPr>
              <w:t xml:space="preserve">UTILITY AIR REGULATORY GROUP v. ENVIRONMENTAL PROTECTION AGENCY ET AL. CERTIORARI TO THE UNITED STATES COURT OF APPEALS FOR THE DISTRICT OF COLUMBIA CIRCUIT </w:t>
            </w:r>
          </w:p>
          <w:p w:rsidR="00AF5F29" w:rsidRPr="002C283B" w:rsidRDefault="00AF5F29" w:rsidP="002F2691">
            <w:pPr>
              <w:spacing w:after="120"/>
              <w:rPr>
                <w:i/>
              </w:rPr>
            </w:pPr>
            <w:r w:rsidRPr="002C283B">
              <w:rPr>
                <w:i/>
              </w:rPr>
              <w:t>No. 12–1146. Argued February 24, 2014—Decided June 23, 2014</w:t>
            </w:r>
          </w:p>
          <w:p w:rsidR="00117D6E" w:rsidRPr="002C283B" w:rsidRDefault="00117D6E" w:rsidP="00117D6E">
            <w:pPr>
              <w:spacing w:after="120"/>
              <w:rPr>
                <w:i/>
              </w:rPr>
            </w:pPr>
            <w:r w:rsidRPr="002C283B">
              <w:rPr>
                <w:i/>
              </w:rPr>
              <w:t xml:space="preserve">In </w:t>
            </w:r>
            <w:r w:rsidRPr="002C283B">
              <w:rPr>
                <w:i/>
              </w:rPr>
              <w:t>this ruling</w:t>
            </w:r>
            <w:r w:rsidRPr="002C283B">
              <w:rPr>
                <w:i/>
              </w:rPr>
              <w:t>, the Supreme Court came to the following conclusions in regard to permitting greenhouse gas emissions:</w:t>
            </w:r>
          </w:p>
          <w:p w:rsidR="00117D6E" w:rsidRPr="002C283B" w:rsidRDefault="00117D6E" w:rsidP="00117D6E">
            <w:pPr>
              <w:numPr>
                <w:ilvl w:val="0"/>
                <w:numId w:val="5"/>
              </w:numPr>
              <w:spacing w:after="120"/>
              <w:rPr>
                <w:i/>
              </w:rPr>
            </w:pPr>
            <w:r w:rsidRPr="002C283B">
              <w:rPr>
                <w:i/>
              </w:rPr>
              <w:t>The Clean Air Act “neither compels nor permits” EPA to require major emitting facilities to obtain Prevention of Significant Deterioration and Title V permits “on the sole basis” of their greenhouse gas emissions.</w:t>
            </w:r>
          </w:p>
          <w:p w:rsidR="00117D6E" w:rsidRPr="002C283B" w:rsidRDefault="00117D6E" w:rsidP="00117D6E">
            <w:pPr>
              <w:numPr>
                <w:ilvl w:val="0"/>
                <w:numId w:val="5"/>
              </w:numPr>
              <w:spacing w:after="120"/>
              <w:rPr>
                <w:i/>
              </w:rPr>
            </w:pPr>
            <w:r w:rsidRPr="002C283B">
              <w:rPr>
                <w:i/>
              </w:rPr>
              <w:t>Thus, EPA need not “tailor” the Act’s major-source thresholds to avoid an administrative debacle that would result from requiring permits of small, non-industrial facilities, millions of which emit enough CO2 to qualify as “major” sources.</w:t>
            </w:r>
          </w:p>
          <w:p w:rsidR="00117D6E" w:rsidRPr="002C283B" w:rsidRDefault="00117D6E" w:rsidP="00117D6E">
            <w:pPr>
              <w:numPr>
                <w:ilvl w:val="0"/>
                <w:numId w:val="5"/>
              </w:numPr>
              <w:spacing w:after="120"/>
              <w:rPr>
                <w:i/>
              </w:rPr>
            </w:pPr>
            <w:r w:rsidRPr="002C283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117D6E" w:rsidRPr="002C283B" w:rsidRDefault="00117D6E" w:rsidP="00117D6E">
            <w:pPr>
              <w:numPr>
                <w:ilvl w:val="0"/>
                <w:numId w:val="5"/>
              </w:numPr>
              <w:spacing w:after="120"/>
              <w:rPr>
                <w:i/>
              </w:rPr>
            </w:pPr>
            <w:r w:rsidRPr="002C283B">
              <w:rPr>
                <w:i/>
              </w:rPr>
              <w:t>EPA “reasonably interpreted” the Act to require large industrial facilities already subject to Prevention of Significant Deterioration for conventional air pollutants to comply with “best available control technology” standards for greenhouse gases.</w:t>
            </w:r>
          </w:p>
          <w:p w:rsidR="00117D6E" w:rsidRPr="002C283B" w:rsidRDefault="00117D6E" w:rsidP="00117D6E">
            <w:pPr>
              <w:numPr>
                <w:ilvl w:val="0"/>
                <w:numId w:val="5"/>
              </w:numPr>
              <w:spacing w:after="120"/>
              <w:rPr>
                <w:i/>
              </w:rPr>
            </w:pPr>
            <w:r w:rsidRPr="002C283B">
              <w:rPr>
                <w:i/>
              </w:rPr>
              <w:t>Although Best Available Control Technology for CO2 could require some energy efficiency improvements, EPA’s Prevention of Significant Deterioration and Title V Permitting Guidance for Greenhouse Gases also contemplates other, “more traditional end-of-stack Best Available Control Technology technologies.”</w:t>
            </w:r>
          </w:p>
          <w:p w:rsidR="00117D6E" w:rsidRPr="002C283B" w:rsidRDefault="00117D6E" w:rsidP="00117D6E">
            <w:pPr>
              <w:numPr>
                <w:ilvl w:val="0"/>
                <w:numId w:val="5"/>
              </w:numPr>
              <w:spacing w:after="120"/>
              <w:rPr>
                <w:i/>
              </w:rPr>
            </w:pPr>
            <w:r w:rsidRPr="002C283B">
              <w:rPr>
                <w:i/>
              </w:rPr>
              <w:t>The Court’s overall conclusion: “EPA’s decision to require Best Available Control Technology for greenhouse gases emitted by sources otherwise subject to Prevention of Significant Deterioration review is, as a general matter, a permissible interpretation of the statute.”</w:t>
            </w:r>
          </w:p>
          <w:p w:rsidR="00AF5F29" w:rsidRPr="002C283B" w:rsidRDefault="00AF5F29" w:rsidP="002F2691">
            <w:pPr>
              <w:spacing w:after="120"/>
              <w:rPr>
                <w:i/>
              </w:rPr>
            </w:pPr>
            <w:r w:rsidRPr="002C283B">
              <w:rPr>
                <w:i/>
              </w:rPr>
              <w:t>On pages 9 and 10, the Court’s document cited above states that EPA provided the following testimony during the trial:</w:t>
            </w:r>
          </w:p>
          <w:p w:rsidR="00196B94" w:rsidRPr="002C283B" w:rsidRDefault="00AF5F29" w:rsidP="002F2691">
            <w:pPr>
              <w:spacing w:after="120"/>
              <w:rPr>
                <w:i/>
              </w:rPr>
            </w:pPr>
            <w:r w:rsidRPr="002C283B">
              <w:rPr>
                <w:i/>
              </w:rPr>
              <w:t xml:space="preserve"> </w:t>
            </w:r>
            <w:r w:rsidR="00196B94" w:rsidRPr="002C283B">
              <w:rPr>
                <w:i/>
              </w:rPr>
              <w:t>“…   “</w:t>
            </w:r>
            <w:proofErr w:type="gramStart"/>
            <w:r w:rsidR="00196B94" w:rsidRPr="002C283B">
              <w:rPr>
                <w:i/>
              </w:rPr>
              <w:t>anyway</w:t>
            </w:r>
            <w:proofErr w:type="gramEnd"/>
            <w:r w:rsidR="00196B94" w:rsidRPr="002C283B">
              <w:rPr>
                <w:i/>
              </w:rPr>
              <w:t>” sources account for roughly 83% of American stationary-source greenhouse-gas emissions, compared to just 3% for the additional, non-“anyway” sources EPA sought to regulate ….”</w:t>
            </w:r>
          </w:p>
          <w:p w:rsidR="00196B94" w:rsidRPr="002C283B" w:rsidRDefault="00196B94" w:rsidP="002F2691">
            <w:pPr>
              <w:spacing w:after="120"/>
              <w:rPr>
                <w:i/>
              </w:rPr>
            </w:pPr>
            <w:r w:rsidRPr="002C283B">
              <w:rPr>
                <w:i/>
              </w:rPr>
              <w:t xml:space="preserve">DEQ interprets EPA’s testimony as follows: 86 percent of the total American stationary-source greenhouse-gas emissions could be subject to PSD if both “anyway” and non-“anyway” sources are regulated; the percentage drops from 86 to 83 percent if non-“anyway” sources are not regulated. DEQ does not believe these percentages can be directly applied to Oregon because the types of emissions sources in Oregon may not reflect national averages, but EPA’s </w:t>
            </w:r>
            <w:r w:rsidRPr="002C283B">
              <w:rPr>
                <w:i/>
              </w:rPr>
              <w:lastRenderedPageBreak/>
              <w:t>estimates serve to indicate that the majority of GHG emissions could still be regulated under PSD regardless of whether Oregon follows the Court’s ruling or not.</w:t>
            </w:r>
          </w:p>
          <w:p w:rsidR="00196B94" w:rsidRPr="002C283B" w:rsidRDefault="00196B94" w:rsidP="002F2691">
            <w:pPr>
              <w:spacing w:after="120"/>
              <w:rPr>
                <w:i/>
              </w:rPr>
            </w:pPr>
            <w:r w:rsidRPr="002C283B">
              <w:rPr>
                <w:i/>
              </w:rPr>
              <w:t>Finally, DEQ wishes to point out that sources become subject to PSD infrequently. The percentages discussed in the preceding paragraph refer to the universe of sources that could, but won’t necessarily, become subject to PSD.</w:t>
            </w:r>
          </w:p>
          <w:p w:rsidR="0026233B" w:rsidRPr="002C283B" w:rsidRDefault="0026233B" w:rsidP="002F2691">
            <w:pPr>
              <w:spacing w:after="120"/>
              <w:rPr>
                <w:i/>
                <w:u w:val="single"/>
              </w:rPr>
            </w:pPr>
            <w:r w:rsidRPr="002C283B">
              <w:rPr>
                <w:i/>
                <w:u w:val="single"/>
              </w:rPr>
              <w:t>GHG BACT determinations</w:t>
            </w:r>
          </w:p>
          <w:p w:rsidR="0026233B" w:rsidRPr="002C283B" w:rsidRDefault="0026233B" w:rsidP="002F2691">
            <w:pPr>
              <w:spacing w:after="120"/>
              <w:rPr>
                <w:i/>
              </w:rPr>
            </w:pPr>
            <w:r w:rsidRPr="002C283B">
              <w:rPr>
                <w:i/>
              </w:rPr>
              <w:t xml:space="preserve">In simple terms, a BACT analysis is an evaluation process that leads to conclusion. The purpose of a BACT analysis is to evaluate emission control options and to determine which, </w:t>
            </w:r>
            <w:r w:rsidRPr="002C283B">
              <w:rPr>
                <w:b/>
                <w:i/>
              </w:rPr>
              <w:t>if any</w:t>
            </w:r>
            <w:r w:rsidRPr="002C283B">
              <w:rPr>
                <w:i/>
              </w:rPr>
              <w:t xml:space="preserve">, must be used. BACT is often referred to as “top-down” BACT, and a BACT analysis consists of the following 5 step process: </w:t>
            </w:r>
          </w:p>
          <w:p w:rsidR="0026233B" w:rsidRPr="002C283B" w:rsidRDefault="0026233B" w:rsidP="002F2691">
            <w:pPr>
              <w:spacing w:after="120"/>
              <w:rPr>
                <w:i/>
              </w:rPr>
            </w:pPr>
            <w:r w:rsidRPr="002C283B">
              <w:rPr>
                <w:i/>
              </w:rPr>
              <w:t>Step 1 – Identify all available control options</w:t>
            </w:r>
          </w:p>
          <w:p w:rsidR="0026233B" w:rsidRPr="002C283B" w:rsidRDefault="0026233B" w:rsidP="002F2691">
            <w:pPr>
              <w:spacing w:after="120"/>
              <w:rPr>
                <w:i/>
              </w:rPr>
            </w:pPr>
            <w:r w:rsidRPr="002C283B">
              <w:rPr>
                <w:i/>
              </w:rPr>
              <w:t>Step 2 – Eliminate technically infeasible options</w:t>
            </w:r>
          </w:p>
          <w:p w:rsidR="0026233B" w:rsidRPr="002C283B" w:rsidRDefault="0026233B" w:rsidP="002F2691">
            <w:pPr>
              <w:spacing w:after="120"/>
              <w:rPr>
                <w:i/>
              </w:rPr>
            </w:pPr>
            <w:r w:rsidRPr="002C283B">
              <w:rPr>
                <w:i/>
              </w:rPr>
              <w:t>Step 3 – Rank of controls</w:t>
            </w:r>
          </w:p>
          <w:p w:rsidR="0026233B" w:rsidRPr="002C283B" w:rsidRDefault="0026233B" w:rsidP="002F2691">
            <w:pPr>
              <w:spacing w:after="120"/>
              <w:rPr>
                <w:i/>
              </w:rPr>
            </w:pPr>
            <w:r w:rsidRPr="002C283B">
              <w:rPr>
                <w:i/>
              </w:rPr>
              <w:t>Step 4 – Evaluate economic, energy, and environmental impacts</w:t>
            </w:r>
          </w:p>
          <w:p w:rsidR="0026233B" w:rsidRPr="002C283B" w:rsidRDefault="0026233B" w:rsidP="002F2691">
            <w:pPr>
              <w:spacing w:after="120"/>
              <w:rPr>
                <w:i/>
              </w:rPr>
            </w:pPr>
            <w:r w:rsidRPr="002C283B">
              <w:rPr>
                <w:i/>
              </w:rPr>
              <w:t>Step 5 – Select BACT</w:t>
            </w:r>
          </w:p>
          <w:p w:rsidR="0026233B" w:rsidRPr="002C283B" w:rsidRDefault="0026233B" w:rsidP="002F2691">
            <w:pPr>
              <w:spacing w:after="120"/>
              <w:rPr>
                <w:i/>
              </w:rPr>
            </w:pPr>
            <w:r w:rsidRPr="002C283B">
              <w:rPr>
                <w:i/>
              </w:rPr>
              <w:t>It is possible for a BACT analysis to determine that an emission control system must be installed. It is also possible for a BACT analysis to determine that no emission controls are feasible; this can occur at Step 2 or Step 4. The individual steps are described in more detail below.</w:t>
            </w:r>
          </w:p>
          <w:p w:rsidR="0026233B" w:rsidRPr="002C283B" w:rsidRDefault="0026233B" w:rsidP="002F2691">
            <w:pPr>
              <w:spacing w:after="120"/>
              <w:rPr>
                <w:i/>
              </w:rPr>
            </w:pPr>
            <w:r w:rsidRPr="002C283B">
              <w:rPr>
                <w:i/>
              </w:rPr>
              <w:t>In Step 1, all available control options must be identified. The term available is important; in general, the control option has to exist and be commercially available.</w:t>
            </w:r>
          </w:p>
          <w:p w:rsidR="0026233B" w:rsidRPr="002C283B" w:rsidRDefault="0026233B" w:rsidP="002F2691">
            <w:pPr>
              <w:spacing w:after="120"/>
              <w:rPr>
                <w:i/>
              </w:rPr>
            </w:pPr>
            <w:r w:rsidRPr="002C283B">
              <w:rPr>
                <w:i/>
              </w:rPr>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26233B" w:rsidRPr="002C283B" w:rsidRDefault="0026233B" w:rsidP="002F2691">
            <w:pPr>
              <w:spacing w:after="120"/>
              <w:rPr>
                <w:i/>
              </w:rPr>
            </w:pPr>
            <w:r w:rsidRPr="002C283B">
              <w:rPr>
                <w:i/>
              </w:rPr>
              <w:t>In Step 3, all control options that are considered technically feasible (if any) are ranked by effectiveness, with the most effective ranked first, the next most effective ranked second, and so on to the least effective.</w:t>
            </w:r>
          </w:p>
          <w:p w:rsidR="0026233B" w:rsidRPr="002C283B" w:rsidRDefault="0026233B" w:rsidP="002F2691">
            <w:pPr>
              <w:spacing w:after="120"/>
              <w:rPr>
                <w:i/>
              </w:rPr>
            </w:pPr>
            <w:r w:rsidRPr="002C283B">
              <w:rPr>
                <w:i/>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26233B" w:rsidRPr="002C283B" w:rsidRDefault="0026233B" w:rsidP="002F2691">
            <w:pPr>
              <w:spacing w:after="120"/>
              <w:rPr>
                <w:i/>
              </w:rPr>
            </w:pPr>
            <w:r w:rsidRPr="002C283B">
              <w:rPr>
                <w:i/>
              </w:rPr>
              <w:t>In Step 5, BACT is determined to be the highest-ranking option reviewed in Step 4 that is not rejected because of economic, energy and environmental impacts. If all options are rejected, the BACT determination is no control.</w:t>
            </w:r>
          </w:p>
          <w:p w:rsidR="002259D9" w:rsidRPr="002C283B" w:rsidRDefault="002259D9" w:rsidP="002F2691">
            <w:pPr>
              <w:spacing w:after="120"/>
              <w:rPr>
                <w:i/>
              </w:rPr>
            </w:pPr>
            <w:r w:rsidRPr="002C283B">
              <w:rPr>
                <w:i/>
              </w:rPr>
              <w:t>The following</w:t>
            </w:r>
            <w:r w:rsidR="00751084" w:rsidRPr="002C283B">
              <w:rPr>
                <w:i/>
              </w:rPr>
              <w:t xml:space="preserve"> review</w:t>
            </w:r>
            <w:r w:rsidRPr="002C283B">
              <w:rPr>
                <w:i/>
              </w:rPr>
              <w:t xml:space="preserve"> is not a BACT analysis, but is </w:t>
            </w:r>
            <w:r w:rsidR="00751084" w:rsidRPr="002C283B">
              <w:rPr>
                <w:i/>
              </w:rPr>
              <w:t>informed by DEQ’s</w:t>
            </w:r>
            <w:r w:rsidRPr="002C283B">
              <w:rPr>
                <w:i/>
              </w:rPr>
              <w:t xml:space="preserve"> knowledge of the BACT process and the GHG emission control </w:t>
            </w:r>
            <w:r w:rsidR="00751084" w:rsidRPr="002C283B">
              <w:rPr>
                <w:i/>
              </w:rPr>
              <w:t>options that are currently available</w:t>
            </w:r>
            <w:r w:rsidRPr="002C283B">
              <w:rPr>
                <w:i/>
              </w:rPr>
              <w:t xml:space="preserve">. GHG emissions </w:t>
            </w:r>
            <w:r w:rsidRPr="002C283B">
              <w:rPr>
                <w:i/>
              </w:rPr>
              <w:lastRenderedPageBreak/>
              <w:t>can broadly be divided into two categories: combustion emissions and high global warming potential (GWP) gases.</w:t>
            </w:r>
          </w:p>
          <w:p w:rsidR="002259D9" w:rsidRPr="002C283B" w:rsidRDefault="002259D9" w:rsidP="002F2691">
            <w:pPr>
              <w:spacing w:after="120"/>
              <w:rPr>
                <w:i/>
              </w:rPr>
            </w:pPr>
            <w:r w:rsidRPr="002C283B">
              <w:rPr>
                <w:i/>
              </w:rPr>
              <w:t xml:space="preserve">Combustion </w:t>
            </w:r>
            <w:proofErr w:type="gramStart"/>
            <w:r w:rsidRPr="002C283B">
              <w:rPr>
                <w:i/>
              </w:rPr>
              <w:t>emissions refers</w:t>
            </w:r>
            <w:proofErr w:type="gramEnd"/>
            <w:r w:rsidRPr="002C283B">
              <w:rPr>
                <w:i/>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2259D9" w:rsidRPr="002C283B" w:rsidRDefault="002259D9" w:rsidP="002F2691">
            <w:pPr>
              <w:spacing w:after="120"/>
              <w:rPr>
                <w:i/>
              </w:rPr>
            </w:pPr>
            <w:r w:rsidRPr="002C283B">
              <w:rPr>
                <w:i/>
              </w:rPr>
              <w:t>High GWP gases are typically fluorine-containing gases, such as hydrofluorocarbons, perfluorocarbons and sulfur hexafluoride that have a global warming effect that is hundreds or thousands of times more potent than carbon dioxide. The global warming potential (GWP) of a gas is a measure of how potent it is compared to carbon dioxide. The GWP of sulfur hexafluoride, for example, is 23,900; this means that one ton of sulfur hexafluoride has the same effect as 23,900 tons of carbon dioxide. High GWP gases are used as process gases in only a few industries, including the semiconductor manufacturing industry.</w:t>
            </w:r>
          </w:p>
          <w:p w:rsidR="002259D9" w:rsidRPr="002C283B" w:rsidRDefault="002259D9" w:rsidP="002F2691">
            <w:pPr>
              <w:spacing w:after="120"/>
              <w:rPr>
                <w:i/>
              </w:rPr>
            </w:pPr>
            <w:r w:rsidRPr="002C283B">
              <w:rPr>
                <w:i/>
              </w:rPr>
              <w:t>According to an EPA website (http://epa.gov/climatechange/ghgemissions/gases/fgases.html) perfluorocarbons (PFCs) are compounds produced as a by-product of various industrial processes associated with aluminum production and the manufacturing of semiconductors. PFCs generally have long atmospheric lifetimes and high GWPs. Sulfur hexafluoride is used in magnesium processing and semiconductor manufacturing, as well as a tracer gas for leak detection. HFC-23 is produced as a by-product of HCFC-22 production. Of particular interest for this discussion is the use and emission of PFCs and sulfur hexafluoride by the semiconductor industry.</w:t>
            </w:r>
          </w:p>
          <w:p w:rsidR="001638AE" w:rsidRPr="002C283B" w:rsidRDefault="001638AE" w:rsidP="002F2691">
            <w:pPr>
              <w:spacing w:after="120"/>
              <w:rPr>
                <w:i/>
                <w:u w:val="single"/>
              </w:rPr>
            </w:pPr>
            <w:r w:rsidRPr="002C283B">
              <w:rPr>
                <w:i/>
                <w:u w:val="single"/>
              </w:rPr>
              <w:t>Combustion GHGs:</w:t>
            </w:r>
          </w:p>
          <w:p w:rsidR="001638AE" w:rsidRPr="002C283B" w:rsidRDefault="001638AE" w:rsidP="002F2691">
            <w:pPr>
              <w:spacing w:after="120"/>
              <w:rPr>
                <w:i/>
              </w:rPr>
            </w:pPr>
            <w:r w:rsidRPr="002C283B">
              <w:rPr>
                <w:i/>
              </w:rPr>
              <w:t>With respect to combustion emissions, GHG emission control options are very limited. There are no emission control devices for GHGs. One option that has been considered is underground sequestration of carbon dioxide. This involves injecting the carbon dioxide deep into the ground; however, this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Underground sequestration is illegal in Oregon because injecting wastes underground is prohibited by the underground injection control rules (OAR Chapter 340 Division 44), administered by DEQ’s water quality permitting program.</w:t>
            </w:r>
          </w:p>
          <w:p w:rsidR="001638AE" w:rsidRPr="002C283B" w:rsidRDefault="001638AE" w:rsidP="002F2691">
            <w:pPr>
              <w:spacing w:after="120"/>
              <w:rPr>
                <w:i/>
              </w:rPr>
            </w:pPr>
            <w:r w:rsidRPr="002C283B">
              <w:rPr>
                <w:i/>
              </w:rPr>
              <w:t>The most viable option for reducing GHG emissions is to simply produce less GHG by burning less fuel; this translates to using energy-efficient equipment so that less fuel can be burned for the desired output. Energy efficiency is generally regarded as BACT for combustion GHGs. However, there are other factors, such as economics, that</w:t>
            </w:r>
            <w:r w:rsidR="00B27A0C" w:rsidRPr="002C283B">
              <w:rPr>
                <w:i/>
              </w:rPr>
              <w:t xml:space="preserve"> also</w:t>
            </w:r>
            <w:r w:rsidRPr="002C283B">
              <w:rPr>
                <w:i/>
              </w:rPr>
              <w:t xml:space="preserve"> point to using energy-efficient equipment. For many industries, energy represents a </w:t>
            </w:r>
            <w:r w:rsidR="00050480" w:rsidRPr="002C283B">
              <w:rPr>
                <w:i/>
              </w:rPr>
              <w:t>major on-going operating cost</w:t>
            </w:r>
            <w:r w:rsidRPr="002C283B">
              <w:rPr>
                <w:i/>
              </w:rPr>
              <w:t xml:space="preserve"> </w:t>
            </w:r>
            <w:r w:rsidR="00050480" w:rsidRPr="002C283B">
              <w:rPr>
                <w:i/>
              </w:rPr>
              <w:t>and a</w:t>
            </w:r>
            <w:r w:rsidRPr="002C283B">
              <w:rPr>
                <w:i/>
              </w:rPr>
              <w:t>ny new non-“anyway” sources that would not be subject to PSD if Oregon follows the Court’s ruling would likely install energy-efficient equipment anyway.</w:t>
            </w:r>
          </w:p>
          <w:p w:rsidR="001638AE" w:rsidRPr="002C283B" w:rsidRDefault="001638AE" w:rsidP="002F2691">
            <w:pPr>
              <w:spacing w:after="120"/>
              <w:rPr>
                <w:i/>
              </w:rPr>
            </w:pPr>
            <w:r w:rsidRPr="002C283B">
              <w:rPr>
                <w:i/>
              </w:rPr>
              <w:t>In summary, there are limited BACT options to reduce combustion GHG emissions, and there are business factors that will tend to achieve the same end.</w:t>
            </w:r>
          </w:p>
          <w:p w:rsidR="00E1044E" w:rsidRPr="002C283B" w:rsidRDefault="00E1044E" w:rsidP="002F2691">
            <w:pPr>
              <w:spacing w:after="120"/>
              <w:rPr>
                <w:i/>
                <w:u w:val="single"/>
              </w:rPr>
            </w:pPr>
            <w:r w:rsidRPr="002C283B">
              <w:rPr>
                <w:i/>
                <w:u w:val="single"/>
              </w:rPr>
              <w:t>Non-combustion GHGs:</w:t>
            </w:r>
          </w:p>
          <w:p w:rsidR="008C37C2" w:rsidRPr="002C283B" w:rsidRDefault="00E1044E" w:rsidP="002F2691">
            <w:pPr>
              <w:spacing w:after="120"/>
              <w:rPr>
                <w:i/>
              </w:rPr>
            </w:pPr>
            <w:r w:rsidRPr="002C283B">
              <w:rPr>
                <w:i/>
              </w:rPr>
              <w:t xml:space="preserve">With respect to high GWP gases, the industry of greatest interest in Oregon is the </w:t>
            </w:r>
            <w:r w:rsidRPr="002C283B">
              <w:rPr>
                <w:i/>
              </w:rPr>
              <w:lastRenderedPageBreak/>
              <w:t xml:space="preserve">semiconductor industry. </w:t>
            </w:r>
            <w:r w:rsidR="008C37C2" w:rsidRPr="002C283B">
              <w:rPr>
                <w:i/>
              </w:rPr>
              <w:t xml:space="preserve">EPA has worked with the U.S. Semiconductor Industry Association in their voluntary efforts to reduce high global warming potential greenhouse gas emissions by following a pollution prevention strategy. As far back as 1996, Intel and the U.S. Semiconductor Industry </w:t>
            </w:r>
            <w:proofErr w:type="gramStart"/>
            <w:r w:rsidR="008C37C2" w:rsidRPr="002C283B">
              <w:rPr>
                <w:i/>
              </w:rPr>
              <w:t>Association  formalized</w:t>
            </w:r>
            <w:proofErr w:type="gramEnd"/>
            <w:r w:rsidR="008C37C2" w:rsidRPr="002C283B">
              <w:rPr>
                <w:i/>
              </w:rPr>
              <w:t xml:space="preserve"> an early voluntary commitment for PFC reduction in a memorandum of understanding  with EPA. Intel met the goal to reduce company-wide absolute PFC emissions 10% below 1995 levels by the year 2010 in spite of the fact that manufacturing volumes have increased roughly fourfold since 1995.</w:t>
            </w:r>
          </w:p>
          <w:p w:rsidR="00E1044E" w:rsidRPr="002C283B" w:rsidRDefault="00E1044E" w:rsidP="002F2691">
            <w:pPr>
              <w:spacing w:after="120"/>
              <w:rPr>
                <w:i/>
              </w:rPr>
            </w:pPr>
            <w:r w:rsidRPr="002C283B">
              <w:rPr>
                <w:i/>
              </w:rPr>
              <w:t xml:space="preserve">Reductions were accomplished in part by process changes, partly by using different gases, and partly by the use of GHG emission control devices, known as point of use devices, or POUs. Thus, for this industry, there is an actual emission control option that could be considered in a BACT analysis. However, as far as DEQ knows, POUs are the only option, so a BACT analysis would be limited to considering that single option. Clearly, POUs are available and in use so they cannot be rejected on the grounds of being technically infeasible. Although DEQ has not done a cost analysis, it appears that POUs </w:t>
            </w:r>
            <w:proofErr w:type="gramStart"/>
            <w:r w:rsidRPr="002C283B">
              <w:rPr>
                <w:i/>
              </w:rPr>
              <w:t>are cost</w:t>
            </w:r>
            <w:proofErr w:type="gramEnd"/>
            <w:r w:rsidRPr="002C283B">
              <w:rPr>
                <w:i/>
              </w:rPr>
              <w:t>-effective; nor do their energy and environmental impacts appear to be excessive. If a BACT analysis were done, the likelihood is that the use of POUs would be considered BACT, but since POUs are already in use, the actual conclusion would be “continue doing what you’re already doing; that is, continue using POUs”.</w:t>
            </w:r>
          </w:p>
          <w:p w:rsidR="00E1044E" w:rsidRPr="002C283B" w:rsidRDefault="00E1044E" w:rsidP="002F2691">
            <w:pPr>
              <w:spacing w:after="120"/>
              <w:rPr>
                <w:i/>
              </w:rPr>
            </w:pPr>
            <w:r w:rsidRPr="002C283B">
              <w:rPr>
                <w:i/>
              </w:rPr>
              <w:t xml:space="preserve">In summary, for the semiconductor industry, a </w:t>
            </w:r>
            <w:r w:rsidR="00512570" w:rsidRPr="002C283B">
              <w:rPr>
                <w:i/>
              </w:rPr>
              <w:t xml:space="preserve">GHG </w:t>
            </w:r>
            <w:r w:rsidRPr="002C283B">
              <w:rPr>
                <w:i/>
              </w:rPr>
              <w:t xml:space="preserve">BACT analysis would likely result in no change from current </w:t>
            </w:r>
            <w:r w:rsidR="00512570" w:rsidRPr="002C283B">
              <w:rPr>
                <w:i/>
              </w:rPr>
              <w:t xml:space="preserve">GHG emission control </w:t>
            </w:r>
            <w:r w:rsidRPr="002C283B">
              <w:rPr>
                <w:i/>
              </w:rPr>
              <w:t>practices.</w:t>
            </w:r>
          </w:p>
          <w:p w:rsidR="00386BFA" w:rsidRPr="002C283B" w:rsidRDefault="00386BFA" w:rsidP="002F2691">
            <w:pPr>
              <w:spacing w:after="120"/>
              <w:rPr>
                <w:i/>
                <w:u w:val="single"/>
              </w:rPr>
            </w:pPr>
            <w:r w:rsidRPr="002C283B">
              <w:rPr>
                <w:i/>
                <w:u w:val="single"/>
              </w:rPr>
              <w:t>Non-GHG BACT determinations</w:t>
            </w:r>
          </w:p>
          <w:p w:rsidR="00386BFA" w:rsidRPr="002C283B" w:rsidRDefault="00386BFA" w:rsidP="002F2691">
            <w:pPr>
              <w:spacing w:after="120"/>
              <w:rPr>
                <w:i/>
              </w:rPr>
            </w:pPr>
            <w:r w:rsidRPr="002C283B">
              <w:rPr>
                <w:i/>
              </w:rPr>
              <w:t>When PSD is triggered, all pollutants for which a major modification has been made become subject to PSD. That is why air quality and BACT analyses are required for NOx as well as GHGs in Scenarios A and C. In Scenario B, which represents the case of non-“anyway” sources if Oregon follows the Court’s ruling, BACT determinations would not be required for any pollutants. As discussed above, DEQ believes there is likely little to be gained from GHG BACT determinations. However, emission control devices or methods do exist for other pollutants and are in common use, so BACT determinations for non-GHG pollutants could result in lower emissions of those pollutants. Thus, the environmental benefit of not following the Court’s ruling pertains mostly to pollutants other than GHGs.</w:t>
            </w:r>
          </w:p>
          <w:p w:rsidR="00386BFA" w:rsidRPr="002C283B" w:rsidRDefault="00386BFA" w:rsidP="002F2691">
            <w:pPr>
              <w:spacing w:after="120"/>
              <w:rPr>
                <w:i/>
              </w:rPr>
            </w:pPr>
            <w:r w:rsidRPr="002C283B">
              <w:rPr>
                <w:i/>
              </w:rPr>
              <w:t xml:space="preserve"> The question here is whether or not the potential additional BACT analyses for non-GHG pollutants would have a significant environmental benefit. First, DEQ believes that the majority of sources that could be subject to PSD will be “anyway” sources, and therefore would be subject to PSD regardless of whether or not Oregon follows the Court’s ruling. This is borne out by a review of PSD permit applications received since GHGs became regulated on May 1, 2011. Since </w:t>
            </w:r>
            <w:r w:rsidR="00663DED" w:rsidRPr="002C283B">
              <w:rPr>
                <w:i/>
              </w:rPr>
              <w:t>then,</w:t>
            </w:r>
            <w:r w:rsidRPr="002C283B">
              <w:rPr>
                <w:i/>
              </w:rPr>
              <w:t xml:space="preserve"> </w:t>
            </w:r>
            <w:r w:rsidR="00663DED" w:rsidRPr="002C283B">
              <w:rPr>
                <w:i/>
              </w:rPr>
              <w:t>six</w:t>
            </w:r>
            <w:r w:rsidRPr="002C283B">
              <w:rPr>
                <w:i/>
              </w:rPr>
              <w:t xml:space="preserve"> sour</w:t>
            </w:r>
            <w:r w:rsidR="00663DED" w:rsidRPr="002C283B">
              <w:rPr>
                <w:i/>
              </w:rPr>
              <w:t>ces have triggered PSD for GHGs; of these,</w:t>
            </w:r>
            <w:r w:rsidRPr="002C283B">
              <w:rPr>
                <w:i/>
              </w:rPr>
              <w:t xml:space="preserve"> </w:t>
            </w:r>
            <w:r w:rsidR="00663DED" w:rsidRPr="002C283B">
              <w:rPr>
                <w:i/>
              </w:rPr>
              <w:t>four</w:t>
            </w:r>
            <w:r w:rsidRPr="002C283B">
              <w:rPr>
                <w:i/>
              </w:rPr>
              <w:t xml:space="preserve"> were </w:t>
            </w:r>
            <w:r w:rsidR="00663DED" w:rsidRPr="002C283B">
              <w:rPr>
                <w:i/>
              </w:rPr>
              <w:t>“</w:t>
            </w:r>
            <w:r w:rsidRPr="002C283B">
              <w:rPr>
                <w:i/>
              </w:rPr>
              <w:t>anyway</w:t>
            </w:r>
            <w:r w:rsidR="00663DED" w:rsidRPr="002C283B">
              <w:rPr>
                <w:i/>
              </w:rPr>
              <w:t>”</w:t>
            </w:r>
            <w:r w:rsidRPr="002C283B">
              <w:rPr>
                <w:i/>
              </w:rPr>
              <w:t xml:space="preserve"> source</w:t>
            </w:r>
            <w:r w:rsidR="00663DED" w:rsidRPr="002C283B">
              <w:rPr>
                <w:i/>
              </w:rPr>
              <w:t>s and two were non-“anyway” sources.</w:t>
            </w:r>
          </w:p>
          <w:p w:rsidR="00386BFA" w:rsidRPr="002C283B" w:rsidRDefault="00386BFA" w:rsidP="002F2691">
            <w:pPr>
              <w:spacing w:after="120"/>
              <w:rPr>
                <w:i/>
              </w:rPr>
            </w:pPr>
            <w:r w:rsidRPr="002C283B">
              <w:rPr>
                <w:i/>
              </w:rPr>
              <w:t>Second, an air quality analysis</w:t>
            </w:r>
            <w:r w:rsidRPr="002C283B">
              <w:rPr>
                <w:rStyle w:val="FootnoteReference"/>
                <w:i/>
              </w:rPr>
              <w:footnoteReference w:id="1"/>
            </w:r>
            <w:r w:rsidRPr="002C283B">
              <w:rPr>
                <w:i/>
              </w:rPr>
              <w:t xml:space="preserve"> is required for all emission increases of a Significant Emission Rate</w:t>
            </w:r>
            <w:r w:rsidRPr="002C283B">
              <w:rPr>
                <w:rStyle w:val="FootnoteReference"/>
                <w:i/>
              </w:rPr>
              <w:footnoteReference w:id="2"/>
            </w:r>
            <w:r w:rsidRPr="002C283B">
              <w:rPr>
                <w:i/>
              </w:rPr>
              <w:t xml:space="preserve"> (SER) or more. A major modification also involves an emission increase a SER or more and an air quality analysis is required for each pollutant undergoing a major modification. However, it is not necessary that there be a major modification to trigger the air quality </w:t>
            </w:r>
            <w:r w:rsidRPr="002C283B">
              <w:rPr>
                <w:i/>
              </w:rPr>
              <w:lastRenderedPageBreak/>
              <w:t>analysis; an emission increase of the SER or more triggers an air quality analysis by itself. Regardless of whether or not Oregon follows the Court’s ruling, the requirement for an air quality analysis will be triggered for sources that increase emissions by an SER or more. The air quality analysis serves to ensure that impacts from the emissions will not cause a significant adverse impact on air quality. Further, although there would not be a direct requirement to install emission control equipment, the air quality analysis can indirectly have that result. If a source’s impacts are over the allowed levels, then the source could install emission control equipment to reduce the air quality impact.</w:t>
            </w:r>
          </w:p>
          <w:p w:rsidR="00386BFA" w:rsidRPr="002C283B" w:rsidRDefault="00386BFA" w:rsidP="002F2691">
            <w:pPr>
              <w:spacing w:after="120"/>
              <w:rPr>
                <w:i/>
              </w:rPr>
            </w:pPr>
            <w:r w:rsidRPr="002C283B">
              <w:rPr>
                <w:i/>
              </w:rPr>
              <w:t>Finally, DEQ notes that the purpose of the GHG rules is to regulate GHGs, not other pollutants. While there could be environmental benefits from requiring BACT analyses for non-GHG pollutants at non-“anyway” sources, there is no demonstrated need to require those additional BACT analyses.</w:t>
            </w:r>
          </w:p>
          <w:p w:rsidR="00386BFA" w:rsidRPr="002C283B" w:rsidRDefault="00386BFA" w:rsidP="002F2691">
            <w:pPr>
              <w:spacing w:after="120"/>
              <w:rPr>
                <w:i/>
              </w:rPr>
            </w:pPr>
            <w:r w:rsidRPr="002C283B">
              <w:rPr>
                <w:i/>
              </w:rPr>
              <w:t>In summary, and with respect to non-GHG pollutants that could be subject to PSD at non-“anyway sources, DEQ believes that the majority of sources that could be subject to PSD will be the “anyway” sources, which will be regulated regardless of whether or not Oregon follows the Court’s ruling. In addition, the requirement to perform an air quality analysis will apply in both cases, and serves to demonstrate that air quality will not be significantly adversely affected. Finally, there is no demonstrated need to perform the additional BACT analyses that could be required.</w:t>
            </w:r>
          </w:p>
          <w:p w:rsidR="0037314E" w:rsidRPr="002C283B" w:rsidRDefault="0037314E" w:rsidP="0037314E">
            <w:pPr>
              <w:spacing w:after="120"/>
              <w:rPr>
                <w:i/>
              </w:rPr>
            </w:pPr>
            <w:r w:rsidRPr="002C283B">
              <w:rPr>
                <w:i/>
              </w:rPr>
              <w:t>The following six Oregon facilities are the only currently known ones that have GHG emissions that exceed the Title V and PSD threshold of 100,000 tons per year. None of these facilities emit other regulated pollutants at levels that require a PSD permit; Intel and Oregon LNG emit or will emit other pollutants at levels that require a Title V permit. All these facilities are currently regulated under Air Contaminant Discharge Permits except for Owens Corning whose Title V permit was recently issued:</w:t>
            </w:r>
          </w:p>
          <w:tbl>
            <w:tblPr>
              <w:tblStyle w:val="TableGrid"/>
              <w:tblW w:w="0" w:type="auto"/>
              <w:jc w:val="center"/>
              <w:tblLayout w:type="fixed"/>
              <w:tblLook w:val="04A0"/>
            </w:tblPr>
            <w:tblGrid>
              <w:gridCol w:w="1804"/>
              <w:gridCol w:w="2066"/>
              <w:gridCol w:w="4594"/>
            </w:tblGrid>
            <w:tr w:rsidR="0037314E" w:rsidRPr="002C283B" w:rsidTr="00CE2BB5">
              <w:trPr>
                <w:tblHeade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Industry</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Facility</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Application Status</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Semiconductor manufacturer</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Intel</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Hillsboro and Aloha</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Submitted Title V </w:t>
                  </w:r>
                  <w:proofErr w:type="gramStart"/>
                  <w:r w:rsidRPr="002C283B">
                    <w:rPr>
                      <w:rFonts w:ascii="Times New Roman" w:eastAsia="Times New Roman" w:hAnsi="Times New Roman" w:cs="Times New Roman"/>
                      <w:i/>
                      <w:sz w:val="24"/>
                      <w:szCs w:val="24"/>
                    </w:rPr>
                    <w:t>permit</w:t>
                  </w:r>
                  <w:proofErr w:type="gramEnd"/>
                  <w:r w:rsidRPr="002C283B">
                    <w:rPr>
                      <w:rFonts w:ascii="Times New Roman" w:eastAsia="Times New Roman" w:hAnsi="Times New Roman" w:cs="Times New Roman"/>
                      <w:i/>
                      <w:sz w:val="24"/>
                      <w:szCs w:val="24"/>
                    </w:rPr>
                    <w:t xml:space="preserve"> application, on hold pending issuance of NSR permit.</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Submitted NSR permit application. Prevention of Significant Deterioration application not required under temporary rule and proposed permanent rule.</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Semiconductor manufacturer</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On Semiconductor</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Gresham</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proofErr w:type="gramStart"/>
                  <w:r w:rsidRPr="002C283B">
                    <w:rPr>
                      <w:rFonts w:ascii="Times New Roman" w:eastAsia="Times New Roman" w:hAnsi="Times New Roman" w:cs="Times New Roman"/>
                      <w:i/>
                      <w:sz w:val="24"/>
                      <w:szCs w:val="24"/>
                    </w:rPr>
                    <w:t>Title V permit</w:t>
                  </w:r>
                  <w:proofErr w:type="gramEnd"/>
                  <w:r w:rsidRPr="002C283B">
                    <w:rPr>
                      <w:rFonts w:ascii="Times New Roman" w:eastAsia="Times New Roman" w:hAnsi="Times New Roman" w:cs="Times New Roman"/>
                      <w:i/>
                      <w:sz w:val="24"/>
                      <w:szCs w:val="24"/>
                    </w:rPr>
                    <w:t xml:space="preserve"> application for greenhouse gases not required under temporary rule and proposed permanent rule.</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Fertilizer and nitric acid manufacturing</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proofErr w:type="spellStart"/>
                  <w:r w:rsidRPr="002C283B">
                    <w:rPr>
                      <w:rFonts w:ascii="Times New Roman" w:eastAsia="Times New Roman" w:hAnsi="Times New Roman" w:cs="Times New Roman"/>
                      <w:i/>
                      <w:sz w:val="24"/>
                      <w:szCs w:val="24"/>
                    </w:rPr>
                    <w:t>Dyno</w:t>
                  </w:r>
                  <w:proofErr w:type="spellEnd"/>
                  <w:r w:rsidRPr="002C283B">
                    <w:rPr>
                      <w:rFonts w:ascii="Times New Roman" w:eastAsia="Times New Roman" w:hAnsi="Times New Roman" w:cs="Times New Roman"/>
                      <w:i/>
                      <w:sz w:val="24"/>
                      <w:szCs w:val="24"/>
                    </w:rPr>
                    <w:t xml:space="preserve"> Nobel</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St. Helens</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Submitted Title V permit application, not required under temporary rule and proposed permanent rule, on hold pending permanent rule adoption</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Liquefied natural gas exporting</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Oregon LNG</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Warrenton</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 xml:space="preserve">Submitted Prevention of Significant Deterioration permit application for greenhouse gases alone, not required under temporary rule and proposed permanent </w:t>
                  </w:r>
                  <w:r w:rsidRPr="002C283B">
                    <w:rPr>
                      <w:rFonts w:ascii="Times New Roman" w:eastAsia="Times New Roman" w:hAnsi="Times New Roman" w:cs="Times New Roman"/>
                      <w:i/>
                      <w:sz w:val="24"/>
                      <w:szCs w:val="24"/>
                    </w:rPr>
                    <w:lastRenderedPageBreak/>
                    <w:t xml:space="preserve">rule, on hold pending permanent rule adoption. Title V </w:t>
                  </w:r>
                  <w:proofErr w:type="spellStart"/>
                  <w:r w:rsidRPr="002C283B">
                    <w:rPr>
                      <w:rFonts w:ascii="Times New Roman" w:eastAsia="Times New Roman" w:hAnsi="Times New Roman" w:cs="Times New Roman"/>
                      <w:i/>
                      <w:sz w:val="24"/>
                      <w:szCs w:val="24"/>
                    </w:rPr>
                    <w:t>applicaton</w:t>
                  </w:r>
                  <w:proofErr w:type="spellEnd"/>
                  <w:r w:rsidRPr="002C283B">
                    <w:rPr>
                      <w:rFonts w:ascii="Times New Roman" w:eastAsia="Times New Roman" w:hAnsi="Times New Roman" w:cs="Times New Roman"/>
                      <w:i/>
                      <w:sz w:val="24"/>
                      <w:szCs w:val="24"/>
                    </w:rPr>
                    <w:t xml:space="preserve"> required one year after startup.</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lastRenderedPageBreak/>
                    <w:t>Ethanol production</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Cascade Kelly Holdings</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Clatskanie</w:t>
                  </w:r>
                </w:p>
              </w:tc>
              <w:tc>
                <w:tcPr>
                  <w:tcW w:w="4594" w:type="dxa"/>
                </w:tcPr>
                <w:p w:rsidR="0037314E" w:rsidRPr="002C283B" w:rsidRDefault="00867415" w:rsidP="0037314E">
                  <w:pPr>
                    <w:spacing w:after="120"/>
                    <w:rPr>
                      <w:rFonts w:ascii="Times New Roman" w:eastAsia="Times New Roman" w:hAnsi="Times New Roman" w:cs="Times New Roman"/>
                      <w:i/>
                      <w:sz w:val="24"/>
                      <w:szCs w:val="24"/>
                    </w:rPr>
                  </w:pPr>
                  <w:proofErr w:type="gramStart"/>
                  <w:r w:rsidRPr="002C283B">
                    <w:rPr>
                      <w:rFonts w:ascii="Times New Roman" w:eastAsia="Times New Roman" w:hAnsi="Times New Roman" w:cs="Times New Roman"/>
                      <w:i/>
                      <w:sz w:val="24"/>
                      <w:szCs w:val="24"/>
                    </w:rPr>
                    <w:t>Title V permit</w:t>
                  </w:r>
                  <w:proofErr w:type="gramEnd"/>
                  <w:r w:rsidRPr="002C283B">
                    <w:rPr>
                      <w:rFonts w:ascii="Times New Roman" w:eastAsia="Times New Roman" w:hAnsi="Times New Roman" w:cs="Times New Roman"/>
                      <w:i/>
                      <w:sz w:val="24"/>
                      <w:szCs w:val="24"/>
                    </w:rPr>
                    <w:t xml:space="preserve"> application for greenhouse gases not required under temporary rule and proposed permanent rule.</w:t>
                  </w:r>
                </w:p>
              </w:tc>
            </w:tr>
            <w:tr w:rsidR="0037314E" w:rsidRPr="002C283B" w:rsidTr="00CE2BB5">
              <w:trPr>
                <w:jc w:val="center"/>
              </w:trPr>
              <w:tc>
                <w:tcPr>
                  <w:tcW w:w="180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Extruded polystyrene foam manufacturing</w:t>
                  </w:r>
                </w:p>
              </w:tc>
              <w:tc>
                <w:tcPr>
                  <w:tcW w:w="2066"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Owens Corning foam insulation plant</w:t>
                  </w:r>
                </w:p>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NE Portland-Troutdale</w:t>
                  </w:r>
                </w:p>
              </w:tc>
              <w:tc>
                <w:tcPr>
                  <w:tcW w:w="4594" w:type="dxa"/>
                </w:tcPr>
                <w:p w:rsidR="0037314E" w:rsidRPr="002C283B" w:rsidRDefault="0037314E" w:rsidP="0037314E">
                  <w:pPr>
                    <w:spacing w:after="120"/>
                    <w:rPr>
                      <w:rFonts w:ascii="Times New Roman" w:eastAsia="Times New Roman" w:hAnsi="Times New Roman" w:cs="Times New Roman"/>
                      <w:i/>
                      <w:sz w:val="24"/>
                      <w:szCs w:val="24"/>
                    </w:rPr>
                  </w:pPr>
                  <w:r w:rsidRPr="002C283B">
                    <w:rPr>
                      <w:rFonts w:ascii="Times New Roman" w:eastAsia="Times New Roman" w:hAnsi="Times New Roman" w:cs="Times New Roman"/>
                      <w:i/>
                      <w:sz w:val="24"/>
                      <w:szCs w:val="24"/>
                    </w:rPr>
                    <w:t>Submitted Title V permit application, Title V permit issued</w:t>
                  </w:r>
                </w:p>
              </w:tc>
            </w:tr>
          </w:tbl>
          <w:p w:rsidR="0037314E" w:rsidRPr="002C283B" w:rsidRDefault="0037314E" w:rsidP="002F2691">
            <w:pPr>
              <w:spacing w:after="120"/>
              <w:rPr>
                <w:i/>
              </w:rPr>
            </w:pPr>
          </w:p>
          <w:p w:rsidR="00A0337D" w:rsidRPr="002C283B" w:rsidRDefault="00A0337D" w:rsidP="002F2691">
            <w:pPr>
              <w:spacing w:after="120"/>
              <w:rPr>
                <w:i/>
                <w:u w:val="single"/>
              </w:rPr>
            </w:pPr>
            <w:r w:rsidRPr="002C283B">
              <w:rPr>
                <w:i/>
                <w:u w:val="single"/>
              </w:rPr>
              <w:t>Conclusion</w:t>
            </w:r>
          </w:p>
          <w:p w:rsidR="00196B94" w:rsidRPr="002C283B" w:rsidRDefault="00A0337D" w:rsidP="002F2691">
            <w:pPr>
              <w:spacing w:after="120"/>
              <w:rPr>
                <w:i/>
              </w:rPr>
            </w:pPr>
            <w:r w:rsidRPr="002C283B">
              <w:rPr>
                <w:i/>
              </w:rPr>
              <w:t>Based on t</w:t>
            </w:r>
            <w:r w:rsidR="00985DC0" w:rsidRPr="002C283B">
              <w:rPr>
                <w:i/>
              </w:rPr>
              <w:t>he discussion above, DEQ conclude</w:t>
            </w:r>
            <w:r w:rsidRPr="002C283B">
              <w:rPr>
                <w:i/>
              </w:rPr>
              <w:t>s there is little environmental benefit to be gained by making non-“anyway” sources subject to</w:t>
            </w:r>
            <w:r w:rsidR="00DF2C8C" w:rsidRPr="002C283B">
              <w:rPr>
                <w:i/>
              </w:rPr>
              <w:t xml:space="preserve"> Title V and</w:t>
            </w:r>
            <w:r w:rsidRPr="002C283B">
              <w:rPr>
                <w:i/>
              </w:rPr>
              <w:t xml:space="preserve"> PSD for GHGs. DEQ therefore recommends that the EQC adopt the proposed rule amendments in Attachment A as part of chapter 340 of the Oregon Administrative Rules to be effective upon filing with the Secretary of State.</w:t>
            </w:r>
          </w:p>
        </w:tc>
      </w:tr>
    </w:tbl>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r>
        <w:rPr>
          <w:sz w:val="22"/>
          <w:szCs w:val="22"/>
        </w:rPr>
        <w:br w:type="page"/>
      </w: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F3084E" w:rsidP="0000079D">
            <w:pPr>
              <w:ind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084E" w:rsidRPr="00426C34" w:rsidRDefault="00F3084E" w:rsidP="00F3084E">
            <w:pPr>
              <w:spacing w:after="12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F3084E" w:rsidRPr="00426C34" w:rsidRDefault="00F3084E" w:rsidP="00F3084E">
            <w:pPr>
              <w:spacing w:after="120"/>
            </w:pPr>
            <w:r w:rsidRPr="00426C34">
              <w:t xml:space="preserve">DEQ received comments in this category from commenters 12 and 44 listed in the </w:t>
            </w:r>
            <w:r w:rsidRPr="00426C34">
              <w:rPr>
                <w:i/>
              </w:rPr>
              <w:t>Commenter section</w:t>
            </w:r>
            <w:r w:rsidRPr="00426C34">
              <w:t xml:space="preserve"> below.</w:t>
            </w:r>
          </w:p>
          <w:p w:rsidR="00F3084E" w:rsidRPr="00426C34" w:rsidRDefault="00F3084E" w:rsidP="00F3084E">
            <w:pPr>
              <w:spacing w:after="120"/>
              <w:rPr>
                <w:i/>
              </w:rPr>
            </w:pPr>
            <w:r w:rsidRPr="00426C34">
              <w:t>Response:</w:t>
            </w:r>
          </w:p>
          <w:p w:rsidR="00F3084E" w:rsidRPr="00426C34" w:rsidRDefault="00F3084E" w:rsidP="00F3084E">
            <w:pPr>
              <w:spacing w:after="120"/>
              <w:rPr>
                <w:i/>
              </w:rPr>
            </w:pPr>
            <w:r w:rsidRPr="00426C34">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w:t>
            </w:r>
            <w:proofErr w:type="spellStart"/>
            <w:r w:rsidRPr="00426C34">
              <w:rPr>
                <w:i/>
              </w:rPr>
              <w:t>othing</w:t>
            </w:r>
            <w:proofErr w:type="spellEnd"/>
            <w:r w:rsidRPr="00426C34">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F3084E" w:rsidP="00F3084E">
            <w:pPr>
              <w:spacing w:after="120"/>
            </w:pPr>
            <w:r w:rsidRPr="00426C34">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he other</w:t>
            </w:r>
            <w:r w:rsidR="00B478FC">
              <w:rPr>
                <w:i/>
              </w:rPr>
              <w:t xml:space="preserve"> definitions</w:t>
            </w:r>
            <w:r w:rsidRPr="008223F9">
              <w:rPr>
                <w:i/>
              </w:rPr>
              <w:t xml:space="preserve">.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r>
              <w:rPr>
                <w:rFonts w:ascii="Arial" w:hAnsi="Arial"/>
                <w:sz w:val="22"/>
              </w:rPr>
              <w:t>Response:</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r w:rsidR="008A3499">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rsidR="00817F8A">
              <w:rPr>
                <w:i/>
              </w:rPr>
              <w:t>d</w:t>
            </w:r>
            <w:r w:rsidRPr="008223F9">
              <w:rPr>
                <w:i/>
              </w:rPr>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17F8A" w:rsidRDefault="008223F9" w:rsidP="00817F8A">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Unlike OAR 340-208-0300, OAR 340-208-0450 specifically addresses the emission of particulate matter larger than 250 microns in size, such that an observable deposition is created upon the real property of another person.</w:t>
            </w:r>
            <w:r w:rsidR="00817F8A" w:rsidRPr="00817F8A">
              <w:rPr>
                <w:i/>
              </w:rPr>
              <w:t xml:space="preserve"> When DEQ revised the nuisance control rules, OAR 340-208-0300 and 340-208-0450 in 2001, a request was received to repeal the 250 micron rule altogether.  DEQ’s response was:</w:t>
            </w:r>
          </w:p>
          <w:p w:rsidR="00817F8A" w:rsidRPr="00817F8A" w:rsidRDefault="00817F8A" w:rsidP="00817F8A">
            <w:pPr>
              <w:spacing w:after="120"/>
              <w:ind w:left="720"/>
              <w:rPr>
                <w:i/>
              </w:rPr>
            </w:pPr>
            <w:r w:rsidRPr="00817F8A">
              <w:rPr>
                <w:i/>
              </w:rPr>
              <w:t xml:space="preserve">“This rule has been enforced in the populous counties of the Willamette Valley since the </w:t>
            </w:r>
            <w:proofErr w:type="spellStart"/>
            <w:r w:rsidRPr="00817F8A">
              <w:rPr>
                <w:i/>
              </w:rPr>
              <w:t>lae</w:t>
            </w:r>
            <w:proofErr w:type="spellEnd"/>
            <w:r w:rsidRPr="00817F8A">
              <w:rPr>
                <w:i/>
              </w:rPr>
              <w:t xml:space="preserve"> 1960s, and permitted </w:t>
            </w:r>
            <w:proofErr w:type="spellStart"/>
            <w:r w:rsidRPr="00817F8A">
              <w:rPr>
                <w:i/>
              </w:rPr>
              <w:t>soruces</w:t>
            </w:r>
            <w:proofErr w:type="spellEnd"/>
            <w:r w:rsidRPr="00817F8A">
              <w:rPr>
                <w:i/>
              </w:rPr>
              <w:t xml:space="preserve"> have been able to comply with the rule without significant difficulty. It was originally established to denote the transport of large particles from a well-run operation. Larger particles fall out quickly, and evidence of a deposition of </w:t>
            </w:r>
            <w:proofErr w:type="spellStart"/>
            <w:r w:rsidRPr="00817F8A">
              <w:rPr>
                <w:i/>
              </w:rPr>
              <w:t>praicles</w:t>
            </w:r>
            <w:proofErr w:type="spellEnd"/>
            <w:r w:rsidRPr="00817F8A">
              <w:rPr>
                <w:i/>
              </w:rPr>
              <w:t xml:space="preserve"> greater than 250 microns at the property line indicates a </w:t>
            </w:r>
            <w:proofErr w:type="spellStart"/>
            <w:r w:rsidRPr="00817F8A">
              <w:rPr>
                <w:i/>
              </w:rPr>
              <w:t>filure</w:t>
            </w:r>
            <w:proofErr w:type="spellEnd"/>
            <w:r w:rsidRPr="00817F8A">
              <w:rPr>
                <w:i/>
              </w:rPr>
              <w:t xml:space="preserve"> of equipment or processes to adequately manage their discharge. Materials that commonly trigger this standard include sawdust and paint overspray.</w:t>
            </w:r>
          </w:p>
          <w:p w:rsidR="00817F8A" w:rsidRPr="00817F8A" w:rsidRDefault="00817F8A" w:rsidP="00817F8A">
            <w:pPr>
              <w:spacing w:after="120"/>
              <w:ind w:left="720"/>
              <w:rPr>
                <w:i/>
              </w:rPr>
            </w:pPr>
            <w:r w:rsidRPr="00817F8A">
              <w:rPr>
                <w:i/>
              </w:rPr>
              <w:t xml:space="preserve">The rule provides a readily usable tool to address complaints caused by particle fallout and avoid the entanglement of addressing fallout as a nuisance.  The rule is employed on a complaint driven basis and is invoked by Department staff when the sources are readily identifiable and controls are readily available.  The Department continues to recommend extending the rule to statewide applicability, but modified the proposal to </w:t>
            </w:r>
            <w:proofErr w:type="spellStart"/>
            <w:r w:rsidRPr="00817F8A">
              <w:rPr>
                <w:i/>
              </w:rPr>
              <w:t>incorpiorate</w:t>
            </w:r>
            <w:proofErr w:type="spellEnd"/>
            <w:r w:rsidRPr="00817F8A">
              <w:rPr>
                <w:i/>
              </w:rPr>
              <w:t xml:space="preserve"> enforcement </w:t>
            </w:r>
            <w:proofErr w:type="spellStart"/>
            <w:r w:rsidRPr="00817F8A">
              <w:rPr>
                <w:i/>
              </w:rPr>
              <w:t>judgement</w:t>
            </w:r>
            <w:proofErr w:type="spellEnd"/>
            <w:r w:rsidRPr="00817F8A">
              <w:rPr>
                <w:i/>
              </w:rPr>
              <w:t xml:space="preserve"> by staff as the standard for a violation.”</w:t>
            </w:r>
          </w:p>
          <w:p w:rsidR="00817F8A" w:rsidRPr="00817F8A" w:rsidRDefault="00817F8A" w:rsidP="00817F8A">
            <w:pPr>
              <w:spacing w:after="120"/>
              <w:rPr>
                <w:i/>
              </w:rPr>
            </w:pPr>
            <w:r w:rsidRPr="00817F8A">
              <w:rPr>
                <w:i/>
              </w:rPr>
              <w:t xml:space="preserve">DEQ originally proposed to delete “at sufficient duration or quantity” from the rule language since these terms are nowhere defined.  Upon further discussion, DEQ now proposes to leave “at sufficient duration or quantity” in the rule because it helps define “an observable deposition.” DEQ would take into consideration both duration and quantity when determining whether to take enforcement action.    </w:t>
            </w:r>
          </w:p>
          <w:p w:rsidR="00DC4311" w:rsidRDefault="00817F8A" w:rsidP="00817F8A">
            <w:pPr>
              <w:spacing w:after="120"/>
              <w:rPr>
                <w:i/>
              </w:rPr>
            </w:pPr>
            <w:r w:rsidRPr="00817F8A">
              <w:rPr>
                <w:i/>
              </w:rPr>
              <w:t xml:space="preserve">DEQ </w:t>
            </w:r>
            <w:r w:rsidRPr="00817F8A">
              <w:rPr>
                <w:bCs/>
                <w:i/>
              </w:rPr>
              <w:t>agrees with some of the commenters and changed the proposed rules in response to this comment.</w:t>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t>
            </w:r>
            <w:r>
              <w:rPr>
                <w:rFonts w:eastAsia="MS Mincho"/>
                <w:i/>
              </w:rPr>
              <w:lastRenderedPageBreak/>
              <w:t xml:space="preserve">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(b)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w:t>
            </w:r>
            <w:r w:rsidR="007533DF">
              <w:rPr>
                <w:rFonts w:eastAsia="MS Mincho"/>
                <w:i/>
              </w:rPr>
              <w:t>,</w:t>
            </w:r>
            <w:r w:rsidRPr="009B7E64">
              <w:rPr>
                <w:rFonts w:eastAsia="MS Mincho"/>
                <w:i/>
              </w:rPr>
              <w:t xml:space="preserve"> in isolation</w:t>
            </w:r>
            <w:r w:rsidR="000A6D36">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lastRenderedPageBreak/>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lastRenderedPageBreak/>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lastRenderedPageBreak/>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w:t>
            </w:r>
            <w:r w:rsidR="0023068A">
              <w:rPr>
                <w:i/>
              </w:rPr>
              <w:t xml:space="preserve"> also</w:t>
            </w:r>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w:t>
            </w:r>
            <w:r w:rsidR="003B6B10">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lastRenderedPageBreak/>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w:t>
            </w:r>
            <w:r w:rsidRPr="00EB3D0B">
              <w:rPr>
                <w:i/>
              </w:rPr>
              <w:lastRenderedPageBreak/>
              <w:t xml:space="preserve">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817F8A" w:rsidRPr="00817F8A" w:rsidRDefault="00817F8A" w:rsidP="00817F8A">
            <w:pPr>
              <w:autoSpaceDE w:val="0"/>
              <w:autoSpaceDN w:val="0"/>
              <w:adjustRightInd w:val="0"/>
              <w:spacing w:after="120"/>
              <w:ind w:right="487"/>
              <w:rPr>
                <w:i/>
              </w:rPr>
            </w:pPr>
            <w:r w:rsidRPr="00817F8A">
              <w:rPr>
                <w:i/>
              </w:rPr>
              <w:t>EPA has revised its interpretation of the Clean Air Act concerning the issue of affirmative defense provisions in State Implementation Plans as a result of a petition filed by the Sierra Club published on February 22, 2013 in the  Federal Register (78 FR  12459). EPA has rescinded the Startup Shutdown Malfunction Policy element that interpreted the Clean Air Act to allow affirmative defense provisions in SIPs for non-Title V sources. Therefore, DEQ is limiting emergency as an affirmative defense to Title V permitted sources only but is including emergency as one of the criteria to consider in taking enforcement action for non-Title V sources in OAR 340-214-0350(7) Enforcement Action Criteria which is allowable as a SIP provision:</w:t>
            </w:r>
          </w:p>
          <w:p w:rsidR="001C742D" w:rsidRDefault="00817F8A" w:rsidP="00817F8A">
            <w:pPr>
              <w:autoSpaceDE w:val="0"/>
              <w:autoSpaceDN w:val="0"/>
              <w:adjustRightInd w:val="0"/>
              <w:spacing w:after="120"/>
              <w:ind w:left="720" w:right="487"/>
              <w:rPr>
                <w:i/>
              </w:rPr>
            </w:pPr>
            <w:r w:rsidRPr="00817F8A">
              <w:rPr>
                <w:i/>
              </w:rPr>
              <w:t xml:space="preserve"> </w:t>
            </w:r>
            <w:r w:rsidR="001E02D5"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830261" w:rsidRDefault="00DF4E31" w:rsidP="00DF4E31">
            <w:pPr>
              <w:spacing w:after="120"/>
            </w:pPr>
            <w:r w:rsidRPr="00DF4E31">
              <w:rPr>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w:t>
            </w:r>
            <w:r w:rsidRPr="00EB7418">
              <w:lastRenderedPageBreak/>
              <w:t xml:space="preserve">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BA10F2" w:rsidRDefault="00BD6A1F">
            <w:pPr>
              <w:spacing w:after="120"/>
              <w:ind w:left="72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rsidR="00BD6A1F" w:rsidRPr="00BD6A1F" w:rsidRDefault="00BD6A1F" w:rsidP="00BD6A1F">
            <w:pPr>
              <w:spacing w:after="120"/>
              <w:rPr>
                <w:i/>
              </w:rPr>
            </w:pPr>
            <w:r w:rsidRPr="00BD6A1F">
              <w:rPr>
                <w:i/>
              </w:rPr>
              <w:t>To provide additional clarity with regard to categorically insignificant activities, DEQ also revised OAR 340-222-0041to read as follows:</w:t>
            </w:r>
          </w:p>
          <w:p w:rsidR="00BD6A1F" w:rsidRPr="00BD6A1F" w:rsidRDefault="00BD6A1F" w:rsidP="00BD6A1F">
            <w:pPr>
              <w:spacing w:after="120"/>
              <w:ind w:left="720"/>
              <w:rPr>
                <w:i/>
              </w:rPr>
            </w:pPr>
            <w:r w:rsidRPr="00BD6A1F">
              <w:rPr>
                <w:i/>
              </w:rPr>
              <w:t xml:space="preserve">(4) If an applicant wants an annual PSEL at a rate greater than the netting basis, the applicant must, consistent with OAR 340-222-0035: </w:t>
            </w:r>
          </w:p>
          <w:p w:rsidR="00EB7418" w:rsidRPr="00BD6A1F" w:rsidRDefault="00BD6A1F" w:rsidP="00D21CE3">
            <w:pPr>
              <w:spacing w:after="120"/>
              <w:rPr>
                <w:i/>
              </w:rPr>
            </w:pPr>
            <w:r w:rsidRPr="00BD6A1F">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w:t>
            </w:r>
            <w:r w:rsidR="00E51406">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 xml:space="preserve">Because DEQ is proposing changes to the New Source Review program that include </w:t>
            </w:r>
            <w:r w:rsidRPr="004D3090">
              <w:rPr>
                <w:i/>
              </w:rPr>
              <w:lastRenderedPageBreak/>
              <w:t>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8D1050" w:rsidRPr="008D1050" w:rsidRDefault="008D1050" w:rsidP="008D1050">
            <w:pPr>
              <w:spacing w:after="12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8D1050" w:rsidRPr="008D1050" w:rsidRDefault="008D1050" w:rsidP="008D1050">
            <w:pPr>
              <w:spacing w:after="12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8D1050" w:rsidRPr="008D1050" w:rsidRDefault="008D1050" w:rsidP="008D1050">
            <w:pPr>
              <w:numPr>
                <w:ilvl w:val="0"/>
                <w:numId w:val="19"/>
              </w:numPr>
              <w:spacing w:after="120"/>
              <w:rPr>
                <w:rFonts w:cs="Arial"/>
                <w:i/>
              </w:rPr>
            </w:pPr>
            <w:r w:rsidRPr="008D1050">
              <w:rPr>
                <w:rFonts w:cs="Arial"/>
                <w:i/>
              </w:rPr>
              <w:t>rules have been added for the new sustainment and reattainment areas; and</w:t>
            </w:r>
          </w:p>
          <w:p w:rsidR="008D1050" w:rsidRPr="008D1050" w:rsidRDefault="008D1050" w:rsidP="008D1050">
            <w:pPr>
              <w:numPr>
                <w:ilvl w:val="0"/>
                <w:numId w:val="19"/>
              </w:numPr>
              <w:spacing w:after="120"/>
              <w:rPr>
                <w:rFonts w:cs="Arial"/>
                <w:i/>
              </w:rPr>
            </w:pPr>
            <w:r w:rsidRPr="008D1050">
              <w:rPr>
                <w:rFonts w:cs="Arial"/>
                <w:i/>
              </w:rPr>
              <w:t xml:space="preserve">offset and net air quality benefit requirements have been revised and in some cases are </w:t>
            </w:r>
            <w:r w:rsidRPr="008D1050">
              <w:rPr>
                <w:rFonts w:cs="Arial"/>
                <w:i/>
              </w:rPr>
              <w:lastRenderedPageBreak/>
              <w:t>more stringent.</w:t>
            </w:r>
          </w:p>
          <w:p w:rsidR="008D1050" w:rsidRPr="008D1050" w:rsidRDefault="008D1050" w:rsidP="008D1050">
            <w:pPr>
              <w:spacing w:after="120"/>
              <w:rPr>
                <w:rFonts w:cs="Arial"/>
                <w:i/>
              </w:rPr>
            </w:pPr>
            <w:r w:rsidRPr="008D1050">
              <w:rPr>
                <w:rFonts w:cs="Arial"/>
                <w:i/>
              </w:rPr>
              <w:t>On the whole, however, DEQ did not intend to dramatically increase the stringency of the new source review program.</w:t>
            </w:r>
          </w:p>
          <w:p w:rsidR="008D1050" w:rsidRDefault="008D1050" w:rsidP="008D1050">
            <w:pPr>
              <w:spacing w:after="120"/>
              <w:rPr>
                <w:rFonts w:cs="Arial"/>
                <w:i/>
              </w:rPr>
            </w:pPr>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rsidR="001853CD" w:rsidRPr="008D1050" w:rsidRDefault="001853CD" w:rsidP="008D1050">
            <w:pPr>
              <w:spacing w:after="120"/>
              <w:rPr>
                <w:rFonts w:cs="Arial"/>
                <w:i/>
              </w:rPr>
            </w:pPr>
          </w:p>
          <w:tbl>
            <w:tblPr>
              <w:tblStyle w:val="TableGrid"/>
              <w:tblW w:w="0" w:type="auto"/>
              <w:jc w:val="center"/>
              <w:tblLayout w:type="fixed"/>
              <w:tblLook w:val="04A0"/>
            </w:tblPr>
            <w:tblGrid>
              <w:gridCol w:w="4410"/>
              <w:gridCol w:w="3780"/>
            </w:tblGrid>
            <w:tr w:rsidR="008D1050" w:rsidRPr="008D1050" w:rsidTr="000D4B5F">
              <w:trPr>
                <w:jc w:val="center"/>
              </w:trPr>
              <w:tc>
                <w:tcPr>
                  <w:tcW w:w="441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OAR 340-224-0010(2) rule language</w:t>
                  </w:r>
                </w:p>
              </w:tc>
              <w:tc>
                <w:tcPr>
                  <w:tcW w:w="378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Review/discussion of rule</w:t>
                  </w:r>
                </w:p>
              </w:tc>
            </w:tr>
            <w:tr w:rsidR="008D1050" w:rsidRPr="008D1050" w:rsidTr="000D4B5F">
              <w:trPr>
                <w:jc w:val="center"/>
              </w:trPr>
              <w:tc>
                <w:tcPr>
                  <w:tcW w:w="4410" w:type="dxa"/>
                </w:tcPr>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In a nonattainment, reattainment or maintenance area:</w:t>
                  </w: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p>
                <w:p w:rsidR="001853CD" w:rsidRDefault="001853CD" w:rsidP="00264B10">
                  <w:pPr>
                    <w:spacing w:after="120"/>
                    <w:ind w:left="15"/>
                    <w:rPr>
                      <w:rFonts w:ascii="Times New Roman" w:eastAsia="Times New Roman" w:hAnsi="Times New Roman" w:cs="Arial"/>
                      <w:i/>
                      <w:sz w:val="24"/>
                      <w:szCs w:val="24"/>
                    </w:rPr>
                  </w:pPr>
                </w:p>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p>
              </w:tc>
              <w:tc>
                <w:tcPr>
                  <w:tcW w:w="3780" w:type="dxa"/>
                </w:tcPr>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b/>
                      <w:bCs/>
                      <w:i/>
                      <w:color w:val="4F81BD" w:themeColor="accent1"/>
                      <w:sz w:val="24"/>
                      <w:szCs w:val="24"/>
                    </w:rPr>
                  </w:pPr>
                  <w:r w:rsidRPr="008D1050">
                    <w:rPr>
                      <w:rFonts w:ascii="Times New Roman" w:eastAsia="Times New Roman" w:hAnsi="Times New Roman" w:cs="Arial"/>
                      <w:i/>
                      <w:sz w:val="24"/>
                      <w:szCs w:val="24"/>
                    </w:rPr>
                    <w:t xml:space="preserve">A new source has no netting </w:t>
                  </w:r>
                  <w:proofErr w:type="gramStart"/>
                  <w:r w:rsidRPr="008D1050">
                    <w:rPr>
                      <w:rFonts w:ascii="Times New Roman" w:eastAsia="Times New Roman" w:hAnsi="Times New Roman" w:cs="Arial"/>
                      <w:i/>
                      <w:sz w:val="24"/>
                      <w:szCs w:val="24"/>
                    </w:rPr>
                    <w:t>basis,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p>
                <w:p w:rsidR="00264B10" w:rsidRDefault="00264B10" w:rsidP="00264B10">
                  <w:pPr>
                    <w:spacing w:after="120"/>
                    <w:ind w:left="15"/>
                    <w:rPr>
                      <w:rFonts w:ascii="Times New Roman" w:eastAsia="Times New Roman" w:hAnsi="Times New Roman" w:cs="Arial"/>
                      <w:i/>
                      <w:sz w:val="24"/>
                      <w:szCs w:val="24"/>
                    </w:rPr>
                  </w:pPr>
                </w:p>
                <w:p w:rsidR="00264B10" w:rsidRDefault="001853CD" w:rsidP="00264B10">
                  <w:pPr>
                    <w:spacing w:after="120"/>
                    <w:ind w:left="15"/>
                    <w:rPr>
                      <w:rFonts w:ascii="Times New Roman" w:eastAsia="Times New Roman" w:hAnsi="Times New Roman" w:cs="Arial"/>
                      <w:i/>
                      <w:sz w:val="24"/>
                      <w:szCs w:val="24"/>
                    </w:rPr>
                  </w:pPr>
                  <w:r>
                    <w:rPr>
                      <w:rFonts w:ascii="Times New Roman" w:eastAsia="Times New Roman" w:hAnsi="Times New Roman" w:cs="Arial"/>
                      <w:i/>
                      <w:sz w:val="24"/>
                      <w:szCs w:val="24"/>
                    </w:rPr>
                    <w:t xml:space="preserve">A </w:t>
                  </w:r>
                  <w:r w:rsidR="008D1050" w:rsidRPr="008D1050">
                    <w:rPr>
                      <w:rFonts w:ascii="Times New Roman" w:eastAsia="Times New Roman" w:hAnsi="Times New Roman" w:cs="Arial"/>
                      <w:i/>
                      <w:sz w:val="24"/>
                      <w:szCs w:val="24"/>
                    </w:rPr>
                    <w:t>major modification triggers Type A State New Source Review (formerly 2001/2015 New Source Review).</w:t>
                  </w:r>
                </w:p>
              </w:tc>
            </w:tr>
            <w:tr w:rsidR="008D1050" w:rsidRPr="008D1050" w:rsidTr="000D4B5F">
              <w:trPr>
                <w:jc w:val="center"/>
              </w:trPr>
              <w:tc>
                <w:tcPr>
                  <w:tcW w:w="4410" w:type="dxa"/>
                </w:tcPr>
                <w:p w:rsidR="00BA10F2" w:rsidRDefault="008D105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p>
                <w:p w:rsidR="00BA10F2" w:rsidRDefault="00BA10F2">
                  <w:pPr>
                    <w:spacing w:after="120"/>
                    <w:ind w:left="15"/>
                    <w:rPr>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p>
              </w:tc>
            </w:tr>
            <w:tr w:rsidR="008D1050" w:rsidRPr="008D1050" w:rsidTr="000D4B5F">
              <w:trPr>
                <w:jc w:val="center"/>
              </w:trPr>
              <w:tc>
                <w:tcPr>
                  <w:tcW w:w="4410" w:type="dxa"/>
                </w:tcPr>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(c) In an attainment, unclassified or sustainment area:</w:t>
                  </w: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a regulated pollutant equal to or greater than the SER; or</w:t>
                  </w:r>
                </w:p>
                <w:p w:rsidR="008D1050" w:rsidRDefault="008D1050" w:rsidP="000D4B5F">
                  <w:pPr>
                    <w:spacing w:after="120"/>
                    <w:rPr>
                      <w:rFonts w:ascii="Times New Roman" w:eastAsia="Times New Roman" w:hAnsi="Times New Roman" w:cs="Arial"/>
                      <w:i/>
                      <w:sz w:val="24"/>
                      <w:szCs w:val="24"/>
                    </w:rPr>
                  </w:pPr>
                </w:p>
                <w:p w:rsidR="001400A5" w:rsidRPr="008D1050" w:rsidRDefault="001400A5" w:rsidP="000D4B5F">
                  <w:pPr>
                    <w:spacing w:after="120"/>
                    <w:rPr>
                      <w:rFonts w:ascii="Times New Roman" w:eastAsia="Times New Roman" w:hAnsi="Times New Roman" w:cs="Arial"/>
                      <w:i/>
                      <w:sz w:val="24"/>
                      <w:szCs w:val="24"/>
                    </w:rPr>
                  </w:pP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(B) Increasing emissions of a regulated </w:t>
                  </w:r>
                  <w:r w:rsidRPr="008D1050">
                    <w:rPr>
                      <w:rFonts w:ascii="Times New Roman" w:eastAsia="Times New Roman" w:hAnsi="Times New Roman" w:cs="Arial"/>
                      <w:i/>
                      <w:sz w:val="24"/>
                      <w:szCs w:val="24"/>
                    </w:rPr>
                    <w:lastRenderedPageBreak/>
                    <w:t xml:space="preserve">pollutant to an amount that is equal to or greater than the SER over the netting basis. </w:t>
                  </w:r>
                </w:p>
              </w:tc>
              <w:tc>
                <w:tcPr>
                  <w:tcW w:w="3780" w:type="dxa"/>
                </w:tcPr>
                <w:p w:rsidR="001400A5" w:rsidRDefault="001400A5" w:rsidP="000D4B5F">
                  <w:pPr>
                    <w:spacing w:after="120"/>
                    <w:rPr>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r>
                    <w:rPr>
                      <w:rFonts w:ascii="Times New Roman" w:eastAsia="Times New Roman" w:hAnsi="Times New Roman" w:cs="Arial"/>
                      <w:i/>
                      <w:sz w:val="24"/>
                      <w:szCs w:val="24"/>
                    </w:rPr>
                    <w:t>Provided that the</w:t>
                  </w:r>
                  <w:r w:rsidR="008D1050" w:rsidRPr="008D1050">
                    <w:rPr>
                      <w:rFonts w:ascii="Times New Roman" w:eastAsia="Times New Roman" w:hAnsi="Times New Roman" w:cs="Arial"/>
                      <w:i/>
                      <w:sz w:val="24"/>
                      <w:szCs w:val="24"/>
                    </w:rPr>
                    <w:t xml:space="preserve"> source is</w:t>
                  </w:r>
                  <w:r>
                    <w:rPr>
                      <w:rFonts w:ascii="Times New Roman" w:eastAsia="Times New Roman" w:hAnsi="Times New Roman" w:cs="Arial"/>
                      <w:i/>
                      <w:sz w:val="24"/>
                      <w:szCs w:val="24"/>
                    </w:rPr>
                    <w:t xml:space="preserve"> not </w:t>
                  </w:r>
                  <w:r w:rsidR="008D1050" w:rsidRPr="008D1050">
                    <w:rPr>
                      <w:rFonts w:ascii="Times New Roman" w:eastAsia="Times New Roman" w:hAnsi="Times New Roman" w:cs="Arial"/>
                      <w:i/>
                      <w:sz w:val="24"/>
                      <w:szCs w:val="24"/>
                    </w:rPr>
                    <w:t>a federal major source,</w:t>
                  </w:r>
                  <w:r>
                    <w:rPr>
                      <w:rFonts w:ascii="Times New Roman" w:eastAsia="Times New Roman" w:hAnsi="Times New Roman" w:cs="Arial"/>
                      <w:i/>
                      <w:sz w:val="24"/>
                      <w:szCs w:val="24"/>
                    </w:rPr>
                    <w:t xml:space="preserve"> t</w:t>
                  </w:r>
                  <w:r w:rsidR="008D1050" w:rsidRPr="008D1050">
                    <w:rPr>
                      <w:rFonts w:ascii="Times New Roman" w:eastAsia="Times New Roman" w:hAnsi="Times New Roman" w:cs="Arial"/>
                      <w:i/>
                      <w:sz w:val="24"/>
                      <w:szCs w:val="24"/>
                    </w:rPr>
                    <w:t>his triggers Type B State New Source Review (formerly 2001/2015 Plant Site Emission Limit rule).</w:t>
                  </w:r>
                </w:p>
                <w:p w:rsidR="001970A7" w:rsidRPr="008D1050" w:rsidRDefault="001970A7" w:rsidP="000D4B5F">
                  <w:pPr>
                    <w:spacing w:after="120"/>
                    <w:rPr>
                      <w:rFonts w:ascii="Times New Roman" w:eastAsia="Times New Roman" w:hAnsi="Times New Roman" w:cs="Arial"/>
                      <w:i/>
                      <w:sz w:val="24"/>
                      <w:szCs w:val="24"/>
                    </w:rPr>
                  </w:pPr>
                </w:p>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May or may not be a major </w:t>
                  </w:r>
                  <w:r w:rsidRPr="008D1050">
                    <w:rPr>
                      <w:rFonts w:ascii="Times New Roman" w:eastAsia="Times New Roman" w:hAnsi="Times New Roman" w:cs="Arial"/>
                      <w:i/>
                      <w:sz w:val="24"/>
                      <w:szCs w:val="24"/>
                    </w:rPr>
                    <w:lastRenderedPageBreak/>
                    <w:t>modification, but not subject to Major New Source Review unless source is a federal major source. This triggers Type B State New Source Review (formerly 2001/2015 Plant Site Emission Limit rule).</w:t>
                  </w:r>
                </w:p>
              </w:tc>
            </w:tr>
          </w:tbl>
          <w:p w:rsidR="008D1050" w:rsidRPr="008D1050" w:rsidRDefault="008D1050" w:rsidP="008D1050">
            <w:pPr>
              <w:spacing w:after="120"/>
              <w:rPr>
                <w:rFonts w:cs="Arial"/>
                <w:i/>
              </w:rPr>
            </w:pPr>
          </w:p>
          <w:p w:rsidR="008D1050" w:rsidRPr="008D1050" w:rsidRDefault="008D1050" w:rsidP="008D1050">
            <w:pPr>
              <w:spacing w:after="120"/>
              <w:rPr>
                <w:rFonts w:cs="Arial"/>
                <w:i/>
              </w:rPr>
            </w:pPr>
            <w:r w:rsidRPr="008D1050">
              <w:rPr>
                <w:rFonts w:cs="Arial"/>
                <w:i/>
              </w:rPr>
              <w:t xml:space="preserve">DEQ </w:t>
            </w:r>
            <w:r w:rsidR="00FF40BD">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EB7418" w:rsidRPr="009B7E64" w:rsidRDefault="008D1050" w:rsidP="008D1050">
            <w:pPr>
              <w:spacing w:after="120"/>
              <w:rPr>
                <w:rFonts w:cs="Arial"/>
              </w:rPr>
            </w:pPr>
            <w:r w:rsidRPr="008D1050">
              <w:rPr>
                <w:rFonts w:cs="Arial"/>
                <w:i/>
              </w:rPr>
              <w:t>DEQ agrees with the commenter and changed the proposed rules in response to this comment.</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FE6943" w:rsidRDefault="00FE6943" w:rsidP="00C20A85">
            <w:pPr>
              <w:spacing w:after="120"/>
              <w:rPr>
                <w:rFonts w:cs="Arial"/>
                <w:i/>
              </w:rPr>
            </w:pPr>
            <w:r>
              <w:rPr>
                <w:rFonts w:cs="Arial"/>
                <w:i/>
              </w:rPr>
              <w:t>DEQ has clarified the requirements with respect to greenhouse gases in OAR 340-222-0041 as well as OAR 340-224-0010.</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The requirement</w:t>
            </w:r>
            <w:r w:rsidR="00E36B8F">
              <w:rPr>
                <w:i/>
              </w:rPr>
              <w:t xml:space="preserve"> for minor sources</w:t>
            </w:r>
            <w:r w:rsidRPr="00BD6A1F">
              <w:rPr>
                <w:i/>
              </w:rPr>
              <w:t xml:space="preserve"> to demonstrate a net air quality benefit is not new. The existing OAR 340-22</w:t>
            </w:r>
            <w:r w:rsidR="00E36B8F">
              <w:rPr>
                <w:i/>
              </w:rPr>
              <w:t>2</w:t>
            </w:r>
            <w:r w:rsidRPr="00BD6A1F">
              <w:rPr>
                <w:i/>
              </w:rPr>
              <w:t xml:space="preserve">-0041(3) </w:t>
            </w:r>
            <w:r w:rsidR="005F5EA7">
              <w:rPr>
                <w:i/>
              </w:rPr>
              <w:t xml:space="preserve">is </w:t>
            </w:r>
            <w:r w:rsidRPr="00BD6A1F">
              <w:rPr>
                <w:i/>
              </w:rPr>
              <w:t>state</w:t>
            </w:r>
            <w:r w:rsidR="005F5EA7">
              <w:rPr>
                <w:i/>
              </w:rPr>
              <w:t xml:space="preserve">d below; underlined text is the new text being proposed in this </w:t>
            </w:r>
            <w:proofErr w:type="spellStart"/>
            <w:r w:rsidR="005F5EA7">
              <w:rPr>
                <w:i/>
              </w:rPr>
              <w:t>ruelmaking</w:t>
            </w:r>
            <w:proofErr w:type="spellEnd"/>
            <w:r w:rsidRPr="00BD6A1F">
              <w:rPr>
                <w:i/>
              </w:rPr>
              <w:t>:</w:t>
            </w:r>
          </w:p>
          <w:p w:rsidR="00264B10" w:rsidRDefault="00BD6A1F" w:rsidP="00264B10">
            <w:pPr>
              <w:spacing w:after="120"/>
              <w:ind w:left="720"/>
              <w:rPr>
                <w:i/>
              </w:rPr>
            </w:pPr>
            <w:r w:rsidRPr="00BD6A1F">
              <w:rPr>
                <w:i/>
              </w:rPr>
              <w:t xml:space="preserve">(3) If an applicant wants an annual PSEL at a rate greater than the netting basis, the applicant must: </w:t>
            </w:r>
          </w:p>
          <w:p w:rsidR="00264B10" w:rsidRDefault="00BD6A1F" w:rsidP="00264B10">
            <w:pPr>
              <w:spacing w:after="120"/>
              <w:ind w:left="720"/>
              <w:rPr>
                <w:i/>
              </w:rPr>
            </w:pPr>
            <w:r w:rsidRPr="00BD6A1F">
              <w:rPr>
                <w:i/>
              </w:rPr>
              <w:t xml:space="preserve">(a) Demonstrate that the requested increase over the netting basis is less than the SER; </w:t>
            </w:r>
            <w:r w:rsidRPr="00BD6A1F">
              <w:rPr>
                <w:i/>
              </w:rPr>
              <w:lastRenderedPageBreak/>
              <w:t xml:space="preserve">or </w:t>
            </w:r>
          </w:p>
          <w:p w:rsidR="00264B10" w:rsidRDefault="00BD6A1F" w:rsidP="00264B10">
            <w:pPr>
              <w:spacing w:after="120"/>
              <w:ind w:left="720"/>
              <w:rPr>
                <w:i/>
              </w:rPr>
            </w:pPr>
            <w:r w:rsidRPr="00BD6A1F">
              <w:rPr>
                <w:i/>
              </w:rPr>
              <w:t xml:space="preserve">(b) For increases equal to or greater than the SER over the netting basis, but not subject to New Source Review (OAR 340 division 224): </w:t>
            </w:r>
          </w:p>
          <w:p w:rsidR="00264B10" w:rsidRDefault="00BD6A1F" w:rsidP="00264B10">
            <w:pPr>
              <w:spacing w:after="120"/>
              <w:ind w:left="720"/>
              <w:rPr>
                <w:i/>
              </w:rPr>
            </w:pPr>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p>
          <w:p w:rsidR="00264B10" w:rsidRDefault="00BD6A1F" w:rsidP="00264B10">
            <w:pPr>
              <w:spacing w:after="120"/>
              <w:ind w:left="720"/>
              <w:rPr>
                <w:i/>
              </w:rPr>
            </w:pPr>
            <w:r w:rsidRPr="00BD6A1F">
              <w:rPr>
                <w:i/>
              </w:rPr>
              <w:t xml:space="preserve">(B) If located within, or creating a significant air quality impact as defined in OAR 340-200-0020 upon, an area designated as maintenance in 340-204-0040, the applicant must </w:t>
            </w:r>
          </w:p>
          <w:p w:rsidR="00264B10" w:rsidRDefault="00BD6A1F" w:rsidP="00264B10">
            <w:pPr>
              <w:spacing w:after="120"/>
              <w:ind w:left="72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rsidR="00264B10" w:rsidRDefault="00BD6A1F" w:rsidP="00264B10">
            <w:pPr>
              <w:spacing w:after="120"/>
              <w:ind w:left="720"/>
              <w:rPr>
                <w:i/>
              </w:rPr>
            </w:pPr>
            <w:r w:rsidRPr="00BD6A1F">
              <w:rPr>
                <w:i/>
              </w:rPr>
              <w:t xml:space="preserve">(ii) Obtain an allocation from an available growth allowance in accordance with the applicable maintenance plan; or </w:t>
            </w:r>
          </w:p>
          <w:p w:rsidR="00264B10" w:rsidRDefault="00BD6A1F" w:rsidP="00264B10">
            <w:pPr>
              <w:spacing w:after="120"/>
              <w:ind w:left="720"/>
              <w:rPr>
                <w:i/>
              </w:rPr>
            </w:pPr>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p>
          <w:p w:rsidR="00BD6A1F" w:rsidRPr="00BD6A1F" w:rsidRDefault="00BD6A1F" w:rsidP="00BD6A1F">
            <w:pPr>
              <w:spacing w:after="12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sidR="005F5EA7">
              <w:rPr>
                <w:i/>
              </w:rPr>
              <w:t xml:space="preserve"> and proposes revisions to </w:t>
            </w:r>
            <w:r w:rsidRPr="00BD6A1F">
              <w:rPr>
                <w:i/>
              </w:rPr>
              <w:t xml:space="preserve">the demonstration procedure.  </w:t>
            </w:r>
          </w:p>
          <w:p w:rsidR="00EB7418" w:rsidRPr="00420A7E" w:rsidRDefault="00BD6A1F" w:rsidP="00BD6A1F">
            <w:pPr>
              <w:spacing w:after="120"/>
              <w:rPr>
                <w:i/>
              </w:rPr>
            </w:pPr>
            <w:r w:rsidRPr="00BD6A1F">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 xml:space="preserve">as stated in 40 CFR </w:t>
            </w:r>
            <w:r w:rsidRPr="001A5E77">
              <w:rPr>
                <w:i/>
              </w:rPr>
              <w:lastRenderedPageBreak/>
              <w:t>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r w:rsidR="00413A28">
              <w:rPr>
                <w:i/>
              </w:rPr>
              <w:t xml:space="preserve"> If a particular emissions unit is problematic in this regard, the affected facility should work with their permit writer to develop the best </w:t>
            </w:r>
            <w:r w:rsidR="00413A28">
              <w:rPr>
                <w:i/>
              </w:rPr>
              <w:lastRenderedPageBreak/>
              <w:t>possible method for determining operating hours or production rates, and to specify that method in the permit.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 xml:space="preserve">Commenter </w:t>
            </w:r>
            <w:r w:rsidR="00B971C5" w:rsidRPr="00B971C5">
              <w:rPr>
                <w:i/>
              </w:rPr>
              <w:lastRenderedPageBreak/>
              <w:t>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 xml:space="preserve">Any </w:t>
            </w:r>
            <w:r w:rsidR="00E76753">
              <w:rPr>
                <w:i/>
                <w:iCs/>
              </w:rPr>
              <w:t xml:space="preserve">such </w:t>
            </w:r>
            <w:r w:rsidR="00A668CC" w:rsidRPr="00A668CC">
              <w:rPr>
                <w:i/>
                <w:iCs/>
              </w:rPr>
              <w:t>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lastRenderedPageBreak/>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 xml:space="preserve">“significant impairment” criteria for Class I areas </w:t>
            </w:r>
            <w:r w:rsidR="00B344E3">
              <w:rPr>
                <w:i/>
                <w:iCs/>
              </w:rPr>
              <w:t>to</w:t>
            </w:r>
            <w:r w:rsidR="00B344E3" w:rsidRPr="006711C9">
              <w:rPr>
                <w:i/>
                <w:iCs/>
              </w:rPr>
              <w:t xml:space="preserve"> </w:t>
            </w:r>
            <w:r w:rsidRPr="006711C9">
              <w:rPr>
                <w:i/>
                <w:iCs/>
              </w:rPr>
              <w:t>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 xml:space="preserve">DEQ applies the ‘significant impairment’ language in the rule as its own standard and in </w:t>
            </w:r>
            <w:r w:rsidRPr="006711C9">
              <w:rPr>
                <w:i/>
                <w:iCs/>
              </w:rPr>
              <w:lastRenderedPageBreak/>
              <w:t>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w:t>
            </w:r>
            <w:r w:rsidR="00B344E3">
              <w:rPr>
                <w:i/>
                <w:iCs/>
              </w:rPr>
              <w:t>“</w:t>
            </w:r>
            <w:r>
              <w:rPr>
                <w:i/>
                <w:iCs/>
              </w:rPr>
              <w:t>significant impairment</w:t>
            </w:r>
            <w:r w:rsidR="00B344E3">
              <w:rPr>
                <w:i/>
                <w:iCs/>
              </w:rPr>
              <w:t>”</w:t>
            </w:r>
            <w:r>
              <w:rPr>
                <w:i/>
                <w:iCs/>
              </w:rPr>
              <w:t xml:space="preserve">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lastRenderedPageBreak/>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
              </w:rPr>
            </w:pPr>
            <w:r w:rsidRPr="008D1050">
              <w:rPr>
                <w:i/>
              </w:rPr>
              <w:t xml:space="preserve">The Portland Air Quality Maintenance Area is a former nonattainment area for ozone. </w:t>
            </w:r>
            <w:r w:rsidRPr="008D1050">
              <w:rPr>
                <w:i/>
              </w:rPr>
              <w:lastRenderedPageBreak/>
              <w:t>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sidR="005F5EA7">
              <w:rPr>
                <w:i/>
              </w:rPr>
              <w:t xml:space="preserve">; </w:t>
            </w:r>
            <w:r w:rsidRPr="008D1050">
              <w:rPr>
                <w:i/>
              </w:rPr>
              <w:t xml:space="preserve">DEQ </w:t>
            </w:r>
            <w:r w:rsidR="005F5EA7">
              <w:rPr>
                <w:i/>
              </w:rPr>
              <w:t>wants</w:t>
            </w:r>
            <w:r w:rsidRPr="008D1050">
              <w:rPr>
                <w:i/>
              </w:rPr>
              <w:t xml:space="preserve"> to address these liquids in a proactive way by revising th</w:t>
            </w:r>
            <w:r w:rsidR="005F5EA7">
              <w:rPr>
                <w:i/>
              </w:rPr>
              <w:t>e</w:t>
            </w:r>
            <w:r w:rsidRPr="008D1050">
              <w:rPr>
                <w:i/>
              </w:rPr>
              <w:t xml:space="preserve"> rule.</w:t>
            </w:r>
          </w:p>
          <w:p w:rsidR="008D1050" w:rsidRDefault="008D1050" w:rsidP="008D1050">
            <w:pPr>
              <w:autoSpaceDE w:val="0"/>
              <w:autoSpaceDN w:val="0"/>
              <w:adjustRightInd w:val="0"/>
              <w:spacing w:after="120"/>
              <w:ind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sidR="00FE1723">
              <w:rPr>
                <w:i/>
              </w:rPr>
              <w:t>determined</w:t>
            </w:r>
            <w:r w:rsidR="00286BF2">
              <w:rPr>
                <w:i/>
              </w:rPr>
              <w:t xml:space="preserve"> instead that</w:t>
            </w:r>
            <w:r w:rsidRPr="008D1050">
              <w:rPr>
                <w:i/>
              </w:rPr>
              <w:t xml:space="preserve"> it is appropriate to require control of emissions for liquids that have a </w:t>
            </w:r>
            <w:r w:rsidR="00286BF2">
              <w:rPr>
                <w:i/>
              </w:rPr>
              <w:t xml:space="preserve">Reid </w:t>
            </w:r>
            <w:r w:rsidRPr="008D1050">
              <w:rPr>
                <w:i/>
              </w:rPr>
              <w:t>vapor pressure</w:t>
            </w:r>
            <w:r w:rsidR="00A108BA">
              <w:rPr>
                <w:i/>
              </w:rPr>
              <w:t xml:space="preserve"> (RVP)</w:t>
            </w:r>
            <w:r w:rsidRPr="008D1050">
              <w:rPr>
                <w:i/>
              </w:rPr>
              <w:t xml:space="preserve"> that is the same as or greater than the </w:t>
            </w:r>
            <w:r w:rsidR="00A108BA">
              <w:rPr>
                <w:i/>
              </w:rPr>
              <w:t>RVP</w:t>
            </w:r>
            <w:r w:rsidRPr="008D1050">
              <w:rPr>
                <w:i/>
              </w:rPr>
              <w:t xml:space="preserve"> of gasoline</w:t>
            </w:r>
            <w:r w:rsidR="00286BF2">
              <w:rPr>
                <w:i/>
              </w:rPr>
              <w:t>, which is specified as 4.0 psi in the current rules</w:t>
            </w:r>
            <w:r w:rsidRPr="008D1050">
              <w:rPr>
                <w:i/>
              </w:rPr>
              <w:t xml:space="preserve">. </w:t>
            </w:r>
          </w:p>
          <w:p w:rsidR="003C0D5C" w:rsidRPr="008D1050" w:rsidRDefault="003C0D5C" w:rsidP="008D1050">
            <w:pPr>
              <w:autoSpaceDE w:val="0"/>
              <w:autoSpaceDN w:val="0"/>
              <w:adjustRightInd w:val="0"/>
              <w:spacing w:after="120"/>
              <w:ind w:right="487"/>
              <w:rPr>
                <w:i/>
              </w:rPr>
            </w:pPr>
            <w:r>
              <w:rPr>
                <w:i/>
              </w:rPr>
              <w:t>DEQ has also become aware that certain heavy organic liquids must be heated so that the</w:t>
            </w:r>
            <w:r w:rsidR="00A108BA">
              <w:rPr>
                <w:i/>
              </w:rPr>
              <w:t>se</w:t>
            </w:r>
            <w:r>
              <w:rPr>
                <w:i/>
              </w:rPr>
              <w:t xml:space="preserve"> liquids can be pumped. These heavy liquids may have a R</w:t>
            </w:r>
            <w:r w:rsidR="00A108BA">
              <w:rPr>
                <w:i/>
              </w:rPr>
              <w:t>VP</w:t>
            </w:r>
            <w:r>
              <w:rPr>
                <w:i/>
              </w:rPr>
              <w:t xml:space="preserve">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8D1050" w:rsidRPr="008D1050" w:rsidRDefault="008D1050" w:rsidP="008D1050">
            <w:pPr>
              <w:autoSpaceDE w:val="0"/>
              <w:autoSpaceDN w:val="0"/>
              <w:adjustRightInd w:val="0"/>
              <w:spacing w:after="120"/>
              <w:ind w:right="487"/>
              <w:rPr>
                <w:i/>
              </w:rPr>
            </w:pPr>
            <w:r w:rsidRPr="008D1050">
              <w:rPr>
                <w:i/>
              </w:rPr>
              <w:t xml:space="preserve">DEQ also understands that existing emission control systems cannot handle the emissions from certain high vapor pressure liquids and </w:t>
            </w:r>
            <w:r w:rsidR="002510B3">
              <w:rPr>
                <w:i/>
              </w:rPr>
              <w:t xml:space="preserve">would </w:t>
            </w:r>
            <w:r w:rsidRPr="008D1050">
              <w:rPr>
                <w:i/>
              </w:rPr>
              <w:t xml:space="preserve">have to be replaced, most likely with thermal oxidizers, in order to control emissions from such liquids. </w:t>
            </w:r>
            <w:r w:rsidR="00286BF2">
              <w:rPr>
                <w:i/>
              </w:rPr>
              <w:t>A</w:t>
            </w:r>
            <w:r w:rsidRPr="008D1050">
              <w:rPr>
                <w:i/>
              </w:rPr>
              <w:t>ffected facilities need time to modify their emission control systems, and if necessary, to permit them.</w:t>
            </w:r>
          </w:p>
          <w:p w:rsidR="008D1050" w:rsidRPr="008D1050" w:rsidRDefault="008D1050" w:rsidP="008D1050">
            <w:pPr>
              <w:autoSpaceDE w:val="0"/>
              <w:autoSpaceDN w:val="0"/>
              <w:adjustRightInd w:val="0"/>
              <w:spacing w:after="120"/>
              <w:ind w:right="487"/>
              <w:rPr>
                <w:i/>
              </w:rPr>
            </w:pPr>
            <w:r w:rsidRPr="008D1050">
              <w:rPr>
                <w:i/>
              </w:rPr>
              <w:t>Based on the above</w:t>
            </w:r>
            <w:r w:rsidR="00294033">
              <w:rPr>
                <w:i/>
              </w:rPr>
              <w:t xml:space="preserve"> considerations</w:t>
            </w:r>
            <w:r w:rsidRPr="008D1050">
              <w:rPr>
                <w:i/>
              </w:rPr>
              <w:t>, DEQ has revised the proposed rule as follows:</w:t>
            </w:r>
          </w:p>
          <w:p w:rsidR="008D1050" w:rsidRPr="008D1050" w:rsidRDefault="008D1050" w:rsidP="008D1050">
            <w:pPr>
              <w:autoSpaceDE w:val="0"/>
              <w:autoSpaceDN w:val="0"/>
              <w:adjustRightInd w:val="0"/>
              <w:spacing w:after="120"/>
              <w:ind w:left="720" w:right="487"/>
              <w:rPr>
                <w:i/>
              </w:rPr>
            </w:pPr>
            <w:r w:rsidRPr="008D1050">
              <w:rPr>
                <w:i/>
              </w:rPr>
              <w:t>The rule w</w:t>
            </w:r>
            <w:r w:rsidR="00286BF2">
              <w:rPr>
                <w:i/>
              </w:rPr>
              <w:t>ould</w:t>
            </w:r>
            <w:r w:rsidRPr="008D1050">
              <w:rPr>
                <w:i/>
              </w:rPr>
              <w:t xml:space="preserve"> continue to apply to gasoline;</w:t>
            </w:r>
            <w:r w:rsidR="00286BF2">
              <w:rPr>
                <w:i/>
              </w:rPr>
              <w:t xml:space="preserve"> and</w:t>
            </w:r>
          </w:p>
          <w:p w:rsidR="008D1050" w:rsidRPr="008D1050" w:rsidRDefault="008D1050" w:rsidP="008D1050">
            <w:pPr>
              <w:autoSpaceDE w:val="0"/>
              <w:autoSpaceDN w:val="0"/>
              <w:adjustRightInd w:val="0"/>
              <w:spacing w:after="120"/>
              <w:ind w:left="720" w:right="487"/>
              <w:rPr>
                <w:i/>
              </w:rPr>
            </w:pPr>
          </w:p>
          <w:p w:rsidR="008D1050" w:rsidRPr="008D1050" w:rsidRDefault="008D1050" w:rsidP="008D1050">
            <w:pPr>
              <w:autoSpaceDE w:val="0"/>
              <w:autoSpaceDN w:val="0"/>
              <w:adjustRightInd w:val="0"/>
              <w:spacing w:after="120"/>
              <w:ind w:left="720" w:right="487"/>
              <w:rPr>
                <w:i/>
              </w:rPr>
            </w:pPr>
            <w:r w:rsidRPr="008D1050">
              <w:rPr>
                <w:i/>
              </w:rPr>
              <w:t xml:space="preserve">Beginning July 1, 2018, the rule </w:t>
            </w:r>
            <w:r w:rsidR="00286BF2">
              <w:rPr>
                <w:i/>
              </w:rPr>
              <w:t xml:space="preserve">would </w:t>
            </w:r>
            <w:r w:rsidRPr="008D1050">
              <w:rPr>
                <w:i/>
              </w:rPr>
              <w:t>apply to gasoline</w:t>
            </w:r>
            <w:r w:rsidR="00E943FB">
              <w:rPr>
                <w:i/>
              </w:rPr>
              <w:t xml:space="preserve">, </w:t>
            </w:r>
            <w:r w:rsidRPr="008D1050">
              <w:rPr>
                <w:i/>
              </w:rPr>
              <w:t>all other organic liquids with an RVP of 4.0 psi or more</w:t>
            </w:r>
            <w:r w:rsidR="00E943FB">
              <w:rPr>
                <w:i/>
              </w:rPr>
              <w:t>, and all organic liquids that are deliberately heated to 110 degrees Fahrenheit or more and have an RVP of 3.0 psi or more</w:t>
            </w:r>
            <w:r w:rsidRPr="008D1050">
              <w:rPr>
                <w:i/>
              </w:rPr>
              <w:t>.</w:t>
            </w:r>
          </w:p>
          <w:p w:rsidR="008D1050" w:rsidRPr="008D1050" w:rsidRDefault="00B74749" w:rsidP="00B74749">
            <w:pPr>
              <w:autoSpaceDE w:val="0"/>
              <w:autoSpaceDN w:val="0"/>
              <w:adjustRightInd w:val="0"/>
              <w:spacing w:after="120"/>
              <w:ind w:right="487"/>
              <w:rPr>
                <w:i/>
              </w:rPr>
            </w:pPr>
            <w:r w:rsidRPr="008D1050" w:rsidDel="00B74749">
              <w:rPr>
                <w:i/>
              </w:rPr>
              <w:t xml:space="preserve"> </w:t>
            </w:r>
            <w:r w:rsidR="008D1050" w:rsidRPr="008D1050">
              <w:rPr>
                <w:i/>
              </w:rPr>
              <w:t>DEQ also agrees that this rule should not apply to</w:t>
            </w:r>
            <w:r w:rsidR="00085666">
              <w:rPr>
                <w:i/>
              </w:rPr>
              <w:t xml:space="preserve"> liquefied natural gas</w:t>
            </w:r>
            <w:r w:rsidR="008D1050" w:rsidRPr="008D1050">
              <w:rPr>
                <w:i/>
              </w:rPr>
              <w:t xml:space="preserve"> or propane  and has excluded organic liquids that are stored in pressurized tanks</w:t>
            </w:r>
            <w:r w:rsidR="00085666">
              <w:rPr>
                <w:i/>
              </w:rPr>
              <w:t>, such as liquefied natural gas, liquefied petroleum gas, butane</w:t>
            </w:r>
            <w:r w:rsidR="00085666" w:rsidRPr="008D1050">
              <w:rPr>
                <w:i/>
              </w:rPr>
              <w:t xml:space="preserve">  or propane</w:t>
            </w:r>
            <w:r w:rsidR="008D1050" w:rsidRPr="008D1050">
              <w:rPr>
                <w:i/>
              </w:rPr>
              <w:t>.</w:t>
            </w:r>
          </w:p>
          <w:p w:rsidR="00BE63B8" w:rsidRPr="007426BB" w:rsidRDefault="008D1050" w:rsidP="00B74749">
            <w:pPr>
              <w:autoSpaceDE w:val="0"/>
              <w:autoSpaceDN w:val="0"/>
              <w:adjustRightInd w:val="0"/>
              <w:spacing w:after="120"/>
              <w:ind w:right="487"/>
            </w:pPr>
            <w:r w:rsidRPr="008D1050">
              <w:rPr>
                <w:bCs/>
                <w:i/>
              </w:rPr>
              <w:t>DEQ agrees with some of the comments and change</w:t>
            </w:r>
            <w:r w:rsidR="00294033">
              <w:rPr>
                <w:bCs/>
                <w:i/>
              </w:rPr>
              <w:t>d</w:t>
            </w:r>
            <w:r w:rsidRPr="008D1050">
              <w:rPr>
                <w:bCs/>
                <w:i/>
              </w:rPr>
              <w:t xml:space="preserve"> the </w:t>
            </w:r>
            <w:r w:rsidR="00294033">
              <w:rPr>
                <w:bCs/>
                <w:i/>
              </w:rPr>
              <w:t xml:space="preserve">proposed </w:t>
            </w:r>
            <w:r w:rsidRPr="008D1050">
              <w:rPr>
                <w:bCs/>
                <w:i/>
              </w:rPr>
              <w:t>rules in response to the comment</w:t>
            </w:r>
            <w:r w:rsidR="002510B3">
              <w:rPr>
                <w:bCs/>
                <w:i/>
              </w:rPr>
              <w:t>s</w:t>
            </w:r>
            <w:r w:rsidRPr="008D1050">
              <w:rPr>
                <w:bCs/>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lastRenderedPageBreak/>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65488D" w:rsidRDefault="0098106F" w:rsidP="00294033">
            <w:pPr>
              <w:autoSpaceDE w:val="0"/>
              <w:autoSpaceDN w:val="0"/>
              <w:adjustRightInd w:val="0"/>
              <w:spacing w:after="120"/>
              <w:ind w:right="487"/>
              <w:rPr>
                <w:i/>
              </w:rPr>
            </w:pPr>
            <w:r>
              <w:rPr>
                <w:i/>
              </w:rPr>
              <w:t>DEQ understands that the proposed rule can place terminals in the Portland area at a competitive disadvantage compared to</w:t>
            </w:r>
            <w:r w:rsidR="0065488D">
              <w:rPr>
                <w:i/>
              </w:rPr>
              <w:t xml:space="preserve"> similar</w:t>
            </w:r>
            <w:r>
              <w:rPr>
                <w:i/>
              </w:rPr>
              <w:t xml:space="preserve"> businesses in other parts of the state. However, this rule change was proposed as a measure to help ensure continued attainment of the ozone ambient air quality standards in the Portland area. Portland is currently in attainment with the </w:t>
            </w:r>
            <w:r w:rsidR="0065488D">
              <w:rPr>
                <w:i/>
              </w:rPr>
              <w:t xml:space="preserve">ozone </w:t>
            </w:r>
            <w:r>
              <w:rPr>
                <w:i/>
              </w:rPr>
              <w:t xml:space="preserve">standards, but is a former nonattainment area for ozone. In addition, the U.S. Environmental Protection Agency has proposed to lower the ozone </w:t>
            </w:r>
            <w:proofErr w:type="spellStart"/>
            <w:r>
              <w:rPr>
                <w:i/>
              </w:rPr>
              <w:t>standards</w:t>
            </w:r>
            <w:proofErr w:type="gramStart"/>
            <w:r w:rsidR="0065488D">
              <w:rPr>
                <w:i/>
              </w:rPr>
              <w:t>,</w:t>
            </w:r>
            <w:r w:rsidR="0043381D">
              <w:rPr>
                <w:i/>
              </w:rPr>
              <w:t>potentially</w:t>
            </w:r>
            <w:proofErr w:type="spellEnd"/>
            <w:proofErr w:type="gramEnd"/>
            <w:r w:rsidR="0065488D">
              <w:rPr>
                <w:i/>
              </w:rPr>
              <w:t xml:space="preserve"> putting the area at greater risk of exceeding the standards.</w:t>
            </w:r>
          </w:p>
          <w:p w:rsidR="0098106F" w:rsidRDefault="0065488D" w:rsidP="00294033">
            <w:pPr>
              <w:autoSpaceDE w:val="0"/>
              <w:autoSpaceDN w:val="0"/>
              <w:adjustRightInd w:val="0"/>
              <w:spacing w:after="120"/>
              <w:ind w:right="487"/>
              <w:rPr>
                <w:i/>
              </w:rPr>
            </w:pPr>
            <w:r>
              <w:rPr>
                <w:i/>
              </w:rPr>
              <w:t xml:space="preserve">DEQ did not propose to extend this requirement to other areas in the state, and to do so without additional public notice would deprive potentially affected areas and facilities </w:t>
            </w:r>
            <w:r w:rsidR="0043381D">
              <w:rPr>
                <w:i/>
              </w:rPr>
              <w:t>of</w:t>
            </w:r>
            <w:r>
              <w:rPr>
                <w:i/>
              </w:rPr>
              <w:t xml:space="preserve"> the opportunity to comment on the prop</w:t>
            </w:r>
            <w:r w:rsidR="0081346A">
              <w:rPr>
                <w:i/>
              </w:rPr>
              <w:t>osal.</w:t>
            </w:r>
          </w:p>
          <w:p w:rsidR="00BE63B8" w:rsidRPr="008D1050" w:rsidRDefault="0065488D" w:rsidP="00294033">
            <w:pPr>
              <w:autoSpaceDE w:val="0"/>
              <w:autoSpaceDN w:val="0"/>
              <w:adjustRightInd w:val="0"/>
              <w:spacing w:after="120"/>
              <w:ind w:right="487"/>
              <w:rPr>
                <w:i/>
              </w:rPr>
            </w:pPr>
            <w:r>
              <w:rPr>
                <w:i/>
              </w:rPr>
              <w:t xml:space="preserve">DEQ </w:t>
            </w:r>
            <w:r w:rsidR="0043381D">
              <w:rPr>
                <w:i/>
              </w:rPr>
              <w:t>did</w:t>
            </w:r>
            <w:r w:rsidR="00C06BF2">
              <w:rPr>
                <w:i/>
              </w:rPr>
              <w:t xml:space="preserve"> not change the proposed rules in response to th</w:t>
            </w:r>
            <w:r w:rsidR="0043381D">
              <w:rPr>
                <w:i/>
              </w:rPr>
              <w:t>is</w:t>
            </w:r>
            <w:r w:rsidR="00C06BF2">
              <w:rPr>
                <w:i/>
              </w:rPr>
              <w:t xml:space="preserv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rFonts w:ascii="Arial" w:hAnsi="Arial"/>
                <w:sz w:val="22"/>
              </w:rPr>
            </w:pPr>
            <w:r>
              <w:rPr>
                <w:rFonts w:ascii="Arial" w:hAnsi="Arial"/>
                <w:sz w:val="22"/>
              </w:rPr>
              <w:t>Response:</w:t>
            </w:r>
          </w:p>
          <w:p w:rsidR="00B74749" w:rsidRPr="00B74749" w:rsidRDefault="00B74749" w:rsidP="00B74749">
            <w:pPr>
              <w:autoSpaceDE w:val="0"/>
              <w:autoSpaceDN w:val="0"/>
              <w:adjustRightInd w:val="0"/>
              <w:spacing w:before="240" w:after="120"/>
              <w:ind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BE63B8" w:rsidRPr="004D45CF" w:rsidRDefault="00B74749" w:rsidP="004D45CF">
            <w:pPr>
              <w:autoSpaceDE w:val="0"/>
              <w:autoSpaceDN w:val="0"/>
              <w:adjustRightInd w:val="0"/>
              <w:spacing w:before="240" w:after="120"/>
              <w:ind w:right="487"/>
              <w:rPr>
                <w:i/>
              </w:rPr>
            </w:pPr>
            <w:r w:rsidRPr="00B74749">
              <w:rPr>
                <w:bCs/>
                <w:i/>
              </w:rPr>
              <w:t>D</w:t>
            </w:r>
            <w:r>
              <w:rPr>
                <w:bCs/>
                <w:i/>
              </w:rPr>
              <w:t>EQ agrees with the comment</w:t>
            </w:r>
            <w:r w:rsidRPr="00B74749">
              <w:rPr>
                <w:bCs/>
                <w:i/>
              </w:rPr>
              <w:t xml:space="preserve"> and changed the proposed rules in response to the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r w:rsidRPr="008D1050">
              <w:rPr>
                <w:i/>
              </w:rPr>
              <w:t xml:space="preserve">See </w:t>
            </w:r>
            <w:r w:rsidR="00294033">
              <w:rPr>
                <w:i/>
              </w:rPr>
              <w:t>DEQ’s response to 1.3</w:t>
            </w:r>
            <w:r w:rsidR="0018671D">
              <w:rPr>
                <w:i/>
              </w:rPr>
              <w:t>3</w:t>
            </w:r>
            <w:r w:rsidRPr="008D1050">
              <w:rPr>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w:t>
            </w:r>
            <w:r w:rsidRPr="00BE63B8">
              <w:lastRenderedPageBreak/>
              <w:t xml:space="preserve">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436698" w:rsidRPr="00436698" w:rsidRDefault="00436698" w:rsidP="00436698">
            <w:pPr>
              <w:autoSpaceDE w:val="0"/>
              <w:autoSpaceDN w:val="0"/>
              <w:adjustRightInd w:val="0"/>
              <w:spacing w:after="120"/>
              <w:ind w:right="487"/>
              <w:rPr>
                <w:i/>
              </w:rPr>
            </w:pPr>
            <w:r w:rsidRPr="00436698">
              <w:rPr>
                <w:i/>
              </w:rPr>
              <w:t xml:space="preserve">340-200-0010(3) DEQ administers divisions 200 through 268 in all areas of the State of Oregon except when the EQC has designated LRAPA to administer rules within its areas </w:t>
            </w:r>
            <w:r w:rsidRPr="00436698">
              <w:rPr>
                <w:i/>
              </w:rPr>
              <w:lastRenderedPageBreak/>
              <w:t>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436698" w:rsidRPr="00436698" w:rsidRDefault="00436698" w:rsidP="00436698">
            <w:pPr>
              <w:autoSpaceDE w:val="0"/>
              <w:autoSpaceDN w:val="0"/>
              <w:adjustRightInd w:val="0"/>
              <w:spacing w:after="120"/>
              <w:ind w:right="487"/>
              <w:rPr>
                <w:i/>
              </w:rPr>
            </w:pPr>
            <w:r w:rsidRPr="00436698">
              <w:rPr>
                <w:i/>
              </w:rPr>
              <w:t xml:space="preserve">Applicability and Jurisdiction:  </w:t>
            </w:r>
          </w:p>
          <w:p w:rsidR="00436698" w:rsidRPr="00436698" w:rsidRDefault="00436698" w:rsidP="00436698">
            <w:pPr>
              <w:autoSpaceDE w:val="0"/>
              <w:autoSpaceDN w:val="0"/>
              <w:adjustRightInd w:val="0"/>
              <w:spacing w:after="120"/>
              <w:ind w:right="487"/>
              <w:rPr>
                <w:i/>
              </w:rPr>
            </w:pPr>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p>
          <w:p w:rsidR="00BE63B8" w:rsidRPr="00436698" w:rsidRDefault="00EF26AB" w:rsidP="00436698">
            <w:pPr>
              <w:autoSpaceDE w:val="0"/>
              <w:autoSpaceDN w:val="0"/>
              <w:adjustRightInd w:val="0"/>
              <w:spacing w:after="120"/>
              <w:ind w:right="487"/>
              <w:rPr>
                <w:i/>
              </w:rPr>
            </w:pPr>
            <w:r w:rsidRPr="00EF26AB">
              <w:rPr>
                <w:i/>
              </w:rPr>
              <w:t>DEQ agrees with the commenter and changed the proposed rules in response to this comment.</w:t>
            </w:r>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spacing w:after="12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tblPr>
            <w:tblGrid>
              <w:gridCol w:w="4448"/>
              <w:gridCol w:w="2701"/>
              <w:gridCol w:w="1311"/>
            </w:tblGrid>
            <w:tr w:rsidR="00D05987" w:rsidRPr="00C91452" w:rsidTr="000D4B5F">
              <w:trPr>
                <w:trHeight w:val="242"/>
              </w:trPr>
              <w:tc>
                <w:tcPr>
                  <w:tcW w:w="4448" w:type="dxa"/>
                </w:tcPr>
                <w:p w:rsidR="00D05987" w:rsidRPr="00C91452" w:rsidRDefault="00D05987" w:rsidP="00D05987">
                  <w:pPr>
                    <w:rPr>
                      <w:b/>
                      <w:i/>
                    </w:rPr>
                  </w:pPr>
                  <w:r>
                    <w:rPr>
                      <w:b/>
                      <w:i/>
                    </w:rPr>
                    <w:t>Source Category</w:t>
                  </w:r>
                </w:p>
              </w:tc>
              <w:tc>
                <w:tcPr>
                  <w:tcW w:w="2701" w:type="dxa"/>
                </w:tcPr>
                <w:p w:rsidR="00D05987" w:rsidRDefault="00D05987" w:rsidP="00D05987">
                  <w:pPr>
                    <w:jc w:val="center"/>
                    <w:rPr>
                      <w:b/>
                      <w:i/>
                    </w:rPr>
                  </w:pPr>
                  <w:r>
                    <w:rPr>
                      <w:b/>
                      <w:i/>
                    </w:rPr>
                    <w:t>OAR</w:t>
                  </w:r>
                </w:p>
              </w:tc>
              <w:tc>
                <w:tcPr>
                  <w:tcW w:w="1311" w:type="dxa"/>
                </w:tcPr>
                <w:p w:rsidR="00D05987" w:rsidRPr="00C91452" w:rsidRDefault="00D05987" w:rsidP="00D05987">
                  <w:pPr>
                    <w:rPr>
                      <w:b/>
                      <w:i/>
                    </w:rPr>
                  </w:pPr>
                  <w:r w:rsidRPr="00C91452">
                    <w:rPr>
                      <w:b/>
                      <w:i/>
                    </w:rPr>
                    <w:t>Adoption Date</w:t>
                  </w:r>
                </w:p>
              </w:tc>
            </w:tr>
            <w:tr w:rsidR="00D05987" w:rsidRPr="00C91452" w:rsidTr="000D4B5F">
              <w:tc>
                <w:tcPr>
                  <w:tcW w:w="4448" w:type="dxa"/>
                </w:tcPr>
                <w:p w:rsidR="00D05987" w:rsidRPr="00C91452" w:rsidRDefault="00D05987" w:rsidP="00D05987">
                  <w:pPr>
                    <w:rPr>
                      <w:i/>
                    </w:rPr>
                  </w:pPr>
                  <w:r w:rsidRPr="00C91452">
                    <w:rPr>
                      <w:i/>
                    </w:rPr>
                    <w:t>Primary Aluminum Standards</w:t>
                  </w:r>
                </w:p>
              </w:tc>
              <w:tc>
                <w:tcPr>
                  <w:tcW w:w="2701" w:type="dxa"/>
                </w:tcPr>
                <w:p w:rsidR="00D05987" w:rsidRPr="00C91452" w:rsidRDefault="00D05987" w:rsidP="00D05987">
                  <w:pPr>
                    <w:jc w:val="center"/>
                    <w:rPr>
                      <w:i/>
                    </w:rPr>
                  </w:pPr>
                  <w:r>
                    <w:rPr>
                      <w:i/>
                    </w:rPr>
                    <w:t>340-236-0100-0150</w:t>
                  </w:r>
                </w:p>
              </w:tc>
              <w:tc>
                <w:tcPr>
                  <w:tcW w:w="1311" w:type="dxa"/>
                </w:tcPr>
                <w:p w:rsidR="00D05987" w:rsidRPr="00C91452" w:rsidRDefault="00D05987" w:rsidP="00D05987">
                  <w:pPr>
                    <w:jc w:val="center"/>
                    <w:rPr>
                      <w:i/>
                    </w:rPr>
                  </w:pPr>
                  <w:r w:rsidRPr="00C91452">
                    <w:rPr>
                      <w:i/>
                    </w:rPr>
                    <w:t>1973</w:t>
                  </w:r>
                </w:p>
              </w:tc>
            </w:tr>
            <w:tr w:rsidR="00D05987" w:rsidRPr="00C91452" w:rsidTr="000D4B5F">
              <w:tc>
                <w:tcPr>
                  <w:tcW w:w="4448" w:type="dxa"/>
                </w:tcPr>
                <w:p w:rsidR="00D05987" w:rsidRPr="00C91452" w:rsidRDefault="00D05987" w:rsidP="00D05987">
                  <w:pPr>
                    <w:rPr>
                      <w:i/>
                    </w:rPr>
                  </w:pPr>
                  <w:r w:rsidRPr="00C91452">
                    <w:rPr>
                      <w:i/>
                    </w:rPr>
                    <w:t>Laterite Ore Production of Ferronickel</w:t>
                  </w:r>
                </w:p>
              </w:tc>
              <w:tc>
                <w:tcPr>
                  <w:tcW w:w="2701" w:type="dxa"/>
                </w:tcPr>
                <w:p w:rsidR="00D05987" w:rsidRPr="00C91452" w:rsidRDefault="00D05987" w:rsidP="00D05987">
                  <w:pPr>
                    <w:jc w:val="center"/>
                    <w:rPr>
                      <w:i/>
                    </w:rPr>
                  </w:pPr>
                  <w:r>
                    <w:rPr>
                      <w:i/>
                    </w:rPr>
                    <w:t>340-236-0200-0230</w:t>
                  </w:r>
                </w:p>
              </w:tc>
              <w:tc>
                <w:tcPr>
                  <w:tcW w:w="1311" w:type="dxa"/>
                </w:tcPr>
                <w:p w:rsidR="00D05987" w:rsidRPr="00C91452" w:rsidRDefault="00D05987" w:rsidP="00D05987">
                  <w:pPr>
                    <w:jc w:val="center"/>
                    <w:rPr>
                      <w:i/>
                    </w:rPr>
                  </w:pPr>
                  <w:r w:rsidRPr="00C91452">
                    <w:rPr>
                      <w:i/>
                    </w:rPr>
                    <w:t>1972</w:t>
                  </w:r>
                </w:p>
              </w:tc>
            </w:tr>
            <w:tr w:rsidR="00D05987" w:rsidRPr="00C91452" w:rsidTr="000D4B5F">
              <w:tc>
                <w:tcPr>
                  <w:tcW w:w="4448" w:type="dxa"/>
                </w:tcPr>
                <w:p w:rsidR="00D05987" w:rsidRPr="00C91452" w:rsidRDefault="00D05987" w:rsidP="00D05987">
                  <w:pPr>
                    <w:rPr>
                      <w:i/>
                    </w:rPr>
                  </w:pPr>
                  <w:r w:rsidRPr="00C91452">
                    <w:rPr>
                      <w:i/>
                    </w:rPr>
                    <w:t>Neutral Sulfite Semi-Chemical (NSSC) Pulp Mills</w:t>
                  </w:r>
                </w:p>
              </w:tc>
              <w:tc>
                <w:tcPr>
                  <w:tcW w:w="2701" w:type="dxa"/>
                </w:tcPr>
                <w:p w:rsidR="00D05987" w:rsidRPr="00C91452" w:rsidRDefault="00D05987" w:rsidP="00D05987">
                  <w:pPr>
                    <w:jc w:val="center"/>
                    <w:rPr>
                      <w:i/>
                    </w:rPr>
                  </w:pPr>
                  <w:r>
                    <w:rPr>
                      <w:i/>
                    </w:rPr>
                    <w:t>340-234-0300-0360</w:t>
                  </w:r>
                </w:p>
              </w:tc>
              <w:tc>
                <w:tcPr>
                  <w:tcW w:w="1311" w:type="dxa"/>
                </w:tcPr>
                <w:p w:rsidR="00D05987" w:rsidRPr="00C91452" w:rsidRDefault="00D05987" w:rsidP="00D05987">
                  <w:pPr>
                    <w:jc w:val="center"/>
                    <w:rPr>
                      <w:i/>
                    </w:rPr>
                  </w:pPr>
                  <w:r w:rsidRPr="00C91452">
                    <w:rPr>
                      <w:i/>
                    </w:rPr>
                    <w:t>1990</w:t>
                  </w:r>
                </w:p>
              </w:tc>
            </w:tr>
            <w:tr w:rsidR="00D05987" w:rsidRPr="00C91452" w:rsidTr="000D4B5F">
              <w:tc>
                <w:tcPr>
                  <w:tcW w:w="4448" w:type="dxa"/>
                </w:tcPr>
                <w:p w:rsidR="00D05987" w:rsidRPr="00C91452" w:rsidRDefault="00D05987" w:rsidP="00D05987">
                  <w:pPr>
                    <w:rPr>
                      <w:i/>
                    </w:rPr>
                  </w:pPr>
                  <w:r w:rsidRPr="00C91452">
                    <w:rPr>
                      <w:i/>
                    </w:rPr>
                    <w:t>Sulfite Pulp Mills</w:t>
                  </w:r>
                </w:p>
              </w:tc>
              <w:tc>
                <w:tcPr>
                  <w:tcW w:w="2701" w:type="dxa"/>
                </w:tcPr>
                <w:p w:rsidR="00D05987" w:rsidRPr="00C91452" w:rsidRDefault="00D05987" w:rsidP="00D05987">
                  <w:pPr>
                    <w:jc w:val="center"/>
                    <w:rPr>
                      <w:i/>
                    </w:rPr>
                  </w:pPr>
                  <w:r w:rsidRPr="00DF1ECA">
                    <w:rPr>
                      <w:i/>
                    </w:rPr>
                    <w:t>340-234-0</w:t>
                  </w:r>
                  <w:r>
                    <w:rPr>
                      <w:i/>
                    </w:rPr>
                    <w:t>4</w:t>
                  </w:r>
                  <w:r w:rsidRPr="00DF1ECA">
                    <w:rPr>
                      <w:i/>
                    </w:rPr>
                    <w:t>00-0</w:t>
                  </w:r>
                  <w:r>
                    <w:rPr>
                      <w:i/>
                    </w:rPr>
                    <w:t>4</w:t>
                  </w:r>
                  <w:r w:rsidRPr="00DF1ECA">
                    <w:rPr>
                      <w:i/>
                    </w:rPr>
                    <w:t>30</w:t>
                  </w:r>
                </w:p>
              </w:tc>
              <w:tc>
                <w:tcPr>
                  <w:tcW w:w="1311" w:type="dxa"/>
                </w:tcPr>
                <w:p w:rsidR="00D05987" w:rsidRPr="00C91452" w:rsidRDefault="00D05987" w:rsidP="00D05987">
                  <w:pPr>
                    <w:jc w:val="center"/>
                    <w:rPr>
                      <w:i/>
                    </w:rPr>
                  </w:pPr>
                  <w:r w:rsidRPr="00C91452">
                    <w:rPr>
                      <w:i/>
                    </w:rPr>
                    <w:t>1971</w:t>
                  </w:r>
                </w:p>
              </w:tc>
            </w:tr>
            <w:tr w:rsidR="00D05987" w:rsidRPr="00C91452" w:rsidTr="000D4B5F">
              <w:tc>
                <w:tcPr>
                  <w:tcW w:w="4448" w:type="dxa"/>
                </w:tcPr>
                <w:p w:rsidR="00D05987" w:rsidRPr="00C91452" w:rsidRDefault="00D05987" w:rsidP="00D05987">
                  <w:pPr>
                    <w:rPr>
                      <w:i/>
                    </w:rPr>
                  </w:pPr>
                  <w:r w:rsidRPr="00C91452">
                    <w:rPr>
                      <w:i/>
                    </w:rPr>
                    <w:t>Charcoal</w:t>
                  </w:r>
                  <w:r>
                    <w:rPr>
                      <w:i/>
                    </w:rPr>
                    <w:t xml:space="preserve"> Producing Plants</w:t>
                  </w:r>
                </w:p>
              </w:tc>
              <w:tc>
                <w:tcPr>
                  <w:tcW w:w="2701" w:type="dxa"/>
                </w:tcPr>
                <w:p w:rsidR="00D05987" w:rsidRPr="00C91452" w:rsidRDefault="00D05987" w:rsidP="00D05987">
                  <w:pPr>
                    <w:jc w:val="center"/>
                    <w:rPr>
                      <w:i/>
                    </w:rPr>
                  </w:pPr>
                  <w:r>
                    <w:rPr>
                      <w:i/>
                    </w:rPr>
                    <w:t>340-240-0170</w:t>
                  </w:r>
                </w:p>
              </w:tc>
              <w:tc>
                <w:tcPr>
                  <w:tcW w:w="1311" w:type="dxa"/>
                </w:tcPr>
                <w:p w:rsidR="00D05987" w:rsidRPr="00C91452" w:rsidRDefault="00D05987" w:rsidP="00D05987">
                  <w:pPr>
                    <w:jc w:val="center"/>
                    <w:rPr>
                      <w:i/>
                    </w:rPr>
                  </w:pPr>
                  <w:r w:rsidRPr="00C91452">
                    <w:rPr>
                      <w:i/>
                    </w:rPr>
                    <w:t>1978</w:t>
                  </w:r>
                </w:p>
              </w:tc>
            </w:tr>
          </w:tbl>
          <w:p w:rsidR="00D05987" w:rsidRDefault="00D05987" w:rsidP="00D05987">
            <w:pPr>
              <w:spacing w:after="120"/>
              <w:rPr>
                <w:i/>
              </w:rPr>
            </w:pPr>
          </w:p>
          <w:p w:rsidR="00D05987" w:rsidRDefault="00D05987" w:rsidP="00D05987">
            <w:pPr>
              <w:spacing w:after="12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w:t>
            </w:r>
            <w:proofErr w:type="gramStart"/>
            <w:r>
              <w:rPr>
                <w:i/>
              </w:rPr>
              <w:t>Limits</w:t>
            </w:r>
            <w:r w:rsidR="0043381D">
              <w:rPr>
                <w:i/>
              </w:rPr>
              <w:t>,</w:t>
            </w:r>
            <w:proofErr w:type="gramEnd"/>
            <w:r>
              <w:rPr>
                <w:i/>
              </w:rPr>
              <w:t xml:space="preserve">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rsidR="00D05987" w:rsidRPr="003D362E" w:rsidRDefault="00D05987" w:rsidP="00D05987">
            <w:pPr>
              <w:spacing w:after="120"/>
              <w:rPr>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trPr>
              <w:tc>
                <w:tcPr>
                  <w:tcW w:w="8068" w:type="dxa"/>
                  <w:gridSpan w:val="3"/>
                </w:tcPr>
                <w:p w:rsidR="00D05987" w:rsidRPr="003C5FF8" w:rsidRDefault="00D05987" w:rsidP="00D05987">
                  <w:pPr>
                    <w:jc w:val="center"/>
                    <w:rPr>
                      <w:b/>
                      <w:i/>
                    </w:rPr>
                  </w:pPr>
                  <w:r>
                    <w:rPr>
                      <w:b/>
                      <w:i/>
                    </w:rPr>
                    <w:t>Applicability</w:t>
                  </w:r>
                  <w:r w:rsidRPr="003C5FF8">
                    <w:rPr>
                      <w:b/>
                      <w:i/>
                    </w:rPr>
                    <w:t xml:space="preserve"> of New Source Review/Prevention of Significant Deterioration to Industrial Categories of Proposed Repealed Rules</w:t>
                  </w:r>
                </w:p>
              </w:tc>
            </w:tr>
            <w:tr w:rsidR="00D05987" w:rsidRPr="003C5FF8" w:rsidTr="000D4B5F">
              <w:trPr>
                <w:tblHeader/>
                <w:jc w:val="center"/>
              </w:trPr>
              <w:tc>
                <w:tcPr>
                  <w:tcW w:w="2504" w:type="dxa"/>
                  <w:vAlign w:val="center"/>
                </w:tcPr>
                <w:p w:rsidR="00D05987" w:rsidRPr="003C5FF8" w:rsidRDefault="00D05987" w:rsidP="00D05987">
                  <w:pPr>
                    <w:jc w:val="center"/>
                    <w:rPr>
                      <w:b/>
                      <w:i/>
                    </w:rPr>
                  </w:pPr>
                  <w:r w:rsidRPr="003C5FF8">
                    <w:rPr>
                      <w:b/>
                      <w:i/>
                    </w:rPr>
                    <w:t>Source</w:t>
                  </w:r>
                </w:p>
              </w:tc>
              <w:tc>
                <w:tcPr>
                  <w:tcW w:w="2880" w:type="dxa"/>
                  <w:vAlign w:val="center"/>
                </w:tcPr>
                <w:p w:rsidR="00D05987" w:rsidRPr="003C5FF8" w:rsidRDefault="00D05987" w:rsidP="00D05987">
                  <w:pPr>
                    <w:jc w:val="center"/>
                    <w:rPr>
                      <w:b/>
                      <w:i/>
                    </w:rPr>
                  </w:pPr>
                  <w:r w:rsidRPr="003C5FF8">
                    <w:rPr>
                      <w:b/>
                      <w:i/>
                    </w:rPr>
                    <w:t>Emissions</w:t>
                  </w:r>
                </w:p>
              </w:tc>
              <w:tc>
                <w:tcPr>
                  <w:tcW w:w="2684" w:type="dxa"/>
                </w:tcPr>
                <w:p w:rsidR="00D05987" w:rsidRPr="003C5FF8" w:rsidRDefault="00D05987" w:rsidP="00D05987">
                  <w:pPr>
                    <w:jc w:val="center"/>
                    <w:rPr>
                      <w:b/>
                      <w:i/>
                    </w:rPr>
                  </w:pPr>
                  <w:r w:rsidRPr="003C5FF8">
                    <w:rPr>
                      <w:b/>
                      <w:i/>
                    </w:rPr>
                    <w:t>Major Source Threshold</w:t>
                  </w:r>
                </w:p>
              </w:tc>
            </w:tr>
            <w:tr w:rsidR="00D05987" w:rsidRPr="003C5FF8" w:rsidTr="000D4B5F">
              <w:trPr>
                <w:jc w:val="center"/>
              </w:trPr>
              <w:tc>
                <w:tcPr>
                  <w:tcW w:w="2504" w:type="dxa"/>
                </w:tcPr>
                <w:p w:rsidR="00D05987" w:rsidRPr="003C5FF8" w:rsidRDefault="00D05987" w:rsidP="00D05987">
                  <w:pPr>
                    <w:rPr>
                      <w:i/>
                    </w:rPr>
                  </w:pPr>
                  <w:r w:rsidRPr="003C5FF8">
                    <w:rPr>
                      <w:i/>
                    </w:rPr>
                    <w:t>Reynolds Metals</w:t>
                  </w:r>
                </w:p>
              </w:tc>
              <w:tc>
                <w:tcPr>
                  <w:tcW w:w="2880" w:type="dxa"/>
                </w:tcPr>
                <w:p w:rsidR="00D05987" w:rsidRPr="003C5FF8" w:rsidRDefault="00D05987" w:rsidP="00D05987">
                  <w:pPr>
                    <w:rPr>
                      <w:i/>
                    </w:rPr>
                  </w:pPr>
                  <w:r w:rsidRPr="003C5FF8">
                    <w:rPr>
                      <w:i/>
                    </w:rPr>
                    <w:t>CO –  13,138 tpy</w:t>
                  </w:r>
                </w:p>
                <w:p w:rsidR="00D05987" w:rsidRPr="003C5FF8" w:rsidRDefault="00D05987" w:rsidP="00D05987">
                  <w:pPr>
                    <w:rPr>
                      <w:i/>
                    </w:rPr>
                  </w:pPr>
                  <w:r w:rsidRPr="003C5FF8">
                    <w:rPr>
                      <w:i/>
                    </w:rPr>
                    <w:t>NOx -  59 tpy</w:t>
                  </w:r>
                </w:p>
                <w:p w:rsidR="00D05987" w:rsidRPr="003C5FF8" w:rsidRDefault="00D05987" w:rsidP="00D05987">
                  <w:pPr>
                    <w:rPr>
                      <w:i/>
                    </w:rPr>
                  </w:pPr>
                  <w:r w:rsidRPr="003C5FF8">
                    <w:rPr>
                      <w:i/>
                    </w:rPr>
                    <w:t>PM –  956 tpy</w:t>
                  </w:r>
                </w:p>
                <w:p w:rsidR="00D05987" w:rsidRPr="003C5FF8" w:rsidRDefault="00D05987" w:rsidP="00D05987">
                  <w:pPr>
                    <w:rPr>
                      <w:i/>
                    </w:rPr>
                  </w:pPr>
                  <w:r w:rsidRPr="003C5FF8">
                    <w:rPr>
                      <w:i/>
                    </w:rPr>
                    <w:t>PM10 –  956 tpy</w:t>
                  </w:r>
                </w:p>
                <w:p w:rsidR="00D05987" w:rsidRPr="003C5FF8" w:rsidRDefault="00D05987" w:rsidP="00D05987">
                  <w:pPr>
                    <w:rPr>
                      <w:i/>
                    </w:rPr>
                  </w:pPr>
                  <w:r w:rsidRPr="003C5FF8">
                    <w:rPr>
                      <w:i/>
                    </w:rPr>
                    <w:t>SO2 – 4,701 tpy</w:t>
                  </w:r>
                </w:p>
                <w:p w:rsidR="00D05987" w:rsidRPr="003C5FF8" w:rsidRDefault="00D05987" w:rsidP="00D05987">
                  <w:pPr>
                    <w:rPr>
                      <w:i/>
                    </w:rPr>
                  </w:pPr>
                  <w:r w:rsidRPr="003C5FF8">
                    <w:rPr>
                      <w:i/>
                    </w:rPr>
                    <w:t xml:space="preserve">VOC -  86 tpy </w:t>
                  </w:r>
                </w:p>
                <w:p w:rsidR="00D05987" w:rsidRPr="003C5FF8" w:rsidRDefault="00D05987" w:rsidP="00D05987">
                  <w:pPr>
                    <w:rPr>
                      <w:i/>
                    </w:rPr>
                  </w:pPr>
                  <w:r w:rsidRPr="003C5FF8">
                    <w:rPr>
                      <w:i/>
                    </w:rPr>
                    <w:t>F – 171 tpy</w:t>
                  </w:r>
                </w:p>
                <w:p w:rsidR="00D05987" w:rsidRPr="003C5FF8" w:rsidRDefault="00D05987" w:rsidP="00D05987">
                  <w:pPr>
                    <w:rPr>
                      <w:i/>
                    </w:rPr>
                  </w:pPr>
                  <w:r w:rsidRPr="003C5FF8">
                    <w:rPr>
                      <w:i/>
                    </w:rPr>
                    <w:t>HAPs – 1,796</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Northwest Aluminum</w:t>
                  </w:r>
                </w:p>
              </w:tc>
              <w:tc>
                <w:tcPr>
                  <w:tcW w:w="2880" w:type="dxa"/>
                </w:tcPr>
                <w:p w:rsidR="00D05987" w:rsidRPr="003C5FF8" w:rsidRDefault="00D05987" w:rsidP="00D05987">
                  <w:pPr>
                    <w:rPr>
                      <w:i/>
                    </w:rPr>
                  </w:pPr>
                  <w:r w:rsidRPr="003C5FF8">
                    <w:rPr>
                      <w:i/>
                    </w:rPr>
                    <w:t>CO –  15,414 tpy</w:t>
                  </w:r>
                </w:p>
                <w:p w:rsidR="00D05987" w:rsidRPr="003C5FF8" w:rsidRDefault="00D05987" w:rsidP="00D05987">
                  <w:pPr>
                    <w:rPr>
                      <w:i/>
                    </w:rPr>
                  </w:pPr>
                  <w:r w:rsidRPr="003C5FF8">
                    <w:rPr>
                      <w:i/>
                    </w:rPr>
                    <w:t>NOx -  63 tpy</w:t>
                  </w:r>
                </w:p>
                <w:p w:rsidR="00D05987" w:rsidRPr="003C5FF8" w:rsidRDefault="00D05987" w:rsidP="00D05987">
                  <w:pPr>
                    <w:rPr>
                      <w:i/>
                    </w:rPr>
                  </w:pPr>
                  <w:r w:rsidRPr="003C5FF8">
                    <w:rPr>
                      <w:i/>
                    </w:rPr>
                    <w:t>PM –  421 tpy</w:t>
                  </w:r>
                </w:p>
                <w:p w:rsidR="00D05987" w:rsidRPr="003C5FF8" w:rsidRDefault="00D05987" w:rsidP="00D05987">
                  <w:pPr>
                    <w:rPr>
                      <w:i/>
                    </w:rPr>
                  </w:pPr>
                  <w:r w:rsidRPr="003C5FF8">
                    <w:rPr>
                      <w:i/>
                    </w:rPr>
                    <w:t>PM10 –  421 tpy</w:t>
                  </w:r>
                </w:p>
                <w:p w:rsidR="00D05987" w:rsidRPr="003C5FF8" w:rsidRDefault="00D05987" w:rsidP="00D05987">
                  <w:pPr>
                    <w:rPr>
                      <w:i/>
                    </w:rPr>
                  </w:pPr>
                  <w:r w:rsidRPr="003C5FF8">
                    <w:rPr>
                      <w:i/>
                    </w:rPr>
                    <w:t>SO2 - 484 tpy</w:t>
                  </w:r>
                </w:p>
                <w:p w:rsidR="00D05987" w:rsidRPr="003C5FF8" w:rsidRDefault="00D05987" w:rsidP="00D05987">
                  <w:pPr>
                    <w:rPr>
                      <w:i/>
                    </w:rPr>
                  </w:pPr>
                  <w:r w:rsidRPr="003C5FF8">
                    <w:rPr>
                      <w:i/>
                    </w:rPr>
                    <w:t xml:space="preserve">VOC -  209 tpy </w:t>
                  </w:r>
                </w:p>
                <w:p w:rsidR="00D05987" w:rsidRPr="003C5FF8" w:rsidRDefault="00D05987" w:rsidP="00D05987">
                  <w:pPr>
                    <w:rPr>
                      <w:i/>
                    </w:rPr>
                  </w:pPr>
                  <w:r w:rsidRPr="003C5FF8">
                    <w:rPr>
                      <w:i/>
                    </w:rPr>
                    <w:t>F – 51 tpy</w:t>
                  </w:r>
                </w:p>
                <w:p w:rsidR="00D05987" w:rsidRPr="003C5FF8" w:rsidRDefault="00D05987" w:rsidP="00D05987">
                  <w:pPr>
                    <w:rPr>
                      <w:i/>
                    </w:rPr>
                  </w:pPr>
                  <w:r w:rsidRPr="003C5FF8">
                    <w:rPr>
                      <w:i/>
                    </w:rPr>
                    <w:t>HAPs – 490 tpy</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Weyerhaeuser North Bend</w:t>
                  </w:r>
                </w:p>
              </w:tc>
              <w:tc>
                <w:tcPr>
                  <w:tcW w:w="2880" w:type="dxa"/>
                </w:tcPr>
                <w:p w:rsidR="00D05987" w:rsidRPr="003C5FF8" w:rsidRDefault="00D05987" w:rsidP="00D05987">
                  <w:pPr>
                    <w:rPr>
                      <w:i/>
                    </w:rPr>
                  </w:pPr>
                  <w:r w:rsidRPr="003C5FF8">
                    <w:rPr>
                      <w:i/>
                    </w:rPr>
                    <w:t>CO –  1,282 tpy</w:t>
                  </w:r>
                </w:p>
                <w:p w:rsidR="00D05987" w:rsidRPr="003C5FF8" w:rsidRDefault="00D05987" w:rsidP="00D05987">
                  <w:pPr>
                    <w:rPr>
                      <w:i/>
                    </w:rPr>
                  </w:pPr>
                  <w:r w:rsidRPr="003C5FF8">
                    <w:rPr>
                      <w:i/>
                    </w:rPr>
                    <w:t>NOx -  287 tpy</w:t>
                  </w:r>
                </w:p>
                <w:p w:rsidR="00D05987" w:rsidRPr="003C5FF8" w:rsidRDefault="00D05987" w:rsidP="00D05987">
                  <w:pPr>
                    <w:rPr>
                      <w:i/>
                    </w:rPr>
                  </w:pPr>
                  <w:r w:rsidRPr="003C5FF8">
                    <w:rPr>
                      <w:i/>
                    </w:rPr>
                    <w:t>PM –  550 tpy</w:t>
                  </w:r>
                </w:p>
                <w:p w:rsidR="00D05987" w:rsidRPr="003C5FF8" w:rsidRDefault="00D05987" w:rsidP="00D05987">
                  <w:pPr>
                    <w:rPr>
                      <w:i/>
                    </w:rPr>
                  </w:pPr>
                  <w:r w:rsidRPr="003C5FF8">
                    <w:rPr>
                      <w:i/>
                    </w:rPr>
                    <w:t>PM10 –  550 tpy</w:t>
                  </w:r>
                </w:p>
                <w:p w:rsidR="00D05987" w:rsidRPr="003C5FF8" w:rsidRDefault="00D05987" w:rsidP="00D05987">
                  <w:pPr>
                    <w:rPr>
                      <w:i/>
                    </w:rPr>
                  </w:pPr>
                  <w:r w:rsidRPr="003C5FF8">
                    <w:rPr>
                      <w:i/>
                    </w:rPr>
                    <w:t>SO2 - 173 tpy</w:t>
                  </w:r>
                </w:p>
                <w:p w:rsidR="00D05987" w:rsidRPr="003C5FF8" w:rsidRDefault="00D05987" w:rsidP="00D05987">
                  <w:pPr>
                    <w:rPr>
                      <w:i/>
                    </w:rPr>
                  </w:pPr>
                  <w:r w:rsidRPr="003C5FF8">
                    <w:rPr>
                      <w:i/>
                    </w:rPr>
                    <w:t>VOC -  297 tpy</w:t>
                  </w:r>
                </w:p>
                <w:p w:rsidR="00D05987" w:rsidRPr="003C5FF8" w:rsidRDefault="00D05987" w:rsidP="00D05987">
                  <w:pPr>
                    <w:rPr>
                      <w:i/>
                    </w:rPr>
                  </w:pPr>
                  <w:r w:rsidRPr="003C5FF8">
                    <w:rPr>
                      <w:i/>
                    </w:rPr>
                    <w:t>HAPs – 143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Glenbrook Nickel</w:t>
                  </w:r>
                </w:p>
              </w:tc>
              <w:tc>
                <w:tcPr>
                  <w:tcW w:w="2880" w:type="dxa"/>
                </w:tcPr>
                <w:p w:rsidR="00D05987" w:rsidRPr="003C5FF8" w:rsidRDefault="00D05987" w:rsidP="00D05987">
                  <w:pPr>
                    <w:rPr>
                      <w:i/>
                    </w:rPr>
                  </w:pPr>
                  <w:r w:rsidRPr="003C5FF8">
                    <w:rPr>
                      <w:i/>
                    </w:rPr>
                    <w:t>CO –  3,416 tpy</w:t>
                  </w:r>
                </w:p>
                <w:p w:rsidR="00D05987" w:rsidRPr="003C5FF8" w:rsidRDefault="00D05987" w:rsidP="00D05987">
                  <w:pPr>
                    <w:rPr>
                      <w:i/>
                    </w:rPr>
                  </w:pPr>
                  <w:r w:rsidRPr="003C5FF8">
                    <w:rPr>
                      <w:i/>
                    </w:rPr>
                    <w:t>NOx -  3,684 tpy</w:t>
                  </w:r>
                </w:p>
                <w:p w:rsidR="00D05987" w:rsidRPr="003C5FF8" w:rsidRDefault="00D05987" w:rsidP="00D05987">
                  <w:pPr>
                    <w:rPr>
                      <w:i/>
                    </w:rPr>
                  </w:pPr>
                  <w:r w:rsidRPr="003C5FF8">
                    <w:rPr>
                      <w:i/>
                    </w:rPr>
                    <w:t>PM –  1,574 tpy</w:t>
                  </w:r>
                </w:p>
                <w:p w:rsidR="00D05987" w:rsidRPr="003C5FF8" w:rsidRDefault="00D05987" w:rsidP="00D05987">
                  <w:pPr>
                    <w:rPr>
                      <w:i/>
                    </w:rPr>
                  </w:pPr>
                  <w:r w:rsidRPr="003C5FF8">
                    <w:rPr>
                      <w:i/>
                    </w:rPr>
                    <w:t>PM10 –  1,574 tpy</w:t>
                  </w:r>
                </w:p>
                <w:p w:rsidR="00D05987" w:rsidRPr="003C5FF8" w:rsidRDefault="00D05987" w:rsidP="00D05987">
                  <w:pPr>
                    <w:rPr>
                      <w:i/>
                    </w:rPr>
                  </w:pPr>
                  <w:r w:rsidRPr="003C5FF8">
                    <w:rPr>
                      <w:i/>
                    </w:rPr>
                    <w:t>SO2 - 534 tpy</w:t>
                  </w:r>
                </w:p>
                <w:p w:rsidR="00D05987" w:rsidRPr="003C5FF8" w:rsidRDefault="00D05987" w:rsidP="00D05987">
                  <w:pPr>
                    <w:rPr>
                      <w:i/>
                    </w:rPr>
                  </w:pPr>
                  <w:r w:rsidRPr="003C5FF8">
                    <w:rPr>
                      <w:i/>
                    </w:rPr>
                    <w:t>VOC -  165 tpy</w:t>
                  </w:r>
                </w:p>
                <w:p w:rsidR="00D05987" w:rsidRPr="003C5FF8" w:rsidRDefault="00D05987" w:rsidP="00D05987">
                  <w:pPr>
                    <w:rPr>
                      <w:i/>
                    </w:rPr>
                  </w:pPr>
                  <w:r w:rsidRPr="003C5FF8">
                    <w:rPr>
                      <w:i/>
                    </w:rPr>
                    <w:t>HAPs – 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Royal Oak</w:t>
                  </w:r>
                </w:p>
              </w:tc>
              <w:tc>
                <w:tcPr>
                  <w:tcW w:w="2880" w:type="dxa"/>
                </w:tcPr>
                <w:p w:rsidR="00D05987" w:rsidRPr="003C5FF8" w:rsidRDefault="00D05987" w:rsidP="00D05987">
                  <w:pPr>
                    <w:rPr>
                      <w:i/>
                    </w:rPr>
                  </w:pPr>
                  <w:r w:rsidRPr="003C5FF8">
                    <w:rPr>
                      <w:i/>
                    </w:rPr>
                    <w:t>CO – 27 tpy</w:t>
                  </w:r>
                </w:p>
                <w:p w:rsidR="00D05987" w:rsidRPr="003C5FF8" w:rsidRDefault="00D05987" w:rsidP="00D05987">
                  <w:pPr>
                    <w:rPr>
                      <w:i/>
                    </w:rPr>
                  </w:pPr>
                  <w:r w:rsidRPr="003C5FF8">
                    <w:rPr>
                      <w:i/>
                    </w:rPr>
                    <w:t>NOx - 182 tpy</w:t>
                  </w:r>
                </w:p>
                <w:p w:rsidR="00D05987" w:rsidRPr="003C5FF8" w:rsidRDefault="00D05987" w:rsidP="00D05987">
                  <w:pPr>
                    <w:rPr>
                      <w:i/>
                    </w:rPr>
                  </w:pPr>
                  <w:r w:rsidRPr="003C5FF8">
                    <w:rPr>
                      <w:i/>
                    </w:rPr>
                    <w:t>PM – 185 tpy</w:t>
                  </w:r>
                </w:p>
                <w:p w:rsidR="00D05987" w:rsidRPr="003C5FF8" w:rsidRDefault="00D05987" w:rsidP="00D05987">
                  <w:pPr>
                    <w:rPr>
                      <w:i/>
                    </w:rPr>
                  </w:pPr>
                  <w:r w:rsidRPr="003C5FF8">
                    <w:rPr>
                      <w:i/>
                    </w:rPr>
                    <w:t>PM10 – 185 tpy</w:t>
                  </w:r>
                </w:p>
                <w:p w:rsidR="00D05987" w:rsidRPr="003C5FF8" w:rsidRDefault="00D05987" w:rsidP="00D05987">
                  <w:pPr>
                    <w:rPr>
                      <w:i/>
                    </w:rPr>
                  </w:pPr>
                  <w:r w:rsidRPr="003C5FF8">
                    <w:rPr>
                      <w:i/>
                    </w:rPr>
                    <w:t>SO2 - NA</w:t>
                  </w:r>
                </w:p>
                <w:p w:rsidR="00D05987" w:rsidRPr="003C5FF8" w:rsidRDefault="00D05987" w:rsidP="00D05987">
                  <w:pPr>
                    <w:rPr>
                      <w:i/>
                    </w:rPr>
                  </w:pPr>
                  <w:r w:rsidRPr="003C5FF8">
                    <w:rPr>
                      <w:i/>
                    </w:rPr>
                    <w:t>VOC – 38 tpy</w:t>
                  </w:r>
                </w:p>
                <w:p w:rsidR="00D05987" w:rsidRPr="003C5FF8" w:rsidRDefault="00D05987" w:rsidP="00D05987">
                  <w:pPr>
                    <w:rPr>
                      <w:i/>
                    </w:rPr>
                  </w:pPr>
                  <w:r w:rsidRPr="003C5FF8">
                    <w:rPr>
                      <w:i/>
                    </w:rPr>
                    <w:t>HAPs - &lt; 25 tpy</w:t>
                  </w:r>
                </w:p>
              </w:tc>
              <w:tc>
                <w:tcPr>
                  <w:tcW w:w="2684" w:type="dxa"/>
                </w:tcPr>
                <w:p w:rsidR="00D05987" w:rsidRPr="003C5FF8" w:rsidRDefault="00D05987" w:rsidP="00D05987">
                  <w:pPr>
                    <w:rPr>
                      <w:i/>
                    </w:rPr>
                  </w:pPr>
                  <w:r>
                    <w:rPr>
                      <w:i/>
                    </w:rPr>
                    <w:t>10</w:t>
                  </w:r>
                  <w:r w:rsidRPr="003C5FF8">
                    <w:rPr>
                      <w:i/>
                    </w:rPr>
                    <w:t>0 tpy of any regulated pollutant</w:t>
                  </w:r>
                </w:p>
              </w:tc>
            </w:tr>
          </w:tbl>
          <w:p w:rsidR="00D05987" w:rsidRPr="003C5FF8" w:rsidRDefault="00D05987" w:rsidP="00D05987">
            <w:pPr>
              <w:rPr>
                <w:i/>
              </w:rPr>
            </w:pPr>
          </w:p>
          <w:p w:rsidR="00D05987" w:rsidRPr="003C5FF8" w:rsidRDefault="00D05987" w:rsidP="00D05987">
            <w:pPr>
              <w:spacing w:after="120"/>
              <w:rPr>
                <w:i/>
              </w:rPr>
            </w:pPr>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p>
          <w:p w:rsidR="00D05987" w:rsidRPr="003C5FF8" w:rsidRDefault="00D05987" w:rsidP="00D05987">
            <w:pPr>
              <w:numPr>
                <w:ilvl w:val="0"/>
                <w:numId w:val="24"/>
              </w:numPr>
              <w:spacing w:after="120"/>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rsidR="00D05987" w:rsidRPr="003C5FF8" w:rsidRDefault="00D05987" w:rsidP="00D05987">
            <w:pPr>
              <w:numPr>
                <w:ilvl w:val="0"/>
                <w:numId w:val="24"/>
              </w:numPr>
              <w:spacing w:after="120"/>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D05987" w:rsidRPr="003C5FF8" w:rsidRDefault="00D05987" w:rsidP="00D05987">
            <w:pPr>
              <w:spacing w:after="12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rsidR="00D05987" w:rsidRPr="003C5FF8" w:rsidRDefault="00D05987" w:rsidP="00D05987">
            <w:pPr>
              <w:numPr>
                <w:ilvl w:val="0"/>
                <w:numId w:val="25"/>
              </w:numPr>
              <w:spacing w:after="120"/>
              <w:rPr>
                <w:i/>
              </w:rPr>
            </w:pPr>
            <w:r>
              <w:rPr>
                <w:i/>
              </w:rPr>
              <w:t>T</w:t>
            </w:r>
            <w:r w:rsidRPr="003C5FF8">
              <w:rPr>
                <w:i/>
              </w:rPr>
              <w:t>he most stringent emission limitation contained in the implementation plan of any State for such class or category of source; or</w:t>
            </w:r>
          </w:p>
          <w:p w:rsidR="00D05987" w:rsidRPr="003C5FF8" w:rsidRDefault="00D05987" w:rsidP="00D05987">
            <w:pPr>
              <w:numPr>
                <w:ilvl w:val="0"/>
                <w:numId w:val="25"/>
              </w:numPr>
              <w:spacing w:after="120"/>
              <w:rPr>
                <w:i/>
              </w:rPr>
            </w:pPr>
            <w:r>
              <w:rPr>
                <w:i/>
              </w:rPr>
              <w:t>T</w:t>
            </w:r>
            <w:r w:rsidRPr="003C5FF8">
              <w:rPr>
                <w:i/>
              </w:rPr>
              <w:t>he most stringent emission limitation achieved in practice by such class or category of source.</w:t>
            </w:r>
          </w:p>
          <w:p w:rsidR="00D05987" w:rsidRPr="003C5FF8" w:rsidRDefault="00D05987" w:rsidP="00D05987">
            <w:pPr>
              <w:spacing w:after="12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rsidR="00D05987" w:rsidRDefault="00D05987" w:rsidP="00D05987">
            <w:pPr>
              <w:spacing w:after="12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rsidR="00D05987" w:rsidRDefault="00D05987" w:rsidP="00D05987">
            <w:pPr>
              <w:rPr>
                <w:i/>
              </w:rPr>
            </w:pPr>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rsidR="00D05987" w:rsidRDefault="00D05987" w:rsidP="00D05987">
            <w:pPr>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trPr>
              <w:tc>
                <w:tcPr>
                  <w:tcW w:w="310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br w:type="page"/>
                    <w:t>NSSC OAR</w:t>
                  </w:r>
                </w:p>
              </w:tc>
              <w:tc>
                <w:tcPr>
                  <w:tcW w:w="319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t>CFR – NSPS Subpart BBa</w:t>
                  </w:r>
                </w:p>
              </w:tc>
              <w:tc>
                <w:tcPr>
                  <w:tcW w:w="3150" w:type="dxa"/>
                  <w:gridSpan w:val="2"/>
                  <w:vAlign w:val="center"/>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0C0AE5">
              <w:trPr>
                <w:tblHeader/>
              </w:trPr>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30"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620"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575" w:type="dxa"/>
                  <w:vAlign w:val="center"/>
                </w:tcPr>
                <w:p w:rsidR="00D05987" w:rsidRPr="002416C4" w:rsidRDefault="00264B10" w:rsidP="00D05987">
                  <w:pPr>
                    <w:jc w:val="center"/>
                    <w:rPr>
                      <w:b/>
                      <w:i/>
                      <w:sz w:val="22"/>
                      <w:szCs w:val="22"/>
                    </w:rPr>
                  </w:pPr>
                  <w:r w:rsidRPr="00264B10">
                    <w:rPr>
                      <w:b/>
                      <w:i/>
                      <w:sz w:val="22"/>
                      <w:szCs w:val="22"/>
                    </w:rPr>
                    <w:t>SOURCE</w:t>
                  </w:r>
                </w:p>
              </w:tc>
              <w:tc>
                <w:tcPr>
                  <w:tcW w:w="1575" w:type="dxa"/>
                  <w:vAlign w:val="center"/>
                </w:tcPr>
                <w:p w:rsidR="00D05987" w:rsidRPr="002416C4" w:rsidRDefault="00264B10" w:rsidP="00D05987">
                  <w:pPr>
                    <w:jc w:val="center"/>
                    <w:rPr>
                      <w:b/>
                      <w:i/>
                      <w:sz w:val="22"/>
                      <w:szCs w:val="22"/>
                    </w:rPr>
                  </w:pPr>
                  <w:r w:rsidRPr="00264B10">
                    <w:rPr>
                      <w:b/>
                      <w:i/>
                      <w:sz w:val="22"/>
                      <w:szCs w:val="22"/>
                    </w:rPr>
                    <w:t>LIMIT</w:t>
                  </w:r>
                </w:p>
              </w:tc>
            </w:tr>
            <w:tr w:rsidR="00D05987" w:rsidRPr="002416C4" w:rsidTr="000C0AE5">
              <w:trPr>
                <w:trHeight w:val="53"/>
              </w:trPr>
              <w:tc>
                <w:tcPr>
                  <w:tcW w:w="1575" w:type="dxa"/>
                  <w:shd w:val="clear" w:color="auto" w:fill="auto"/>
                </w:tcPr>
                <w:p w:rsidR="00D05987" w:rsidRPr="002416C4" w:rsidRDefault="00264B10" w:rsidP="00D05987">
                  <w:pPr>
                    <w:spacing w:after="120"/>
                    <w:rPr>
                      <w:b/>
                      <w:bCs/>
                      <w:i/>
                      <w:sz w:val="22"/>
                      <w:szCs w:val="22"/>
                    </w:rPr>
                  </w:pPr>
                  <w:r w:rsidRPr="00264B10">
                    <w:rPr>
                      <w:b/>
                      <w:bCs/>
                      <w:i/>
                      <w:sz w:val="22"/>
                      <w:szCs w:val="22"/>
                    </w:rPr>
                    <w:t xml:space="preserve">Neutral Sulfite Semi-Chemical Pulp Mills </w:t>
                  </w:r>
                </w:p>
                <w:p w:rsidR="00D05987" w:rsidRPr="002416C4" w:rsidRDefault="00264B10" w:rsidP="00D05987">
                  <w:pPr>
                    <w:spacing w:after="120"/>
                    <w:rPr>
                      <w:i/>
                      <w:sz w:val="22"/>
                      <w:szCs w:val="22"/>
                    </w:rPr>
                  </w:pPr>
                  <w:r w:rsidRPr="00264B10">
                    <w:rPr>
                      <w:b/>
                      <w:bCs/>
                      <w:i/>
                      <w:sz w:val="22"/>
                      <w:szCs w:val="22"/>
                    </w:rPr>
                    <w:t>OAR 340-234-0300</w:t>
                  </w:r>
                  <w:r w:rsidRPr="00264B10">
                    <w:rPr>
                      <w:i/>
                      <w:sz w:val="22"/>
                      <w:szCs w:val="22"/>
                    </w:rPr>
                    <w:t xml:space="preserve"> </w:t>
                  </w:r>
                </w:p>
                <w:p w:rsidR="00D05987" w:rsidRPr="002416C4" w:rsidRDefault="00264B10" w:rsidP="00D05987">
                  <w:pPr>
                    <w:spacing w:after="120"/>
                    <w:rPr>
                      <w:i/>
                      <w:sz w:val="22"/>
                      <w:szCs w:val="22"/>
                    </w:rPr>
                  </w:pPr>
                  <w:r w:rsidRPr="00264B10">
                    <w:rPr>
                      <w:i/>
                      <w:sz w:val="22"/>
                      <w:szCs w:val="22"/>
                    </w:rPr>
                    <w:t>Existing and new sources</w:t>
                  </w:r>
                </w:p>
                <w:p w:rsidR="00D05987" w:rsidRPr="002416C4" w:rsidRDefault="00264B10" w:rsidP="00D05987">
                  <w:pPr>
                    <w:spacing w:after="120"/>
                    <w:rPr>
                      <w:i/>
                      <w:sz w:val="22"/>
                      <w:szCs w:val="22"/>
                    </w:rPr>
                  </w:pPr>
                  <w:r w:rsidRPr="00264B10">
                    <w:rPr>
                      <w:i/>
                      <w:sz w:val="22"/>
                      <w:szCs w:val="22"/>
                    </w:rPr>
                    <w:t xml:space="preserve">Spent Liquor Incinerator </w:t>
                  </w:r>
                </w:p>
                <w:p w:rsidR="00D05987" w:rsidRPr="002416C4" w:rsidRDefault="00D05987" w:rsidP="00D05987">
                  <w:pPr>
                    <w:spacing w:after="120"/>
                    <w:rPr>
                      <w:b/>
                      <w:bCs/>
                      <w:i/>
                      <w:sz w:val="22"/>
                      <w:szCs w:val="22"/>
                    </w:rPr>
                  </w:pPr>
                </w:p>
              </w:tc>
              <w:tc>
                <w:tcPr>
                  <w:tcW w:w="1530" w:type="dxa"/>
                  <w:shd w:val="clear" w:color="auto" w:fill="auto"/>
                </w:tcPr>
                <w:p w:rsidR="00D05987" w:rsidRPr="002416C4" w:rsidRDefault="00264B10" w:rsidP="00D05987">
                  <w:pPr>
                    <w:spacing w:after="120"/>
                    <w:rPr>
                      <w:i/>
                      <w:sz w:val="22"/>
                      <w:szCs w:val="22"/>
                    </w:rPr>
                  </w:pPr>
                  <w:r w:rsidRPr="00264B10">
                    <w:rPr>
                      <w:i/>
                      <w:sz w:val="22"/>
                      <w:szCs w:val="22"/>
                    </w:rPr>
                    <w:t>Particulate matter 7.2 lbs/ton black liquor solids as a daily arithmetic average</w:t>
                  </w:r>
                </w:p>
                <w:p w:rsidR="00D05987" w:rsidRPr="002416C4" w:rsidRDefault="00264B10" w:rsidP="00D05987">
                  <w:pPr>
                    <w:spacing w:after="120"/>
                    <w:rPr>
                      <w:i/>
                      <w:sz w:val="22"/>
                      <w:szCs w:val="22"/>
                    </w:rPr>
                  </w:pPr>
                  <w:r w:rsidRPr="00264B10">
                    <w:rPr>
                      <w:i/>
                      <w:sz w:val="22"/>
                      <w:szCs w:val="22"/>
                    </w:rPr>
                    <w:t>35 % opacity</w:t>
                  </w:r>
                </w:p>
                <w:p w:rsidR="00D05987" w:rsidRPr="002416C4" w:rsidRDefault="00264B10" w:rsidP="00D05987">
                  <w:pPr>
                    <w:spacing w:after="120"/>
                    <w:rPr>
                      <w:i/>
                      <w:sz w:val="22"/>
                      <w:szCs w:val="22"/>
                    </w:rPr>
                  </w:pPr>
                  <w:r w:rsidRPr="00264B10">
                    <w:rPr>
                      <w:i/>
                      <w:sz w:val="22"/>
                      <w:szCs w:val="22"/>
                    </w:rPr>
                    <w:t xml:space="preserve">SO2 10 ppm </w:t>
                  </w:r>
                </w:p>
                <w:p w:rsidR="00D05987" w:rsidRPr="002416C4" w:rsidRDefault="00264B10" w:rsidP="00D05987">
                  <w:pPr>
                    <w:spacing w:after="120"/>
                    <w:rPr>
                      <w:i/>
                      <w:sz w:val="22"/>
                      <w:szCs w:val="22"/>
                    </w:rPr>
                  </w:pPr>
                  <w:r w:rsidRPr="00264B10">
                    <w:rPr>
                      <w:i/>
                      <w:sz w:val="22"/>
                      <w:szCs w:val="22"/>
                    </w:rPr>
                    <w:t>TRS 10 ppm and 0.14 lb/ton black liquor solids</w:t>
                  </w:r>
                </w:p>
              </w:tc>
              <w:tc>
                <w:tcPr>
                  <w:tcW w:w="1620" w:type="dxa"/>
                  <w:shd w:val="clear" w:color="auto" w:fill="auto"/>
                </w:tcPr>
                <w:p w:rsidR="00D05987" w:rsidRPr="002416C4" w:rsidRDefault="00264B10" w:rsidP="00D05987">
                  <w:pPr>
                    <w:spacing w:after="120"/>
                    <w:rPr>
                      <w:bCs/>
                      <w:i/>
                      <w:sz w:val="22"/>
                      <w:szCs w:val="22"/>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rsidR="00D05987" w:rsidRPr="002416C4" w:rsidRDefault="00264B10" w:rsidP="00D05987">
                  <w:pPr>
                    <w:spacing w:after="120"/>
                    <w:rPr>
                      <w:i/>
                      <w:sz w:val="22"/>
                      <w:szCs w:val="22"/>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particulate matter 0.015 gr/dscf </w:t>
                  </w:r>
                </w:p>
                <w:p w:rsidR="00D05987" w:rsidRPr="002416C4" w:rsidRDefault="00264B10" w:rsidP="00D05987">
                  <w:pPr>
                    <w:spacing w:after="120"/>
                    <w:rPr>
                      <w:i/>
                      <w:sz w:val="22"/>
                      <w:szCs w:val="22"/>
                    </w:rPr>
                  </w:pPr>
                  <w:r w:rsidRPr="00264B10">
                    <w:rPr>
                      <w:i/>
                      <w:sz w:val="22"/>
                      <w:szCs w:val="22"/>
                    </w:rPr>
                    <w:t xml:space="preserve">straight kraft recovery furnace  TRS 5 ppm </w:t>
                  </w:r>
                </w:p>
                <w:p w:rsidR="00D05987" w:rsidRPr="002416C4" w:rsidRDefault="00264B10" w:rsidP="00D05987">
                  <w:pPr>
                    <w:spacing w:after="120"/>
                    <w:rPr>
                      <w:i/>
                      <w:sz w:val="22"/>
                      <w:szCs w:val="22"/>
                    </w:rPr>
                  </w:pPr>
                  <w:r w:rsidRPr="00264B10">
                    <w:rPr>
                      <w:i/>
                      <w:sz w:val="22"/>
                      <w:szCs w:val="22"/>
                    </w:rPr>
                    <w:t xml:space="preserve">cross recovery furnace TRS 25 ppm </w:t>
                  </w:r>
                </w:p>
                <w:p w:rsidR="00D05987" w:rsidRPr="002416C4" w:rsidRDefault="00264B10" w:rsidP="00D05987">
                  <w:pPr>
                    <w:spacing w:after="120"/>
                    <w:rPr>
                      <w:i/>
                      <w:sz w:val="22"/>
                      <w:szCs w:val="22"/>
                    </w:rPr>
                  </w:pPr>
                  <w:r w:rsidRPr="00264B10">
                    <w:rPr>
                      <w:i/>
                      <w:sz w:val="22"/>
                      <w:szCs w:val="22"/>
                    </w:rPr>
                    <w:t xml:space="preserve">20% opacity with ESP </w:t>
                  </w:r>
                </w:p>
              </w:tc>
              <w:tc>
                <w:tcPr>
                  <w:tcW w:w="1575" w:type="dxa"/>
                </w:tcPr>
                <w:p w:rsidR="00D05987" w:rsidRPr="002416C4" w:rsidRDefault="00264B10" w:rsidP="00D05987">
                  <w:pPr>
                    <w:spacing w:after="120"/>
                    <w:rPr>
                      <w:b/>
                      <w:bCs/>
                      <w:i/>
                      <w:sz w:val="22"/>
                      <w:szCs w:val="22"/>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rsidR="00D05987" w:rsidRPr="002416C4" w:rsidRDefault="00264B10" w:rsidP="00D05987">
                  <w:pPr>
                    <w:spacing w:after="120"/>
                    <w:rPr>
                      <w:i/>
                      <w:sz w:val="22"/>
                      <w:szCs w:val="22"/>
                    </w:rPr>
                  </w:pPr>
                  <w:r w:rsidRPr="00264B10">
                    <w:rPr>
                      <w:i/>
                      <w:sz w:val="22"/>
                      <w:szCs w:val="22"/>
                    </w:rPr>
                    <w:t>PM  0.020 gr/dscf</w:t>
                  </w: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 Acid Absorption Tower. </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SO2 emissions 20 ppm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All NSSC sources, except spent liquor incinerators</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20% opacity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bl>
          <w:p w:rsidR="00D05987" w:rsidRDefault="00D05987" w:rsidP="00D05987">
            <w:pPr>
              <w:rPr>
                <w:i/>
              </w:rPr>
            </w:pPr>
          </w:p>
          <w:p w:rsidR="00D05987" w:rsidRDefault="00D05987" w:rsidP="00D05987">
            <w:pPr>
              <w:spacing w:after="12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rsidR="00D05987" w:rsidRPr="00693C9A" w:rsidRDefault="00D05987" w:rsidP="00D05987">
            <w:pPr>
              <w:spacing w:after="12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rsidR="00D05987" w:rsidRPr="00693C9A" w:rsidRDefault="00D05987" w:rsidP="00D05987">
            <w:pPr>
              <w:pStyle w:val="ListParagraph"/>
              <w:numPr>
                <w:ilvl w:val="0"/>
                <w:numId w:val="26"/>
              </w:numPr>
              <w:spacing w:after="120"/>
              <w:rPr>
                <w:i/>
              </w:rPr>
            </w:pPr>
            <w:r w:rsidRPr="00693C9A">
              <w:rPr>
                <w:i/>
              </w:rPr>
              <w:t>The sulfur content of semi-chemical liquor is higher than traditional kraft liquor</w:t>
            </w:r>
            <w:r>
              <w:rPr>
                <w:i/>
              </w:rPr>
              <w:t>;</w:t>
            </w:r>
          </w:p>
          <w:p w:rsidR="00D05987" w:rsidRPr="00693C9A" w:rsidRDefault="00D05987" w:rsidP="00D05987">
            <w:pPr>
              <w:pStyle w:val="ListParagraph"/>
              <w:numPr>
                <w:ilvl w:val="0"/>
                <w:numId w:val="26"/>
              </w:numPr>
              <w:spacing w:after="120"/>
              <w:rPr>
                <w:i/>
              </w:rPr>
            </w:pPr>
            <w:r w:rsidRPr="00693C9A">
              <w:rPr>
                <w:i/>
              </w:rPr>
              <w:t>The heat content of the liquor is lower because it contains less organic material that kraft pulping liquor (higher pulping yields)</w:t>
            </w:r>
            <w:r>
              <w:rPr>
                <w:i/>
              </w:rPr>
              <w:t>; and,</w:t>
            </w:r>
          </w:p>
          <w:p w:rsidR="00D05987" w:rsidRPr="00693C9A" w:rsidRDefault="00D05987" w:rsidP="00D05987">
            <w:pPr>
              <w:pStyle w:val="ListParagraph"/>
              <w:numPr>
                <w:ilvl w:val="0"/>
                <w:numId w:val="26"/>
              </w:numPr>
              <w:spacing w:after="120"/>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rsidR="00D05987" w:rsidRPr="009A1508" w:rsidRDefault="00D05987" w:rsidP="00D05987">
            <w:pPr>
              <w:spacing w:after="12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rsidR="00264B10" w:rsidRDefault="00D05987" w:rsidP="00264B10">
            <w:pPr>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rsidR="007065BC" w:rsidRDefault="007065BC" w:rsidP="007B42EC">
      <w:pPr>
        <w:ind w:right="-115"/>
        <w:rPr>
          <w:bCs/>
        </w:rPr>
        <w:sectPr w:rsidR="007065BC" w:rsidSect="00911DEC">
          <w:footerReference w:type="default" r:id="rId11"/>
          <w:footerReference w:type="first" r:id="rId12"/>
          <w:pgSz w:w="12240" w:h="15840" w:code="1"/>
          <w:pgMar w:top="720" w:right="360" w:bottom="1440" w:left="1080" w:header="720" w:footer="720" w:gutter="0"/>
          <w:cols w:space="720"/>
          <w:noEndnote/>
          <w:titlePg/>
          <w:docGrid w:linePitch="326"/>
        </w:sectPr>
      </w:pPr>
    </w:p>
    <w:p w:rsidR="001C13ED" w:rsidRDefault="001C13ED" w:rsidP="007B42EC">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trPr>
        <w:tc>
          <w:tcPr>
            <w:tcW w:w="13377" w:type="dxa"/>
            <w:gridSpan w:val="8"/>
            <w:shd w:val="clear" w:color="auto" w:fill="auto"/>
          </w:tcPr>
          <w:p w:rsidR="007065BC" w:rsidRPr="00AB5528" w:rsidRDefault="00264B10" w:rsidP="007065BC">
            <w:pPr>
              <w:jc w:val="center"/>
              <w:rPr>
                <w:b/>
                <w:bCs/>
                <w:i/>
              </w:rPr>
            </w:pPr>
            <w:r w:rsidRPr="00264B10">
              <w:rPr>
                <w:b/>
                <w:bCs/>
                <w:i/>
              </w:rPr>
              <w:t xml:space="preserve">Primary Aluminum Plant Rule Comparison </w:t>
            </w:r>
          </w:p>
        </w:tc>
      </w:tr>
      <w:tr w:rsidR="007065BC" w:rsidRPr="00D44231" w:rsidTr="007065BC">
        <w:trPr>
          <w:trHeight w:val="204"/>
          <w:tblHeader/>
        </w:trPr>
        <w:tc>
          <w:tcPr>
            <w:tcW w:w="3358"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br w:type="page"/>
              <w:t>Primary Aluminum OAR</w:t>
            </w:r>
          </w:p>
        </w:tc>
        <w:tc>
          <w:tcPr>
            <w:tcW w:w="3330"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t>CFR – NSPS Subpart S</w:t>
            </w:r>
          </w:p>
        </w:tc>
        <w:tc>
          <w:tcPr>
            <w:tcW w:w="3331" w:type="dxa"/>
            <w:gridSpan w:val="2"/>
            <w:vAlign w:val="center"/>
          </w:tcPr>
          <w:p w:rsidR="007065BC" w:rsidRPr="00AB5528" w:rsidRDefault="00264B10" w:rsidP="007065BC">
            <w:pPr>
              <w:jc w:val="center"/>
              <w:rPr>
                <w:b/>
                <w:i/>
                <w:sz w:val="22"/>
                <w:szCs w:val="22"/>
              </w:rPr>
            </w:pPr>
            <w:r w:rsidRPr="00264B10">
              <w:rPr>
                <w:b/>
                <w:i/>
                <w:sz w:val="22"/>
                <w:szCs w:val="22"/>
              </w:rPr>
              <w:t>CFR – NESHAP Subpart LL</w:t>
            </w:r>
          </w:p>
        </w:tc>
        <w:tc>
          <w:tcPr>
            <w:tcW w:w="3358" w:type="dxa"/>
            <w:gridSpan w:val="2"/>
            <w:vAlign w:val="center"/>
          </w:tcPr>
          <w:p w:rsidR="007065BC" w:rsidRPr="00AB5528" w:rsidRDefault="00264B10" w:rsidP="007065BC">
            <w:pPr>
              <w:jc w:val="center"/>
              <w:rPr>
                <w:b/>
                <w:i/>
                <w:sz w:val="22"/>
                <w:szCs w:val="22"/>
              </w:rPr>
            </w:pPr>
            <w:r w:rsidRPr="00264B10">
              <w:rPr>
                <w:b/>
                <w:i/>
                <w:sz w:val="22"/>
                <w:szCs w:val="22"/>
              </w:rPr>
              <w:t>Prevention of Significant Deterioration</w:t>
            </w:r>
          </w:p>
        </w:tc>
      </w:tr>
      <w:tr w:rsidR="007065BC" w:rsidRPr="00D44231" w:rsidTr="007065BC">
        <w:trPr>
          <w:tblHeader/>
        </w:trPr>
        <w:tc>
          <w:tcPr>
            <w:tcW w:w="1671"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87"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57"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73"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72" w:type="dxa"/>
          </w:tcPr>
          <w:p w:rsidR="007065BC" w:rsidRPr="00AB5528" w:rsidRDefault="00264B10" w:rsidP="007065BC">
            <w:pPr>
              <w:jc w:val="center"/>
              <w:rPr>
                <w:b/>
                <w:i/>
                <w:sz w:val="22"/>
                <w:szCs w:val="22"/>
              </w:rPr>
            </w:pPr>
            <w:r w:rsidRPr="00264B10">
              <w:rPr>
                <w:b/>
                <w:i/>
                <w:sz w:val="22"/>
                <w:szCs w:val="22"/>
              </w:rPr>
              <w:t>SOURCE</w:t>
            </w:r>
          </w:p>
        </w:tc>
        <w:tc>
          <w:tcPr>
            <w:tcW w:w="1659" w:type="dxa"/>
          </w:tcPr>
          <w:p w:rsidR="007065BC" w:rsidRPr="00AB5528" w:rsidRDefault="00264B10" w:rsidP="007065BC">
            <w:pPr>
              <w:jc w:val="center"/>
              <w:rPr>
                <w:b/>
                <w:i/>
                <w:sz w:val="22"/>
                <w:szCs w:val="22"/>
              </w:rPr>
            </w:pPr>
            <w:r w:rsidRPr="00264B10">
              <w:rPr>
                <w:b/>
                <w:i/>
                <w:sz w:val="22"/>
                <w:szCs w:val="22"/>
              </w:rPr>
              <w:t>LIMIT</w:t>
            </w:r>
          </w:p>
        </w:tc>
        <w:tc>
          <w:tcPr>
            <w:tcW w:w="1710" w:type="dxa"/>
          </w:tcPr>
          <w:p w:rsidR="007065BC" w:rsidRPr="00AB5528" w:rsidRDefault="00264B10" w:rsidP="007065BC">
            <w:pPr>
              <w:jc w:val="center"/>
              <w:rPr>
                <w:b/>
                <w:i/>
                <w:sz w:val="22"/>
                <w:szCs w:val="22"/>
              </w:rPr>
            </w:pPr>
            <w:r w:rsidRPr="00264B10">
              <w:rPr>
                <w:b/>
                <w:i/>
                <w:sz w:val="22"/>
                <w:szCs w:val="22"/>
              </w:rPr>
              <w:t>SOURCE</w:t>
            </w:r>
          </w:p>
        </w:tc>
        <w:tc>
          <w:tcPr>
            <w:tcW w:w="1648" w:type="dxa"/>
          </w:tcPr>
          <w:p w:rsidR="007065BC" w:rsidRPr="00AB5528" w:rsidRDefault="00264B10" w:rsidP="007065BC">
            <w:pPr>
              <w:jc w:val="center"/>
              <w:rPr>
                <w:b/>
                <w:i/>
                <w:sz w:val="22"/>
                <w:szCs w:val="22"/>
              </w:rPr>
            </w:pPr>
            <w:r w:rsidRPr="00264B10">
              <w:rPr>
                <w:b/>
                <w:i/>
                <w:sz w:val="22"/>
                <w:szCs w:val="22"/>
              </w:rPr>
              <w:t>LIMIT</w:t>
            </w:r>
          </w:p>
        </w:tc>
      </w:tr>
      <w:tr w:rsidR="007065BC" w:rsidRPr="00D44231" w:rsidTr="007065BC">
        <w:trPr>
          <w:trHeight w:val="53"/>
        </w:trPr>
        <w:tc>
          <w:tcPr>
            <w:tcW w:w="1671" w:type="dxa"/>
            <w:shd w:val="clear" w:color="auto" w:fill="auto"/>
          </w:tcPr>
          <w:p w:rsidR="007065BC" w:rsidRPr="00AB5528" w:rsidRDefault="00264B10" w:rsidP="007065BC">
            <w:pPr>
              <w:spacing w:after="120"/>
              <w:rPr>
                <w:b/>
                <w:bCs/>
                <w:i/>
                <w:sz w:val="22"/>
                <w:szCs w:val="22"/>
              </w:rPr>
            </w:pPr>
            <w:r w:rsidRPr="00264B10">
              <w:rPr>
                <w:b/>
                <w:bCs/>
                <w:i/>
                <w:sz w:val="22"/>
                <w:szCs w:val="22"/>
              </w:rPr>
              <w:t xml:space="preserve">Primary Aluminum Standards </w:t>
            </w:r>
          </w:p>
          <w:p w:rsidR="007065BC" w:rsidRPr="00AB5528" w:rsidRDefault="00264B10" w:rsidP="007065BC">
            <w:pPr>
              <w:spacing w:after="120"/>
              <w:rPr>
                <w:i/>
                <w:sz w:val="22"/>
                <w:szCs w:val="22"/>
              </w:rPr>
            </w:pPr>
            <w:r w:rsidRPr="00264B10">
              <w:rPr>
                <w:b/>
                <w:bCs/>
                <w:i/>
                <w:sz w:val="22"/>
                <w:szCs w:val="22"/>
              </w:rPr>
              <w:t>OAR 340-236-0110 Applicability</w:t>
            </w:r>
          </w:p>
          <w:p w:rsidR="007065BC" w:rsidRPr="00AB5528" w:rsidRDefault="00264B10" w:rsidP="007065BC">
            <w:pPr>
              <w:spacing w:after="120"/>
              <w:rPr>
                <w:i/>
                <w:sz w:val="22"/>
                <w:szCs w:val="22"/>
              </w:rPr>
            </w:pPr>
            <w:r w:rsidRPr="00264B10">
              <w:rPr>
                <w:i/>
                <w:sz w:val="22"/>
                <w:szCs w:val="22"/>
              </w:rPr>
              <w:t>all sources at each primary aluminum plant constructed after January 1, 1973</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 xml:space="preserve">Total fluoride 1.2 pounds per ton of aluminum (monthly); </w:t>
            </w:r>
          </w:p>
          <w:p w:rsidR="007065BC" w:rsidRPr="00AB5528" w:rsidRDefault="00264B10" w:rsidP="007065BC">
            <w:pPr>
              <w:spacing w:after="120"/>
              <w:rPr>
                <w:i/>
                <w:sz w:val="22"/>
                <w:szCs w:val="22"/>
              </w:rPr>
            </w:pPr>
            <w:r w:rsidRPr="00264B10">
              <w:rPr>
                <w:i/>
                <w:sz w:val="22"/>
                <w:szCs w:val="22"/>
              </w:rPr>
              <w:t>1.0 pound per ton of aluminum (annual); and</w:t>
            </w:r>
          </w:p>
          <w:p w:rsidR="007065BC" w:rsidRPr="00AB5528" w:rsidRDefault="00264B10" w:rsidP="007065BC">
            <w:pPr>
              <w:spacing w:after="120"/>
              <w:rPr>
                <w:i/>
                <w:sz w:val="22"/>
                <w:szCs w:val="22"/>
              </w:rPr>
            </w:pPr>
            <w:r w:rsidRPr="00264B10">
              <w:rPr>
                <w:i/>
                <w:sz w:val="22"/>
                <w:szCs w:val="22"/>
              </w:rPr>
              <w:t xml:space="preserve">12.5 tons per month from any aluminum plant </w:t>
            </w:r>
          </w:p>
          <w:p w:rsidR="007065BC" w:rsidRPr="00AB5528" w:rsidRDefault="00264B10" w:rsidP="007065BC">
            <w:pPr>
              <w:spacing w:after="120"/>
              <w:rPr>
                <w:i/>
                <w:sz w:val="22"/>
                <w:szCs w:val="22"/>
              </w:rPr>
            </w:pPr>
            <w:r w:rsidRPr="00264B10">
              <w:rPr>
                <w:i/>
                <w:sz w:val="22"/>
                <w:szCs w:val="22"/>
              </w:rPr>
              <w:t>particulate matter 7.0 pounds per ton of aluminum (monthly); and</w:t>
            </w:r>
          </w:p>
          <w:p w:rsidR="007065BC" w:rsidRPr="00AB5528" w:rsidRDefault="00264B10" w:rsidP="007065BC">
            <w:pPr>
              <w:spacing w:after="120"/>
              <w:rPr>
                <w:i/>
                <w:sz w:val="22"/>
                <w:szCs w:val="22"/>
              </w:rPr>
            </w:pPr>
            <w:r w:rsidRPr="00264B10">
              <w:rPr>
                <w:i/>
                <w:sz w:val="22"/>
                <w:szCs w:val="22"/>
              </w:rPr>
              <w:t>5.0 pounds per ton of aluminum (annual)</w:t>
            </w:r>
          </w:p>
        </w:tc>
        <w:tc>
          <w:tcPr>
            <w:tcW w:w="1657" w:type="dxa"/>
            <w:shd w:val="clear" w:color="auto" w:fill="auto"/>
          </w:tcPr>
          <w:p w:rsidR="007065BC" w:rsidRPr="00AB5528" w:rsidRDefault="00264B10" w:rsidP="007065BC">
            <w:pPr>
              <w:spacing w:after="120"/>
              <w:rPr>
                <w:b/>
                <w:bCs/>
                <w:i/>
                <w:sz w:val="22"/>
                <w:szCs w:val="22"/>
              </w:rPr>
            </w:pPr>
            <w:r w:rsidRPr="00264B10">
              <w:rPr>
                <w:b/>
                <w:bCs/>
                <w:i/>
                <w:sz w:val="22"/>
                <w:szCs w:val="22"/>
              </w:rPr>
              <w:t>Subpart S—Primary Aluminum Reduction Plants</w:t>
            </w:r>
          </w:p>
          <w:p w:rsidR="007065BC" w:rsidRPr="00AB5528" w:rsidRDefault="00264B10" w:rsidP="007065BC">
            <w:pPr>
              <w:spacing w:after="120"/>
              <w:rPr>
                <w:i/>
                <w:sz w:val="22"/>
                <w:szCs w:val="22"/>
              </w:rPr>
            </w:pPr>
            <w:r w:rsidRPr="00264B10">
              <w:rPr>
                <w:i/>
                <w:sz w:val="22"/>
                <w:szCs w:val="22"/>
              </w:rPr>
              <w:t>commences construction or modification after October 23, 1974</w:t>
            </w:r>
          </w:p>
        </w:tc>
        <w:tc>
          <w:tcPr>
            <w:tcW w:w="1673" w:type="dxa"/>
            <w:shd w:val="clear" w:color="auto" w:fill="auto"/>
          </w:tcPr>
          <w:p w:rsidR="007065BC" w:rsidRPr="00AB5528" w:rsidRDefault="00264B10" w:rsidP="007065BC">
            <w:pPr>
              <w:spacing w:after="120"/>
              <w:rPr>
                <w:b/>
                <w:bCs/>
                <w:i/>
                <w:sz w:val="22"/>
                <w:szCs w:val="22"/>
              </w:rPr>
            </w:pPr>
            <w:r w:rsidRPr="00264B10">
              <w:rPr>
                <w:b/>
                <w:bCs/>
                <w:i/>
                <w:sz w:val="22"/>
                <w:szCs w:val="22"/>
              </w:rPr>
              <w:t>§ 60.192  </w:t>
            </w:r>
          </w:p>
          <w:p w:rsidR="007065BC" w:rsidRPr="00AB5528" w:rsidRDefault="00264B10" w:rsidP="007065BC">
            <w:pPr>
              <w:spacing w:after="120"/>
              <w:rPr>
                <w:i/>
                <w:sz w:val="22"/>
                <w:szCs w:val="22"/>
              </w:rPr>
            </w:pPr>
            <w:r w:rsidRPr="00264B10">
              <w:rPr>
                <w:i/>
                <w:sz w:val="22"/>
                <w:szCs w:val="22"/>
              </w:rPr>
              <w:t>total fluorides 2.0 lb/ton of aluminum (Soderberg)</w:t>
            </w:r>
          </w:p>
          <w:p w:rsidR="007065BC" w:rsidRPr="00AB5528" w:rsidRDefault="00264B10" w:rsidP="007065BC">
            <w:pPr>
              <w:spacing w:after="120"/>
              <w:rPr>
                <w:i/>
                <w:sz w:val="22"/>
                <w:szCs w:val="22"/>
              </w:rPr>
            </w:pPr>
            <w:r w:rsidRPr="00264B10">
              <w:rPr>
                <w:i/>
                <w:sz w:val="22"/>
                <w:szCs w:val="22"/>
              </w:rPr>
              <w:t>1.9 lb/ton of aluminum (prebake)</w:t>
            </w:r>
          </w:p>
          <w:p w:rsidR="007065BC" w:rsidRPr="00AB5528" w:rsidRDefault="00264B10" w:rsidP="007065BC">
            <w:pPr>
              <w:spacing w:after="120"/>
              <w:rPr>
                <w:i/>
                <w:sz w:val="22"/>
                <w:szCs w:val="22"/>
              </w:rPr>
            </w:pPr>
            <w:r w:rsidRPr="00264B10">
              <w:rPr>
                <w:i/>
                <w:sz w:val="22"/>
                <w:szCs w:val="22"/>
              </w:rPr>
              <w:t xml:space="preserve"> 0.1 lb/ton of aluminum equivalent (anode bake)</w:t>
            </w:r>
          </w:p>
          <w:p w:rsidR="007065BC" w:rsidRPr="00AB5528" w:rsidRDefault="007065BC" w:rsidP="007065BC">
            <w:pPr>
              <w:spacing w:after="120"/>
              <w:rPr>
                <w:b/>
                <w:bCs/>
                <w:i/>
                <w:sz w:val="22"/>
                <w:szCs w:val="22"/>
              </w:rPr>
            </w:pPr>
          </w:p>
          <w:p w:rsidR="007065BC" w:rsidRPr="00AB5528" w:rsidRDefault="007065BC" w:rsidP="007065BC">
            <w:pPr>
              <w:spacing w:after="120"/>
              <w:rPr>
                <w:i/>
                <w:sz w:val="22"/>
                <w:szCs w:val="22"/>
              </w:rPr>
            </w:pPr>
          </w:p>
        </w:tc>
        <w:tc>
          <w:tcPr>
            <w:tcW w:w="1672" w:type="dxa"/>
          </w:tcPr>
          <w:p w:rsidR="007065BC" w:rsidRPr="00AB5528" w:rsidRDefault="00264B10" w:rsidP="007065BC">
            <w:pPr>
              <w:spacing w:after="120"/>
              <w:rPr>
                <w:b/>
                <w:bCs/>
                <w:i/>
                <w:sz w:val="22"/>
                <w:szCs w:val="22"/>
              </w:rPr>
            </w:pPr>
            <w:r w:rsidRPr="00264B10">
              <w:rPr>
                <w:b/>
                <w:bCs/>
                <w:i/>
                <w:sz w:val="22"/>
                <w:szCs w:val="22"/>
              </w:rPr>
              <w:t>Subpart LL—Primary Aluminum Reduction Plants</w:t>
            </w:r>
          </w:p>
          <w:p w:rsidR="007065BC" w:rsidRPr="00AB5528" w:rsidRDefault="00264B10" w:rsidP="007065BC">
            <w:pPr>
              <w:spacing w:after="120"/>
              <w:rPr>
                <w:bCs/>
                <w:i/>
                <w:sz w:val="22"/>
                <w:szCs w:val="22"/>
              </w:rPr>
            </w:pPr>
            <w:r w:rsidRPr="00264B10">
              <w:rPr>
                <w:bCs/>
                <w:i/>
                <w:sz w:val="22"/>
                <w:szCs w:val="22"/>
              </w:rPr>
              <w:t>primary aluminum production (09/26/96)</w:t>
            </w:r>
          </w:p>
          <w:p w:rsidR="007065BC" w:rsidRPr="00AB5528" w:rsidRDefault="007065BC" w:rsidP="007065BC">
            <w:pPr>
              <w:spacing w:after="120"/>
              <w:rPr>
                <w:i/>
                <w:sz w:val="22"/>
                <w:szCs w:val="22"/>
              </w:rPr>
            </w:pPr>
          </w:p>
        </w:tc>
        <w:tc>
          <w:tcPr>
            <w:tcW w:w="1659" w:type="dxa"/>
          </w:tcPr>
          <w:p w:rsidR="007065BC" w:rsidRPr="00AB5528" w:rsidRDefault="00264B10" w:rsidP="007065BC">
            <w:pPr>
              <w:spacing w:after="120"/>
              <w:rPr>
                <w:b/>
                <w:bCs/>
                <w:i/>
                <w:sz w:val="22"/>
                <w:szCs w:val="22"/>
              </w:rPr>
            </w:pPr>
            <w:r w:rsidRPr="00264B10">
              <w:rPr>
                <w:b/>
                <w:bCs/>
                <w:i/>
                <w:sz w:val="22"/>
                <w:szCs w:val="22"/>
              </w:rPr>
              <w:t>§ 63.844.</w:t>
            </w:r>
          </w:p>
          <w:p w:rsidR="007065BC" w:rsidRPr="00AB5528" w:rsidRDefault="00264B10" w:rsidP="007065BC">
            <w:pPr>
              <w:spacing w:after="120"/>
              <w:rPr>
                <w:i/>
                <w:iCs/>
                <w:sz w:val="22"/>
                <w:szCs w:val="22"/>
              </w:rPr>
            </w:pPr>
            <w:r w:rsidRPr="00264B10">
              <w:rPr>
                <w:i/>
                <w:sz w:val="22"/>
                <w:szCs w:val="22"/>
              </w:rPr>
              <w:t xml:space="preserve">(a) </w:t>
            </w:r>
            <w:r w:rsidRPr="00264B10">
              <w:rPr>
                <w:i/>
                <w:iCs/>
                <w:sz w:val="22"/>
                <w:szCs w:val="22"/>
              </w:rPr>
              <w:t xml:space="preserve">Potlines: </w:t>
            </w:r>
          </w:p>
          <w:p w:rsidR="007065BC" w:rsidRPr="00AB5528" w:rsidRDefault="00264B10" w:rsidP="007065BC">
            <w:pPr>
              <w:spacing w:after="120"/>
              <w:rPr>
                <w:i/>
                <w:sz w:val="22"/>
                <w:szCs w:val="22"/>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rsidR="007065BC" w:rsidRPr="00AB5528" w:rsidRDefault="00264B10" w:rsidP="007065BC">
            <w:pPr>
              <w:spacing w:after="120"/>
              <w:rPr>
                <w:i/>
                <w:sz w:val="22"/>
                <w:szCs w:val="22"/>
              </w:rPr>
            </w:pPr>
            <w:r w:rsidRPr="00264B10">
              <w:rPr>
                <w:i/>
                <w:iCs/>
                <w:sz w:val="22"/>
                <w:szCs w:val="22"/>
              </w:rPr>
              <w:t>polycyclic organic matter limit (</w:t>
            </w:r>
            <w:r w:rsidRPr="00264B10">
              <w:rPr>
                <w:i/>
                <w:sz w:val="22"/>
                <w:szCs w:val="22"/>
              </w:rPr>
              <w:t xml:space="preserve">Soderberg) 0.63 lb/ton of aluminum </w:t>
            </w:r>
          </w:p>
          <w:p w:rsidR="007065BC" w:rsidRPr="00AB5528" w:rsidRDefault="00264B10" w:rsidP="007065BC">
            <w:pPr>
              <w:spacing w:after="120"/>
              <w:rPr>
                <w:i/>
                <w:iCs/>
                <w:sz w:val="22"/>
                <w:szCs w:val="22"/>
              </w:rPr>
            </w:pPr>
            <w:r w:rsidRPr="00264B10">
              <w:rPr>
                <w:i/>
                <w:iCs/>
                <w:sz w:val="22"/>
                <w:szCs w:val="22"/>
              </w:rPr>
              <w:t xml:space="preserve">Anode bake furnaces: </w:t>
            </w:r>
          </w:p>
          <w:p w:rsidR="007065BC" w:rsidRPr="00AB5528" w:rsidRDefault="00264B10" w:rsidP="007065BC">
            <w:pPr>
              <w:spacing w:after="120"/>
              <w:rPr>
                <w:i/>
                <w:sz w:val="22"/>
                <w:szCs w:val="22"/>
              </w:rPr>
            </w:pPr>
            <w:r w:rsidRPr="00264B10">
              <w:rPr>
                <w:i/>
                <w:iCs/>
                <w:sz w:val="22"/>
                <w:szCs w:val="22"/>
              </w:rPr>
              <w:t xml:space="preserve">TF </w:t>
            </w:r>
            <w:r w:rsidRPr="00264B10">
              <w:rPr>
                <w:i/>
                <w:sz w:val="22"/>
                <w:szCs w:val="22"/>
              </w:rPr>
              <w:t xml:space="preserve"> 0.02 lb/ton of green anode; and</w:t>
            </w:r>
          </w:p>
          <w:p w:rsidR="007065BC" w:rsidRPr="00AB5528" w:rsidRDefault="00264B10" w:rsidP="007065BC">
            <w:pPr>
              <w:spacing w:after="120"/>
              <w:rPr>
                <w:i/>
                <w:sz w:val="22"/>
                <w:szCs w:val="22"/>
              </w:rPr>
            </w:pPr>
            <w:r w:rsidRPr="00264B10">
              <w:rPr>
                <w:i/>
                <w:iCs/>
                <w:sz w:val="22"/>
                <w:szCs w:val="22"/>
              </w:rPr>
              <w:t xml:space="preserve">polycyclic organic matter </w:t>
            </w:r>
            <w:r w:rsidRPr="00264B10">
              <w:rPr>
                <w:i/>
                <w:sz w:val="22"/>
                <w:szCs w:val="22"/>
              </w:rPr>
              <w:t xml:space="preserve"> 0.05 lb/ton of green anode</w:t>
            </w:r>
          </w:p>
        </w:tc>
        <w:tc>
          <w:tcPr>
            <w:tcW w:w="1710" w:type="dxa"/>
          </w:tcPr>
          <w:p w:rsidR="007065BC" w:rsidRPr="00AB5528" w:rsidRDefault="00264B10" w:rsidP="007065BC">
            <w:pPr>
              <w:spacing w:after="120"/>
              <w:rPr>
                <w:i/>
                <w:sz w:val="22"/>
                <w:szCs w:val="22"/>
              </w:rPr>
            </w:pPr>
            <w:r w:rsidRPr="00264B10">
              <w:rPr>
                <w:i/>
                <w:sz w:val="22"/>
                <w:szCs w:val="22"/>
              </w:rPr>
              <w:t>Primary aluminum ore reduction Best Available Control Technology limit</w:t>
            </w:r>
          </w:p>
          <w:p w:rsidR="007065BC" w:rsidRPr="00AB5528" w:rsidRDefault="00264B10" w:rsidP="007065BC">
            <w:pPr>
              <w:spacing w:after="120"/>
              <w:rPr>
                <w:b/>
                <w:bCs/>
                <w:i/>
                <w:sz w:val="22"/>
                <w:szCs w:val="22"/>
              </w:rPr>
            </w:pPr>
            <w:r w:rsidRPr="00264B10">
              <w:rPr>
                <w:i/>
                <w:sz w:val="22"/>
                <w:szCs w:val="22"/>
              </w:rPr>
              <w:tab/>
            </w:r>
          </w:p>
        </w:tc>
        <w:tc>
          <w:tcPr>
            <w:tcW w:w="1648" w:type="dxa"/>
          </w:tcPr>
          <w:p w:rsidR="007065BC" w:rsidRPr="00AB5528" w:rsidRDefault="00264B10" w:rsidP="007065BC">
            <w:pPr>
              <w:spacing w:after="120"/>
              <w:rPr>
                <w:i/>
                <w:sz w:val="22"/>
                <w:szCs w:val="22"/>
              </w:rPr>
            </w:pPr>
            <w:r w:rsidRPr="00264B10">
              <w:rPr>
                <w:i/>
                <w:sz w:val="22"/>
                <w:szCs w:val="22"/>
              </w:rPr>
              <w:t xml:space="preserve">Total fluoride  0.0400 pounds per ton of aluminum </w:t>
            </w:r>
          </w:p>
          <w:p w:rsidR="007065BC" w:rsidRPr="00AB5528" w:rsidRDefault="00264B10" w:rsidP="007065BC">
            <w:pPr>
              <w:spacing w:after="120"/>
              <w:rPr>
                <w:i/>
                <w:sz w:val="22"/>
                <w:szCs w:val="22"/>
              </w:rPr>
            </w:pPr>
            <w:r w:rsidRPr="00264B10">
              <w:rPr>
                <w:i/>
                <w:sz w:val="22"/>
                <w:szCs w:val="22"/>
              </w:rPr>
              <w:t>Particulate matter 0.0050 grains/dry standard cubic foot</w:t>
            </w:r>
          </w:p>
          <w:p w:rsidR="007065BC" w:rsidRPr="00AB5528" w:rsidRDefault="00264B10" w:rsidP="007065BC">
            <w:pPr>
              <w:spacing w:after="120"/>
              <w:rPr>
                <w:i/>
                <w:sz w:val="22"/>
                <w:szCs w:val="22"/>
              </w:rPr>
            </w:pPr>
            <w:r w:rsidRPr="00264B10">
              <w:rPr>
                <w:i/>
                <w:sz w:val="22"/>
                <w:szCs w:val="22"/>
              </w:rPr>
              <w:t>10% opacity</w:t>
            </w:r>
          </w:p>
          <w:p w:rsidR="007065BC" w:rsidRPr="00AB5528" w:rsidRDefault="007065BC" w:rsidP="007065BC">
            <w:pPr>
              <w:spacing w:after="120"/>
              <w:rPr>
                <w:b/>
                <w:bCs/>
                <w:i/>
                <w:sz w:val="22"/>
                <w:szCs w:val="22"/>
              </w:rPr>
            </w:pPr>
          </w:p>
        </w:tc>
      </w:tr>
      <w:tr w:rsidR="007065BC" w:rsidRPr="00D44231" w:rsidTr="007065BC">
        <w:tc>
          <w:tcPr>
            <w:tcW w:w="1671" w:type="dxa"/>
            <w:shd w:val="clear" w:color="auto" w:fill="auto"/>
          </w:tcPr>
          <w:p w:rsidR="007065BC" w:rsidRPr="00AB5528" w:rsidRDefault="00264B10" w:rsidP="007065BC">
            <w:pPr>
              <w:rPr>
                <w:b/>
                <w:i/>
                <w:sz w:val="22"/>
                <w:szCs w:val="22"/>
              </w:rPr>
            </w:pPr>
            <w:r w:rsidRPr="00264B10">
              <w:rPr>
                <w:b/>
                <w:i/>
                <w:sz w:val="22"/>
                <w:szCs w:val="22"/>
              </w:rPr>
              <w:t xml:space="preserve">340-236-0120(1)(c) </w:t>
            </w:r>
          </w:p>
          <w:p w:rsidR="007065BC" w:rsidRPr="00AB5528" w:rsidRDefault="00264B10" w:rsidP="007065BC">
            <w:pPr>
              <w:spacing w:after="120"/>
              <w:rPr>
                <w:i/>
                <w:sz w:val="22"/>
                <w:szCs w:val="22"/>
              </w:rPr>
            </w:pPr>
            <w:r w:rsidRPr="00264B10">
              <w:rPr>
                <w:i/>
                <w:sz w:val="22"/>
                <w:szCs w:val="22"/>
              </w:rPr>
              <w:t>any source</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10 % opacity at any time</w:t>
            </w:r>
          </w:p>
        </w:tc>
        <w:tc>
          <w:tcPr>
            <w:tcW w:w="1657" w:type="dxa"/>
            <w:shd w:val="clear" w:color="auto" w:fill="auto"/>
          </w:tcPr>
          <w:p w:rsidR="007065BC" w:rsidRPr="00AB5528" w:rsidRDefault="00264B10" w:rsidP="007065BC">
            <w:pPr>
              <w:rPr>
                <w:b/>
                <w:bCs/>
                <w:i/>
                <w:sz w:val="22"/>
                <w:szCs w:val="22"/>
              </w:rPr>
            </w:pPr>
            <w:r w:rsidRPr="00264B10">
              <w:rPr>
                <w:b/>
                <w:bCs/>
                <w:i/>
                <w:sz w:val="22"/>
                <w:szCs w:val="22"/>
              </w:rPr>
              <w:t>§ 60.193   </w:t>
            </w:r>
          </w:p>
          <w:p w:rsidR="007065BC" w:rsidRPr="00AB5528" w:rsidRDefault="00264B10" w:rsidP="007065BC">
            <w:pPr>
              <w:rPr>
                <w:b/>
                <w:bCs/>
                <w:i/>
                <w:sz w:val="22"/>
                <w:szCs w:val="22"/>
              </w:rPr>
            </w:pPr>
            <w:r w:rsidRPr="00264B10">
              <w:rPr>
                <w:b/>
                <w:bCs/>
                <w:i/>
                <w:sz w:val="22"/>
                <w:szCs w:val="22"/>
              </w:rPr>
              <w:t>Standard for visible emissions</w:t>
            </w:r>
          </w:p>
          <w:p w:rsidR="007065BC" w:rsidRPr="00AB5528" w:rsidRDefault="007065BC" w:rsidP="007065BC">
            <w:pPr>
              <w:spacing w:after="120"/>
              <w:rPr>
                <w:i/>
                <w:sz w:val="22"/>
                <w:szCs w:val="22"/>
              </w:rPr>
            </w:pPr>
          </w:p>
        </w:tc>
        <w:tc>
          <w:tcPr>
            <w:tcW w:w="1673" w:type="dxa"/>
            <w:shd w:val="clear" w:color="auto" w:fill="auto"/>
          </w:tcPr>
          <w:p w:rsidR="007065BC" w:rsidRPr="00AB5528" w:rsidRDefault="00264B10" w:rsidP="007065BC">
            <w:pPr>
              <w:spacing w:after="120"/>
              <w:rPr>
                <w:i/>
                <w:sz w:val="22"/>
                <w:szCs w:val="22"/>
              </w:rPr>
            </w:pPr>
            <w:r w:rsidRPr="00264B10">
              <w:rPr>
                <w:i/>
                <w:sz w:val="22"/>
                <w:szCs w:val="22"/>
              </w:rPr>
              <w:t xml:space="preserve"> potroom group 10 % opacity </w:t>
            </w:r>
          </w:p>
          <w:p w:rsidR="007065BC" w:rsidRPr="00AB5528" w:rsidRDefault="00264B10" w:rsidP="007065BC">
            <w:pPr>
              <w:spacing w:after="120"/>
              <w:rPr>
                <w:i/>
                <w:sz w:val="22"/>
                <w:szCs w:val="22"/>
              </w:rPr>
            </w:pPr>
            <w:r w:rsidRPr="00264B10">
              <w:rPr>
                <w:i/>
                <w:sz w:val="22"/>
                <w:szCs w:val="22"/>
              </w:rPr>
              <w:t xml:space="preserve"> anode bake plant 20 % opacity </w:t>
            </w:r>
          </w:p>
        </w:tc>
        <w:tc>
          <w:tcPr>
            <w:tcW w:w="1672" w:type="dxa"/>
          </w:tcPr>
          <w:p w:rsidR="007065BC" w:rsidRPr="00AB5528" w:rsidRDefault="00264B10" w:rsidP="007065BC">
            <w:pPr>
              <w:spacing w:after="120"/>
              <w:rPr>
                <w:b/>
                <w:bCs/>
                <w:i/>
                <w:sz w:val="22"/>
                <w:szCs w:val="22"/>
              </w:rPr>
            </w:pPr>
            <w:r w:rsidRPr="00264B10">
              <w:rPr>
                <w:b/>
                <w:bCs/>
                <w:i/>
                <w:sz w:val="22"/>
                <w:szCs w:val="22"/>
              </w:rPr>
              <w:t>§63.845 Potroom groups</w:t>
            </w:r>
          </w:p>
          <w:p w:rsidR="007065BC" w:rsidRPr="00AB5528" w:rsidRDefault="007065BC" w:rsidP="007065BC">
            <w:pPr>
              <w:spacing w:after="120"/>
              <w:rPr>
                <w:b/>
                <w:bCs/>
                <w:i/>
                <w:sz w:val="22"/>
                <w:szCs w:val="22"/>
              </w:rPr>
            </w:pPr>
          </w:p>
        </w:tc>
        <w:tc>
          <w:tcPr>
            <w:tcW w:w="1659" w:type="dxa"/>
          </w:tcPr>
          <w:p w:rsidR="007065BC" w:rsidRPr="00AB5528" w:rsidRDefault="00264B10" w:rsidP="007065BC">
            <w:pPr>
              <w:spacing w:after="120"/>
              <w:rPr>
                <w:bCs/>
                <w:i/>
                <w:sz w:val="22"/>
                <w:szCs w:val="22"/>
              </w:rPr>
            </w:pPr>
            <w:r w:rsidRPr="00264B10">
              <w:rPr>
                <w:bCs/>
                <w:i/>
                <w:sz w:val="22"/>
                <w:szCs w:val="22"/>
              </w:rPr>
              <w:t>10 % opacity</w:t>
            </w:r>
          </w:p>
        </w:tc>
        <w:tc>
          <w:tcPr>
            <w:tcW w:w="1710" w:type="dxa"/>
          </w:tcPr>
          <w:p w:rsidR="007065BC" w:rsidRPr="00AB5528" w:rsidRDefault="007065BC" w:rsidP="007065BC">
            <w:pPr>
              <w:spacing w:after="120"/>
              <w:rPr>
                <w:bCs/>
                <w:i/>
                <w:sz w:val="22"/>
                <w:szCs w:val="22"/>
              </w:rPr>
            </w:pPr>
          </w:p>
        </w:tc>
        <w:tc>
          <w:tcPr>
            <w:tcW w:w="1648" w:type="dxa"/>
          </w:tcPr>
          <w:p w:rsidR="007065BC" w:rsidRPr="00AB5528" w:rsidRDefault="007065BC" w:rsidP="007065BC">
            <w:pPr>
              <w:spacing w:after="120"/>
              <w:rPr>
                <w:bCs/>
                <w:i/>
                <w:sz w:val="22"/>
                <w:szCs w:val="22"/>
              </w:rPr>
            </w:pPr>
          </w:p>
        </w:tc>
      </w:tr>
    </w:tbl>
    <w:p w:rsidR="007065BC" w:rsidRDefault="007065BC" w:rsidP="007B42EC">
      <w:pPr>
        <w:ind w:right="-115"/>
        <w:rPr>
          <w:bCs/>
        </w:rPr>
      </w:pPr>
    </w:p>
    <w:p w:rsidR="00D05987" w:rsidRDefault="00D05987" w:rsidP="007B42EC">
      <w:pPr>
        <w:ind w:right="-115"/>
        <w:rPr>
          <w:bCs/>
        </w:rPr>
      </w:pPr>
    </w:p>
    <w:p w:rsidR="00AB5528" w:rsidRDefault="00AB5528" w:rsidP="007B42EC">
      <w:pPr>
        <w:ind w:right="-115"/>
        <w:rPr>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AB5528">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rsidR="00D05987" w:rsidRPr="00AB5528" w:rsidRDefault="00D05987" w:rsidP="00D05987">
            <w:pPr>
              <w:rPr>
                <w:i/>
              </w:rPr>
            </w:pPr>
          </w:p>
          <w:p w:rsidR="00D05987" w:rsidRPr="00AB5528" w:rsidRDefault="00D05987" w:rsidP="00D05987">
            <w:pPr>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rsidR="00264B10" w:rsidRDefault="00264B10" w:rsidP="00264B10">
            <w:pPr>
              <w:rPr>
                <w:i/>
              </w:rPr>
            </w:pPr>
          </w:p>
        </w:tc>
      </w:tr>
    </w:tbl>
    <w:p w:rsidR="007065BC" w:rsidRDefault="007065BC" w:rsidP="007B42EC">
      <w:pPr>
        <w:ind w:right="-115"/>
        <w:rPr>
          <w:bCs/>
        </w:rPr>
      </w:pPr>
    </w:p>
    <w:p w:rsidR="00AB5528" w:rsidRDefault="00AB5528" w:rsidP="007B42EC">
      <w:pPr>
        <w:ind w:right="-115"/>
        <w:rPr>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trPr>
        <w:tc>
          <w:tcPr>
            <w:tcW w:w="13455" w:type="dxa"/>
            <w:gridSpan w:val="8"/>
            <w:shd w:val="clear" w:color="auto" w:fill="auto"/>
          </w:tcPr>
          <w:p w:rsidR="00AB5528" w:rsidRPr="00AB5528" w:rsidRDefault="00264B10" w:rsidP="00D05987">
            <w:pPr>
              <w:jc w:val="center"/>
              <w:rPr>
                <w:b/>
                <w:bCs/>
                <w:i/>
              </w:rPr>
            </w:pPr>
            <w:r w:rsidRPr="00264B10">
              <w:rPr>
                <w:b/>
                <w:bCs/>
                <w:i/>
              </w:rPr>
              <w:lastRenderedPageBreak/>
              <w:t xml:space="preserve">Laterite Ore Production of Ferronickel </w:t>
            </w:r>
            <w:r w:rsidRPr="00264B10">
              <w:rPr>
                <w:b/>
                <w:i/>
              </w:rPr>
              <w:t xml:space="preserve"> Rule Comparison</w:t>
            </w:r>
          </w:p>
        </w:tc>
      </w:tr>
      <w:tr w:rsidR="00AB5528" w:rsidRPr="00FD4C58" w:rsidTr="00B723C2">
        <w:trPr>
          <w:trHeight w:val="204"/>
          <w:tblHeader/>
          <w:jc w:val="center"/>
        </w:trPr>
        <w:tc>
          <w:tcPr>
            <w:tcW w:w="3308" w:type="dxa"/>
            <w:gridSpan w:val="2"/>
            <w:shd w:val="clear" w:color="auto" w:fill="auto"/>
          </w:tcPr>
          <w:p w:rsidR="00AB5528" w:rsidRPr="00AB5528" w:rsidRDefault="00264B10" w:rsidP="00D05987">
            <w:pPr>
              <w:jc w:val="center"/>
              <w:rPr>
                <w:i/>
                <w:sz w:val="22"/>
                <w:szCs w:val="22"/>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rsidR="00AB5528" w:rsidRPr="00AB5528" w:rsidRDefault="00264B10" w:rsidP="00D05987">
            <w:pPr>
              <w:jc w:val="center"/>
              <w:rPr>
                <w:b/>
                <w:i/>
                <w:sz w:val="22"/>
                <w:szCs w:val="22"/>
              </w:rPr>
            </w:pPr>
            <w:r w:rsidRPr="00264B10">
              <w:rPr>
                <w:b/>
                <w:i/>
                <w:sz w:val="22"/>
                <w:szCs w:val="22"/>
              </w:rPr>
              <w:t>CFR – NSPS Subpart Z</w:t>
            </w:r>
          </w:p>
        </w:tc>
        <w:tc>
          <w:tcPr>
            <w:tcW w:w="3150" w:type="dxa"/>
            <w:gridSpan w:val="2"/>
            <w:vAlign w:val="center"/>
          </w:tcPr>
          <w:p w:rsidR="00AB5528" w:rsidRPr="00AB5528" w:rsidRDefault="00264B10" w:rsidP="00D05987">
            <w:pPr>
              <w:jc w:val="center"/>
              <w:rPr>
                <w:b/>
                <w:i/>
                <w:sz w:val="22"/>
                <w:szCs w:val="22"/>
              </w:rPr>
            </w:pPr>
            <w:r w:rsidRPr="00264B10">
              <w:rPr>
                <w:b/>
                <w:i/>
                <w:sz w:val="22"/>
                <w:szCs w:val="22"/>
              </w:rPr>
              <w:t>CFR – NESHAP Subpart XXX</w:t>
            </w:r>
          </w:p>
        </w:tc>
        <w:tc>
          <w:tcPr>
            <w:tcW w:w="3397" w:type="dxa"/>
            <w:gridSpan w:val="2"/>
          </w:tcPr>
          <w:p w:rsidR="00AB5528" w:rsidRPr="00AB5528" w:rsidRDefault="00264B10" w:rsidP="00D05987">
            <w:pPr>
              <w:jc w:val="center"/>
              <w:rPr>
                <w:b/>
                <w:i/>
                <w:sz w:val="22"/>
                <w:szCs w:val="22"/>
              </w:rPr>
            </w:pPr>
            <w:r w:rsidRPr="00264B10">
              <w:rPr>
                <w:b/>
                <w:i/>
                <w:sz w:val="22"/>
                <w:szCs w:val="22"/>
              </w:rPr>
              <w:t>Prevention of Significant Deterioration</w:t>
            </w:r>
          </w:p>
        </w:tc>
      </w:tr>
      <w:tr w:rsidR="00AB5528" w:rsidRPr="00FD4C58" w:rsidTr="00B723C2">
        <w:trPr>
          <w:tblHeader/>
          <w:jc w:val="center"/>
        </w:trPr>
        <w:tc>
          <w:tcPr>
            <w:tcW w:w="16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8"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9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0"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710" w:type="dxa"/>
          </w:tcPr>
          <w:p w:rsidR="00AB5528" w:rsidRPr="00AB5528" w:rsidRDefault="00264B10" w:rsidP="00D05987">
            <w:pPr>
              <w:jc w:val="center"/>
              <w:rPr>
                <w:b/>
                <w:i/>
                <w:sz w:val="22"/>
                <w:szCs w:val="22"/>
              </w:rPr>
            </w:pPr>
            <w:r w:rsidRPr="00264B10">
              <w:rPr>
                <w:b/>
                <w:i/>
                <w:sz w:val="22"/>
                <w:szCs w:val="22"/>
              </w:rPr>
              <w:t>SOURCE</w:t>
            </w:r>
          </w:p>
        </w:tc>
        <w:tc>
          <w:tcPr>
            <w:tcW w:w="1440" w:type="dxa"/>
          </w:tcPr>
          <w:p w:rsidR="00AB5528" w:rsidRPr="00AB5528" w:rsidRDefault="00264B10" w:rsidP="00D05987">
            <w:pPr>
              <w:jc w:val="center"/>
              <w:rPr>
                <w:b/>
                <w:i/>
                <w:sz w:val="22"/>
                <w:szCs w:val="22"/>
              </w:rPr>
            </w:pPr>
            <w:r w:rsidRPr="00264B10">
              <w:rPr>
                <w:b/>
                <w:i/>
                <w:sz w:val="22"/>
                <w:szCs w:val="22"/>
              </w:rPr>
              <w:t>LIMIT</w:t>
            </w:r>
          </w:p>
        </w:tc>
        <w:tc>
          <w:tcPr>
            <w:tcW w:w="1711" w:type="dxa"/>
          </w:tcPr>
          <w:p w:rsidR="00AB5528" w:rsidRPr="00AB5528" w:rsidRDefault="00264B10" w:rsidP="00D05987">
            <w:pPr>
              <w:jc w:val="center"/>
              <w:rPr>
                <w:b/>
                <w:i/>
                <w:sz w:val="22"/>
                <w:szCs w:val="22"/>
              </w:rPr>
            </w:pPr>
            <w:r w:rsidRPr="00264B10">
              <w:rPr>
                <w:b/>
                <w:i/>
                <w:sz w:val="22"/>
                <w:szCs w:val="22"/>
              </w:rPr>
              <w:t>SOURCE</w:t>
            </w:r>
          </w:p>
        </w:tc>
        <w:tc>
          <w:tcPr>
            <w:tcW w:w="1686" w:type="dxa"/>
          </w:tcPr>
          <w:p w:rsidR="00AB5528" w:rsidRPr="00AB5528" w:rsidRDefault="00264B10" w:rsidP="00D05987">
            <w:pPr>
              <w:jc w:val="center"/>
              <w:rPr>
                <w:b/>
                <w:i/>
                <w:sz w:val="22"/>
                <w:szCs w:val="22"/>
              </w:rPr>
            </w:pPr>
            <w:r w:rsidRPr="00264B10">
              <w:rPr>
                <w:b/>
                <w:i/>
                <w:sz w:val="22"/>
                <w:szCs w:val="22"/>
              </w:rPr>
              <w:t>LIMIT</w:t>
            </w:r>
          </w:p>
        </w:tc>
      </w:tr>
      <w:tr w:rsidR="00AB5528" w:rsidRPr="00FD4C58" w:rsidTr="00B723C2">
        <w:trPr>
          <w:trHeight w:val="53"/>
          <w:jc w:val="center"/>
        </w:trPr>
        <w:tc>
          <w:tcPr>
            <w:tcW w:w="1680" w:type="dxa"/>
            <w:shd w:val="clear" w:color="auto" w:fill="auto"/>
          </w:tcPr>
          <w:p w:rsidR="00AB5528" w:rsidRPr="00AB5528" w:rsidRDefault="00264B10" w:rsidP="00D05987">
            <w:pPr>
              <w:spacing w:after="120"/>
              <w:rPr>
                <w:b/>
                <w:bCs/>
                <w:i/>
                <w:sz w:val="22"/>
                <w:szCs w:val="22"/>
              </w:rPr>
            </w:pPr>
            <w:r w:rsidRPr="00264B10">
              <w:rPr>
                <w:b/>
                <w:bCs/>
                <w:i/>
                <w:sz w:val="22"/>
                <w:szCs w:val="22"/>
              </w:rPr>
              <w:t>Laterite Ore Production of Ferronickel</w:t>
            </w:r>
          </w:p>
          <w:p w:rsidR="00AB5528" w:rsidRPr="00AB5528" w:rsidRDefault="00264B10" w:rsidP="00D05987">
            <w:pPr>
              <w:spacing w:after="120"/>
              <w:rPr>
                <w:i/>
                <w:sz w:val="22"/>
                <w:szCs w:val="22"/>
              </w:rPr>
            </w:pPr>
            <w:r w:rsidRPr="00264B10">
              <w:rPr>
                <w:b/>
                <w:bCs/>
                <w:i/>
                <w:sz w:val="22"/>
                <w:szCs w:val="22"/>
              </w:rPr>
              <w:t xml:space="preserve">340-236-0210 </w:t>
            </w:r>
          </w:p>
          <w:p w:rsidR="00AB5528" w:rsidRPr="00AB5528" w:rsidRDefault="00264B10" w:rsidP="00D05987">
            <w:pPr>
              <w:spacing w:after="120"/>
              <w:rPr>
                <w:i/>
                <w:sz w:val="22"/>
                <w:szCs w:val="22"/>
              </w:rPr>
            </w:pPr>
            <w:r w:rsidRPr="00264B10">
              <w:rPr>
                <w:b/>
                <w:bCs/>
                <w:i/>
                <w:sz w:val="22"/>
                <w:szCs w:val="22"/>
              </w:rPr>
              <w:t>Applicability</w:t>
            </w:r>
          </w:p>
          <w:p w:rsidR="00AB5528" w:rsidRPr="00AB5528" w:rsidRDefault="00264B10" w:rsidP="00D05987">
            <w:pPr>
              <w:spacing w:after="120"/>
              <w:rPr>
                <w:i/>
                <w:sz w:val="22"/>
                <w:szCs w:val="22"/>
              </w:rPr>
            </w:pPr>
            <w:r w:rsidRPr="00264B10">
              <w:rPr>
                <w:i/>
                <w:sz w:val="22"/>
                <w:szCs w:val="22"/>
              </w:rPr>
              <w:t>all sources of laterite ore production of ferronickel</w:t>
            </w:r>
          </w:p>
          <w:p w:rsidR="00AB5528" w:rsidRPr="00AB5528" w:rsidRDefault="00AB5528" w:rsidP="00D05987">
            <w:pPr>
              <w:spacing w:after="120"/>
              <w:rPr>
                <w:b/>
                <w:bCs/>
                <w:i/>
                <w:sz w:val="22"/>
                <w:szCs w:val="22"/>
              </w:rPr>
            </w:pPr>
          </w:p>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particulate matter 3.5 pounds per ton of dry laterite ore produced</w:t>
            </w:r>
          </w:p>
        </w:tc>
        <w:tc>
          <w:tcPr>
            <w:tcW w:w="1980" w:type="dxa"/>
            <w:shd w:val="clear" w:color="auto" w:fill="auto"/>
          </w:tcPr>
          <w:p w:rsidR="00AB5528" w:rsidRPr="00AB5528" w:rsidRDefault="00264B10" w:rsidP="00D05987">
            <w:pPr>
              <w:spacing w:after="120"/>
              <w:rPr>
                <w:b/>
                <w:i/>
                <w:sz w:val="22"/>
                <w:szCs w:val="22"/>
              </w:rPr>
            </w:pPr>
            <w:r w:rsidRPr="00264B10">
              <w:rPr>
                <w:b/>
                <w:i/>
                <w:sz w:val="22"/>
                <w:szCs w:val="22"/>
              </w:rPr>
              <w:t>Subpart Z—Ferroalloy Production Facilities</w:t>
            </w:r>
          </w:p>
          <w:p w:rsidR="00AB5528" w:rsidRPr="00AB5528" w:rsidRDefault="00264B10" w:rsidP="00D05987">
            <w:pPr>
              <w:spacing w:after="120"/>
              <w:rPr>
                <w:i/>
                <w:sz w:val="22"/>
                <w:szCs w:val="22"/>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particulate matter 0.99 lb/MW-hr while producing silicon metal, ferrosilicon, calcium silicon, silicomanganese zirconium </w:t>
            </w:r>
          </w:p>
          <w:p w:rsidR="00AB5528" w:rsidRPr="00AB5528" w:rsidRDefault="00264B10" w:rsidP="00D05987">
            <w:pPr>
              <w:spacing w:after="120"/>
              <w:rPr>
                <w:i/>
                <w:sz w:val="22"/>
                <w:szCs w:val="22"/>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rsidR="00AB5528" w:rsidRPr="00AB5528" w:rsidRDefault="00264B10" w:rsidP="00D05987">
            <w:pPr>
              <w:spacing w:after="120"/>
              <w:rPr>
                <w:i/>
                <w:sz w:val="22"/>
                <w:szCs w:val="22"/>
              </w:rPr>
            </w:pPr>
            <w:r w:rsidRPr="00264B10">
              <w:rPr>
                <w:b/>
                <w:i/>
                <w:sz w:val="22"/>
                <w:szCs w:val="22"/>
              </w:rPr>
              <w:t>Subpart XXX—Ferroalloys Production: Ferromanganese and Silicomanganese</w:t>
            </w:r>
          </w:p>
          <w:p w:rsidR="00AB5528" w:rsidRPr="00AB5528" w:rsidRDefault="00264B10" w:rsidP="00D05987">
            <w:pPr>
              <w:spacing w:after="120"/>
              <w:rPr>
                <w:i/>
                <w:sz w:val="22"/>
                <w:szCs w:val="22"/>
              </w:rPr>
            </w:pPr>
            <w:r w:rsidRPr="00264B10">
              <w:rPr>
                <w:i/>
                <w:iCs/>
                <w:sz w:val="22"/>
                <w:szCs w:val="22"/>
              </w:rPr>
              <w:t xml:space="preserve">New and reconstructed submerged arc furnaces </w:t>
            </w:r>
            <w:r w:rsidRPr="00264B10">
              <w:rPr>
                <w:i/>
                <w:sz w:val="22"/>
                <w:szCs w:val="22"/>
              </w:rPr>
              <w:t>(05/20/99)</w:t>
            </w:r>
          </w:p>
        </w:tc>
        <w:tc>
          <w:tcPr>
            <w:tcW w:w="1440" w:type="dxa"/>
          </w:tcPr>
          <w:p w:rsidR="00AB5528" w:rsidRPr="00AB5528" w:rsidRDefault="00264B10" w:rsidP="00D05987">
            <w:pPr>
              <w:spacing w:after="120"/>
              <w:rPr>
                <w:i/>
                <w:sz w:val="22"/>
                <w:szCs w:val="22"/>
              </w:rPr>
            </w:pPr>
            <w:r w:rsidRPr="00264B10">
              <w:rPr>
                <w:i/>
                <w:sz w:val="22"/>
                <w:szCs w:val="22"/>
              </w:rPr>
              <w:t>0.51 pounds per hour per megawatt, or</w:t>
            </w:r>
          </w:p>
          <w:p w:rsidR="00AB5528" w:rsidRPr="00AB5528" w:rsidRDefault="00264B10" w:rsidP="00D05987">
            <w:pPr>
              <w:spacing w:after="120"/>
              <w:rPr>
                <w:bCs/>
                <w:i/>
                <w:iCs/>
                <w:sz w:val="22"/>
                <w:szCs w:val="22"/>
              </w:rPr>
            </w:pPr>
            <w:r w:rsidRPr="00264B10">
              <w:rPr>
                <w:i/>
                <w:sz w:val="22"/>
                <w:szCs w:val="22"/>
              </w:rPr>
              <w:t xml:space="preserve">0.015 grains per dry standard cubic foot </w:t>
            </w:r>
          </w:p>
          <w:p w:rsidR="00AB5528" w:rsidRPr="00AB5528" w:rsidRDefault="00264B10" w:rsidP="00D05987">
            <w:pPr>
              <w:spacing w:after="120"/>
              <w:rPr>
                <w:i/>
                <w:sz w:val="22"/>
                <w:szCs w:val="22"/>
              </w:rPr>
            </w:pPr>
            <w:r w:rsidRPr="00264B10">
              <w:rPr>
                <w:bCs/>
                <w:i/>
                <w:iCs/>
                <w:sz w:val="22"/>
                <w:szCs w:val="22"/>
              </w:rPr>
              <w:t>Crushing and screening equipment</w:t>
            </w:r>
            <w:r w:rsidRPr="00264B10">
              <w:rPr>
                <w:bCs/>
                <w:i/>
                <w:sz w:val="22"/>
                <w:szCs w:val="22"/>
              </w:rPr>
              <w:t>— particulate matter 0.022 gr/dscf</w:t>
            </w:r>
          </w:p>
        </w:tc>
        <w:tc>
          <w:tcPr>
            <w:tcW w:w="1711" w:type="dxa"/>
          </w:tcPr>
          <w:p w:rsidR="00AB5528" w:rsidRPr="00AB5528" w:rsidRDefault="00264B10" w:rsidP="00D05987">
            <w:pPr>
              <w:spacing w:after="120"/>
              <w:rPr>
                <w:i/>
                <w:sz w:val="22"/>
                <w:szCs w:val="22"/>
              </w:rPr>
            </w:pPr>
            <w:r w:rsidRPr="00264B10">
              <w:rPr>
                <w:i/>
                <w:sz w:val="22"/>
                <w:szCs w:val="22"/>
              </w:rPr>
              <w:t>Electric Arc Furnace Best Available Control Technology limit</w:t>
            </w:r>
          </w:p>
        </w:tc>
        <w:tc>
          <w:tcPr>
            <w:tcW w:w="1686" w:type="dxa"/>
          </w:tcPr>
          <w:p w:rsidR="00AB5528" w:rsidRPr="00AB5528" w:rsidRDefault="00264B10" w:rsidP="00D05987">
            <w:pPr>
              <w:spacing w:after="120"/>
              <w:rPr>
                <w:i/>
                <w:sz w:val="22"/>
                <w:szCs w:val="22"/>
              </w:rPr>
            </w:pPr>
            <w:r w:rsidRPr="00264B10">
              <w:rPr>
                <w:i/>
                <w:sz w:val="22"/>
                <w:szCs w:val="22"/>
              </w:rPr>
              <w:t>particulate matter  0.0018 gr/dscf</w:t>
            </w:r>
          </w:p>
        </w:tc>
      </w:tr>
      <w:tr w:rsidR="00AB5528" w:rsidRPr="00FD4C58" w:rsidTr="00B723C2">
        <w:trPr>
          <w:jc w:val="center"/>
        </w:trPr>
        <w:tc>
          <w:tcPr>
            <w:tcW w:w="1680" w:type="dxa"/>
            <w:shd w:val="clear" w:color="auto" w:fill="auto"/>
          </w:tcPr>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20 % opacity</w:t>
            </w:r>
          </w:p>
        </w:tc>
        <w:tc>
          <w:tcPr>
            <w:tcW w:w="1980" w:type="dxa"/>
            <w:shd w:val="clear" w:color="auto" w:fill="auto"/>
          </w:tcPr>
          <w:p w:rsidR="00AB5528" w:rsidRPr="00AB5528" w:rsidRDefault="00AB5528" w:rsidP="00D05987">
            <w:pPr>
              <w:spacing w:after="120"/>
              <w:rPr>
                <w:i/>
                <w:sz w:val="22"/>
                <w:szCs w:val="22"/>
              </w:rPr>
            </w:pP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15 % opacity </w:t>
            </w:r>
          </w:p>
        </w:tc>
        <w:tc>
          <w:tcPr>
            <w:tcW w:w="1710" w:type="dxa"/>
          </w:tcPr>
          <w:p w:rsidR="00AB5528" w:rsidRPr="00AB5528" w:rsidRDefault="00AB5528" w:rsidP="00D05987">
            <w:pPr>
              <w:spacing w:after="120"/>
              <w:rPr>
                <w:b/>
                <w:bCs/>
                <w:i/>
                <w:sz w:val="22"/>
                <w:szCs w:val="22"/>
              </w:rPr>
            </w:pPr>
          </w:p>
        </w:tc>
        <w:tc>
          <w:tcPr>
            <w:tcW w:w="1440" w:type="dxa"/>
          </w:tcPr>
          <w:p w:rsidR="00AB5528" w:rsidRPr="00AB5528" w:rsidRDefault="00264B10" w:rsidP="00D05987">
            <w:pPr>
              <w:spacing w:after="120"/>
              <w:rPr>
                <w:bCs/>
                <w:i/>
                <w:sz w:val="22"/>
                <w:szCs w:val="22"/>
              </w:rPr>
            </w:pPr>
            <w:r w:rsidRPr="00264B10">
              <w:rPr>
                <w:bCs/>
                <w:i/>
                <w:iCs/>
                <w:sz w:val="22"/>
                <w:szCs w:val="22"/>
              </w:rPr>
              <w:t xml:space="preserve">20 % opacity </w:t>
            </w:r>
          </w:p>
        </w:tc>
        <w:tc>
          <w:tcPr>
            <w:tcW w:w="1711" w:type="dxa"/>
          </w:tcPr>
          <w:p w:rsidR="00AB5528" w:rsidRPr="00AB5528" w:rsidRDefault="00AB5528" w:rsidP="00D05987">
            <w:pPr>
              <w:spacing w:after="120"/>
              <w:rPr>
                <w:bCs/>
                <w:i/>
                <w:iCs/>
                <w:sz w:val="22"/>
                <w:szCs w:val="22"/>
              </w:rPr>
            </w:pPr>
          </w:p>
        </w:tc>
        <w:tc>
          <w:tcPr>
            <w:tcW w:w="1686" w:type="dxa"/>
          </w:tcPr>
          <w:p w:rsidR="00AB5528" w:rsidRPr="00AB5528" w:rsidRDefault="00AB5528" w:rsidP="00D05987">
            <w:pPr>
              <w:spacing w:after="120"/>
              <w:rPr>
                <w:bCs/>
                <w:i/>
                <w:iCs/>
                <w:sz w:val="22"/>
                <w:szCs w:val="22"/>
              </w:rPr>
            </w:pPr>
          </w:p>
        </w:tc>
      </w:tr>
    </w:tbl>
    <w:p w:rsidR="002416C4" w:rsidRDefault="002416C4" w:rsidP="007B42EC">
      <w:pPr>
        <w:ind w:right="-115"/>
        <w:rPr>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rsidR="00D05987" w:rsidRPr="002416C4" w:rsidRDefault="00D05987" w:rsidP="00D05987">
            <w:pPr>
              <w:rPr>
                <w:i/>
              </w:rPr>
            </w:pPr>
          </w:p>
          <w:p w:rsidR="00264B10" w:rsidRDefault="00D05987" w:rsidP="00264B10">
            <w:pPr>
              <w:ind w:left="72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rsidR="00D05987" w:rsidRPr="002416C4" w:rsidRDefault="00D05987" w:rsidP="00D05987">
            <w:pPr>
              <w:rPr>
                <w:i/>
              </w:rPr>
            </w:pPr>
          </w:p>
          <w:p w:rsidR="00D05987" w:rsidRPr="002416C4" w:rsidRDefault="00D05987" w:rsidP="00D05987">
            <w:pPr>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rsidR="00D05987" w:rsidRPr="002416C4" w:rsidRDefault="00D05987" w:rsidP="00D05987">
            <w:pPr>
              <w:rPr>
                <w:i/>
              </w:rPr>
            </w:pPr>
          </w:p>
          <w:p w:rsidR="00D05987" w:rsidRPr="003B05ED" w:rsidRDefault="00D05987" w:rsidP="00D05987">
            <w:pPr>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rsidR="002416C4" w:rsidRDefault="002416C4" w:rsidP="007B42EC">
      <w:pPr>
        <w:ind w:right="-115"/>
        <w:rPr>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trPr>
        <w:tc>
          <w:tcPr>
            <w:tcW w:w="13318" w:type="dxa"/>
            <w:gridSpan w:val="6"/>
            <w:shd w:val="clear" w:color="auto" w:fill="auto"/>
          </w:tcPr>
          <w:p w:rsidR="002416C4" w:rsidRPr="002416C4" w:rsidRDefault="00264B10" w:rsidP="00D05987">
            <w:pPr>
              <w:jc w:val="center"/>
              <w:rPr>
                <w:i/>
              </w:rPr>
            </w:pPr>
            <w:r w:rsidRPr="00264B10">
              <w:rPr>
                <w:i/>
                <w:sz w:val="22"/>
                <w:szCs w:val="22"/>
              </w:rPr>
              <w:lastRenderedPageBreak/>
              <w:br w:type="page"/>
            </w:r>
            <w:r w:rsidRPr="00264B10">
              <w:rPr>
                <w:b/>
                <w:bCs/>
                <w:i/>
              </w:rPr>
              <w:t>Charcoal Producing Plant Rule Comparison</w:t>
            </w:r>
          </w:p>
        </w:tc>
      </w:tr>
      <w:tr w:rsidR="002416C4" w:rsidRPr="002416C4" w:rsidTr="00D05987">
        <w:trPr>
          <w:trHeight w:val="204"/>
          <w:tblHeader/>
          <w:jc w:val="center"/>
        </w:trPr>
        <w:tc>
          <w:tcPr>
            <w:tcW w:w="4409" w:type="dxa"/>
            <w:gridSpan w:val="2"/>
            <w:shd w:val="clear" w:color="auto" w:fill="auto"/>
          </w:tcPr>
          <w:p w:rsidR="002416C4" w:rsidRPr="002416C4" w:rsidRDefault="00264B10" w:rsidP="00D05987">
            <w:pPr>
              <w:jc w:val="center"/>
              <w:rPr>
                <w:b/>
                <w:i/>
                <w:sz w:val="22"/>
                <w:szCs w:val="22"/>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rsidR="002416C4" w:rsidRPr="002416C4" w:rsidRDefault="00264B10" w:rsidP="00D05987">
            <w:pPr>
              <w:jc w:val="center"/>
              <w:rPr>
                <w:b/>
                <w:i/>
                <w:sz w:val="22"/>
                <w:szCs w:val="22"/>
              </w:rPr>
            </w:pPr>
            <w:r w:rsidRPr="00264B10">
              <w:rPr>
                <w:b/>
                <w:i/>
                <w:sz w:val="22"/>
                <w:szCs w:val="22"/>
              </w:rPr>
              <w:t>CFR – NSPS Subpart Y</w:t>
            </w:r>
          </w:p>
        </w:tc>
        <w:tc>
          <w:tcPr>
            <w:tcW w:w="4409" w:type="dxa"/>
            <w:gridSpan w:val="2"/>
          </w:tcPr>
          <w:p w:rsidR="002416C4" w:rsidRPr="002416C4" w:rsidRDefault="00264B10" w:rsidP="00D05987">
            <w:pPr>
              <w:jc w:val="center"/>
              <w:rPr>
                <w:b/>
                <w:i/>
                <w:sz w:val="22"/>
                <w:szCs w:val="22"/>
              </w:rPr>
            </w:pPr>
            <w:r w:rsidRPr="00264B10">
              <w:rPr>
                <w:b/>
                <w:i/>
                <w:sz w:val="22"/>
                <w:szCs w:val="22"/>
              </w:rPr>
              <w:t>Prevention of Significant Deterioration</w:t>
            </w:r>
          </w:p>
        </w:tc>
      </w:tr>
      <w:tr w:rsidR="002416C4" w:rsidRPr="002416C4" w:rsidTr="00D05987">
        <w:trPr>
          <w:tblHeader/>
          <w:jc w:val="center"/>
        </w:trPr>
        <w:tc>
          <w:tcPr>
            <w:tcW w:w="2219"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19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189" w:type="dxa"/>
          </w:tcPr>
          <w:p w:rsidR="002416C4" w:rsidRPr="002416C4" w:rsidRDefault="00264B10" w:rsidP="00D05987">
            <w:pPr>
              <w:jc w:val="center"/>
              <w:rPr>
                <w:b/>
                <w:i/>
                <w:sz w:val="22"/>
                <w:szCs w:val="22"/>
              </w:rPr>
            </w:pPr>
            <w:r w:rsidRPr="00264B10">
              <w:rPr>
                <w:b/>
                <w:i/>
                <w:sz w:val="22"/>
                <w:szCs w:val="22"/>
              </w:rPr>
              <w:t>SOURCE</w:t>
            </w:r>
          </w:p>
        </w:tc>
        <w:tc>
          <w:tcPr>
            <w:tcW w:w="2220" w:type="dxa"/>
          </w:tcPr>
          <w:p w:rsidR="002416C4" w:rsidRPr="002416C4" w:rsidRDefault="00264B10" w:rsidP="00D05987">
            <w:pPr>
              <w:jc w:val="center"/>
              <w:rPr>
                <w:b/>
                <w:i/>
                <w:sz w:val="22"/>
                <w:szCs w:val="22"/>
              </w:rPr>
            </w:pPr>
            <w:r w:rsidRPr="00264B10">
              <w:rPr>
                <w:b/>
                <w:i/>
                <w:sz w:val="22"/>
                <w:szCs w:val="22"/>
              </w:rPr>
              <w:t>LIMIT</w:t>
            </w:r>
          </w:p>
        </w:tc>
      </w:tr>
      <w:tr w:rsidR="002416C4" w:rsidRPr="002416C4" w:rsidTr="00D05987">
        <w:trPr>
          <w:trHeight w:val="53"/>
          <w:jc w:val="center"/>
        </w:trPr>
        <w:tc>
          <w:tcPr>
            <w:tcW w:w="2219" w:type="dxa"/>
            <w:shd w:val="clear" w:color="auto" w:fill="auto"/>
          </w:tcPr>
          <w:p w:rsidR="002416C4" w:rsidRPr="002416C4" w:rsidRDefault="00264B10" w:rsidP="00D05987">
            <w:pPr>
              <w:spacing w:after="120"/>
              <w:rPr>
                <w:i/>
                <w:sz w:val="22"/>
                <w:szCs w:val="22"/>
              </w:rPr>
            </w:pPr>
            <w:r w:rsidRPr="00264B10">
              <w:rPr>
                <w:b/>
                <w:bCs/>
                <w:i/>
                <w:sz w:val="22"/>
                <w:szCs w:val="22"/>
              </w:rPr>
              <w:t xml:space="preserve">340-240-0170 </w:t>
            </w:r>
          </w:p>
          <w:p w:rsidR="002416C4" w:rsidRPr="002416C4" w:rsidRDefault="00264B10" w:rsidP="00D05987">
            <w:pPr>
              <w:spacing w:after="120"/>
              <w:rPr>
                <w:i/>
                <w:sz w:val="22"/>
                <w:szCs w:val="22"/>
              </w:rPr>
            </w:pPr>
            <w:r w:rsidRPr="00264B10">
              <w:rPr>
                <w:b/>
                <w:bCs/>
                <w:i/>
                <w:sz w:val="22"/>
                <w:szCs w:val="22"/>
              </w:rPr>
              <w:t>Charcoal Producing Plants</w:t>
            </w:r>
            <w:r w:rsidRPr="00264B10">
              <w:rPr>
                <w:i/>
                <w:sz w:val="22"/>
                <w:szCs w:val="22"/>
              </w:rPr>
              <w:t xml:space="preserve"> </w:t>
            </w:r>
          </w:p>
          <w:p w:rsidR="002416C4" w:rsidRPr="002416C4" w:rsidRDefault="00264B10" w:rsidP="00D05987">
            <w:pPr>
              <w:spacing w:after="120"/>
              <w:rPr>
                <w:i/>
                <w:sz w:val="22"/>
                <w:szCs w:val="22"/>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10.0 pounds per ton of char excluding char storage, briquette making, boilers not using charcoal furnace off-gases, and fugitive sources </w:t>
            </w:r>
          </w:p>
          <w:p w:rsidR="002416C4" w:rsidRPr="002416C4" w:rsidRDefault="00264B10" w:rsidP="00D05987">
            <w:pPr>
              <w:spacing w:after="120"/>
              <w:rPr>
                <w:i/>
                <w:sz w:val="22"/>
                <w:szCs w:val="22"/>
              </w:rPr>
            </w:pPr>
            <w:r w:rsidRPr="00264B10">
              <w:rPr>
                <w:i/>
                <w:sz w:val="22"/>
                <w:szCs w:val="22"/>
              </w:rPr>
              <w:t xml:space="preserve">charcoal producing plants exempt from 0.1 gr/dscf for sources after June 1, 1970 and process weight in division 226. </w:t>
            </w:r>
          </w:p>
        </w:tc>
        <w:tc>
          <w:tcPr>
            <w:tcW w:w="2250" w:type="dxa"/>
            <w:shd w:val="clear" w:color="auto" w:fill="auto"/>
          </w:tcPr>
          <w:p w:rsidR="002416C4" w:rsidRPr="002416C4" w:rsidRDefault="00264B10" w:rsidP="00D05987">
            <w:pPr>
              <w:spacing w:after="120"/>
              <w:rPr>
                <w:b/>
                <w:bCs/>
                <w:i/>
                <w:sz w:val="22"/>
                <w:szCs w:val="22"/>
              </w:rPr>
            </w:pPr>
            <w:r w:rsidRPr="00264B10">
              <w:rPr>
                <w:b/>
                <w:bCs/>
                <w:i/>
                <w:sz w:val="22"/>
                <w:szCs w:val="22"/>
              </w:rPr>
              <w:t>Subpart Y—Standards of Performance for Coal Preparation and Processing Plants</w:t>
            </w:r>
          </w:p>
          <w:p w:rsidR="002416C4" w:rsidRPr="002416C4" w:rsidRDefault="00264B10" w:rsidP="00D05987">
            <w:pPr>
              <w:spacing w:after="120"/>
              <w:rPr>
                <w:i/>
                <w:sz w:val="22"/>
                <w:szCs w:val="22"/>
              </w:rPr>
            </w:pPr>
            <w:r w:rsidRPr="00264B10">
              <w:rPr>
                <w:i/>
                <w:sz w:val="22"/>
                <w:szCs w:val="22"/>
              </w:rPr>
              <w:t>charcoal briquet manufacturing plants that process over 200 tons of coal a day and meet definition of "coal preparation plant"</w:t>
            </w:r>
          </w:p>
          <w:p w:rsidR="002416C4" w:rsidRPr="002416C4" w:rsidRDefault="00264B10" w:rsidP="00D05987">
            <w:pPr>
              <w:spacing w:after="120"/>
              <w:rPr>
                <w:i/>
                <w:sz w:val="22"/>
                <w:szCs w:val="22"/>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0.010 gr/dscf from thermal dryer; pneumatic coal-cleaning equipment; mechanical vent </w:t>
            </w:r>
          </w:p>
          <w:p w:rsidR="002416C4" w:rsidRPr="002416C4" w:rsidRDefault="00264B10" w:rsidP="00D05987">
            <w:pPr>
              <w:spacing w:after="120"/>
              <w:rPr>
                <w:i/>
                <w:sz w:val="22"/>
                <w:szCs w:val="22"/>
              </w:rPr>
            </w:pPr>
            <w:r w:rsidRPr="00264B10">
              <w:rPr>
                <w:i/>
                <w:sz w:val="22"/>
                <w:szCs w:val="22"/>
              </w:rPr>
              <w:t>10 % opacity except equipment for loading, unloading, and conveying operations of open storage piles.</w:t>
            </w:r>
          </w:p>
          <w:p w:rsidR="002416C4" w:rsidRPr="002416C4" w:rsidRDefault="00264B10" w:rsidP="00D05987">
            <w:pPr>
              <w:spacing w:after="120"/>
              <w:rPr>
                <w:i/>
                <w:sz w:val="22"/>
                <w:szCs w:val="22"/>
              </w:rPr>
            </w:pPr>
            <w:r w:rsidRPr="00264B10">
              <w:rPr>
                <w:i/>
                <w:sz w:val="22"/>
                <w:szCs w:val="22"/>
              </w:rPr>
              <w:t xml:space="preserve">fugitive coal dust control plan for open storage pile, includes loading, unloading, and conveying operations </w:t>
            </w:r>
          </w:p>
          <w:p w:rsidR="002416C4" w:rsidRPr="002416C4" w:rsidRDefault="002416C4" w:rsidP="00D05987">
            <w:pPr>
              <w:spacing w:after="120"/>
              <w:rPr>
                <w:i/>
                <w:sz w:val="22"/>
                <w:szCs w:val="22"/>
              </w:rPr>
            </w:pPr>
          </w:p>
        </w:tc>
        <w:tc>
          <w:tcPr>
            <w:tcW w:w="2189" w:type="dxa"/>
          </w:tcPr>
          <w:p w:rsidR="002416C4" w:rsidRPr="002416C4" w:rsidRDefault="00264B10" w:rsidP="00D05987">
            <w:pPr>
              <w:spacing w:after="120"/>
              <w:rPr>
                <w:i/>
                <w:sz w:val="22"/>
                <w:szCs w:val="22"/>
              </w:rPr>
            </w:pPr>
            <w:r w:rsidRPr="00264B10">
              <w:rPr>
                <w:i/>
                <w:sz w:val="22"/>
                <w:szCs w:val="22"/>
              </w:rPr>
              <w:t>Best Available Control Technology limit for charcoal furnaces, heat recovery boilers, and wood dryers using any portion of the charcoal furnace off-gases</w:t>
            </w:r>
          </w:p>
        </w:tc>
        <w:tc>
          <w:tcPr>
            <w:tcW w:w="2220" w:type="dxa"/>
          </w:tcPr>
          <w:p w:rsidR="002416C4" w:rsidRPr="002416C4" w:rsidRDefault="00264B10" w:rsidP="00D05987">
            <w:pPr>
              <w:spacing w:after="120"/>
              <w:rPr>
                <w:i/>
                <w:sz w:val="22"/>
                <w:szCs w:val="22"/>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rsidR="002416C4" w:rsidRPr="002416C4" w:rsidRDefault="00264B10" w:rsidP="00D05987">
            <w:pPr>
              <w:spacing w:after="120"/>
              <w:rPr>
                <w:i/>
                <w:sz w:val="22"/>
                <w:szCs w:val="22"/>
              </w:rPr>
            </w:pPr>
            <w:r w:rsidRPr="00264B10">
              <w:rPr>
                <w:i/>
                <w:sz w:val="22"/>
                <w:szCs w:val="22"/>
              </w:rPr>
              <w:t>0.3000 pounds per ton of dry briquettes limit for briquette coolers and dryers</w:t>
            </w:r>
          </w:p>
          <w:p w:rsidR="002416C4" w:rsidRPr="002416C4" w:rsidRDefault="00264B10" w:rsidP="00D05987">
            <w:pPr>
              <w:spacing w:after="120"/>
              <w:rPr>
                <w:i/>
                <w:sz w:val="22"/>
                <w:szCs w:val="22"/>
              </w:rPr>
            </w:pPr>
            <w:r w:rsidRPr="00264B10">
              <w:rPr>
                <w:i/>
                <w:sz w:val="22"/>
                <w:szCs w:val="22"/>
              </w:rPr>
              <w:t xml:space="preserve">Adding these two BACT limits to obtain 4.487 pounds per ton of briquettes </w:t>
            </w:r>
          </w:p>
        </w:tc>
      </w:tr>
    </w:tbl>
    <w:p w:rsidR="007065BC" w:rsidRDefault="007065BC" w:rsidP="007B42EC">
      <w:pPr>
        <w:ind w:right="-115"/>
        <w:rPr>
          <w:bCs/>
        </w:rPr>
      </w:pPr>
    </w:p>
    <w:p w:rsidR="002416C4" w:rsidRDefault="002416C4" w:rsidP="007B42EC">
      <w:pPr>
        <w:ind w:right="-115"/>
        <w:rPr>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b/>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rsidR="00D05987" w:rsidRDefault="00D05987" w:rsidP="00D05987">
            <w:pPr>
              <w:rPr>
                <w:i/>
              </w:rPr>
            </w:pPr>
          </w:p>
          <w:p w:rsidR="00D05987" w:rsidRDefault="00D05987" w:rsidP="00D05987">
            <w:pPr>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rsidR="00D05987" w:rsidRPr="002416C4" w:rsidRDefault="00D05987" w:rsidP="00D05987">
            <w:pPr>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trPr>
              <w:tc>
                <w:tcPr>
                  <w:tcW w:w="8665" w:type="dxa"/>
                  <w:gridSpan w:val="4"/>
                  <w:shd w:val="clear" w:color="auto" w:fill="auto"/>
                </w:tcPr>
                <w:p w:rsidR="00D05987" w:rsidRPr="002416C4" w:rsidRDefault="00D05987" w:rsidP="00D05987">
                  <w:pPr>
                    <w:jc w:val="center"/>
                    <w:rPr>
                      <w:b/>
                      <w:i/>
                    </w:rPr>
                  </w:pPr>
                  <w:r w:rsidRPr="002416C4">
                    <w:rPr>
                      <w:i/>
                    </w:rPr>
                    <w:br w:type="page"/>
                  </w:r>
                  <w:r w:rsidR="00264B10" w:rsidRPr="00264B10">
                    <w:rPr>
                      <w:b/>
                      <w:bCs/>
                      <w:i/>
                    </w:rPr>
                    <w:t>Sulfite Pulp Mill Rule Comparison</w:t>
                  </w:r>
                </w:p>
              </w:tc>
            </w:tr>
            <w:tr w:rsidR="00D05987" w:rsidRPr="002416C4" w:rsidTr="00D05987">
              <w:trPr>
                <w:trHeight w:val="204"/>
                <w:tblHeader/>
                <w:jc w:val="center"/>
              </w:trPr>
              <w:tc>
                <w:tcPr>
                  <w:tcW w:w="4333" w:type="dxa"/>
                  <w:gridSpan w:val="2"/>
                  <w:shd w:val="clear" w:color="auto" w:fill="auto"/>
                </w:tcPr>
                <w:p w:rsidR="00D05987" w:rsidRPr="002416C4" w:rsidRDefault="00264B10" w:rsidP="00D05987">
                  <w:pPr>
                    <w:jc w:val="center"/>
                    <w:rPr>
                      <w:b/>
                      <w:i/>
                      <w:sz w:val="22"/>
                      <w:szCs w:val="22"/>
                    </w:rPr>
                  </w:pPr>
                  <w:r w:rsidRPr="00264B10">
                    <w:rPr>
                      <w:b/>
                      <w:i/>
                      <w:sz w:val="22"/>
                      <w:szCs w:val="22"/>
                    </w:rPr>
                    <w:br w:type="page"/>
                    <w:t>Sulfite Pulp Mill OAR</w:t>
                  </w:r>
                </w:p>
              </w:tc>
              <w:tc>
                <w:tcPr>
                  <w:tcW w:w="4332" w:type="dxa"/>
                  <w:gridSpan w:val="2"/>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D05987">
              <w:trPr>
                <w:tblHeader/>
                <w:jc w:val="center"/>
              </w:trPr>
              <w:tc>
                <w:tcPr>
                  <w:tcW w:w="2166" w:type="dxa"/>
                  <w:shd w:val="clear" w:color="auto" w:fill="auto"/>
                </w:tcPr>
                <w:p w:rsidR="00D05987" w:rsidRPr="002416C4" w:rsidRDefault="00264B10" w:rsidP="00D05987">
                  <w:pPr>
                    <w:jc w:val="center"/>
                    <w:rPr>
                      <w:b/>
                      <w:i/>
                      <w:sz w:val="22"/>
                      <w:szCs w:val="22"/>
                    </w:rPr>
                  </w:pPr>
                  <w:r w:rsidRPr="00264B10">
                    <w:rPr>
                      <w:b/>
                      <w:i/>
                      <w:sz w:val="22"/>
                      <w:szCs w:val="22"/>
                    </w:rPr>
                    <w:t>SOURCE</w:t>
                  </w:r>
                </w:p>
              </w:tc>
              <w:tc>
                <w:tcPr>
                  <w:tcW w:w="2166" w:type="dxa"/>
                  <w:shd w:val="clear" w:color="auto" w:fill="auto"/>
                </w:tcPr>
                <w:p w:rsidR="00D05987" w:rsidRPr="002416C4" w:rsidRDefault="00264B10" w:rsidP="00D05987">
                  <w:pPr>
                    <w:jc w:val="center"/>
                    <w:rPr>
                      <w:b/>
                      <w:i/>
                      <w:sz w:val="22"/>
                      <w:szCs w:val="22"/>
                    </w:rPr>
                  </w:pPr>
                  <w:r w:rsidRPr="00264B10">
                    <w:rPr>
                      <w:b/>
                      <w:i/>
                      <w:sz w:val="22"/>
                      <w:szCs w:val="22"/>
                    </w:rPr>
                    <w:t>LIMIT</w:t>
                  </w:r>
                </w:p>
              </w:tc>
              <w:tc>
                <w:tcPr>
                  <w:tcW w:w="2166" w:type="dxa"/>
                </w:tcPr>
                <w:p w:rsidR="00D05987" w:rsidRPr="002416C4" w:rsidRDefault="00264B10" w:rsidP="00D05987">
                  <w:pPr>
                    <w:jc w:val="center"/>
                    <w:rPr>
                      <w:b/>
                      <w:i/>
                      <w:sz w:val="22"/>
                      <w:szCs w:val="22"/>
                    </w:rPr>
                  </w:pPr>
                  <w:r w:rsidRPr="00264B10">
                    <w:rPr>
                      <w:b/>
                      <w:i/>
                      <w:sz w:val="22"/>
                      <w:szCs w:val="22"/>
                    </w:rPr>
                    <w:t>SOURCE</w:t>
                  </w:r>
                </w:p>
              </w:tc>
              <w:tc>
                <w:tcPr>
                  <w:tcW w:w="2167" w:type="dxa"/>
                </w:tcPr>
                <w:p w:rsidR="00D05987" w:rsidRPr="002416C4" w:rsidRDefault="00264B10" w:rsidP="00D05987">
                  <w:pPr>
                    <w:jc w:val="center"/>
                    <w:rPr>
                      <w:b/>
                      <w:i/>
                      <w:sz w:val="22"/>
                      <w:szCs w:val="22"/>
                    </w:rPr>
                  </w:pPr>
                  <w:r w:rsidRPr="00264B10">
                    <w:rPr>
                      <w:b/>
                      <w:i/>
                      <w:sz w:val="22"/>
                      <w:szCs w:val="22"/>
                    </w:rPr>
                    <w:t>LIMIT</w:t>
                  </w:r>
                </w:p>
              </w:tc>
            </w:tr>
            <w:tr w:rsidR="00D05987" w:rsidRPr="002416C4" w:rsidTr="00D05987">
              <w:trPr>
                <w:trHeight w:val="1943"/>
                <w:jc w:val="center"/>
              </w:trPr>
              <w:tc>
                <w:tcPr>
                  <w:tcW w:w="2166" w:type="dxa"/>
                  <w:shd w:val="clear" w:color="auto" w:fill="auto"/>
                </w:tcPr>
                <w:p w:rsidR="00D05987" w:rsidRPr="002416C4" w:rsidRDefault="00264B10" w:rsidP="00D05987">
                  <w:pPr>
                    <w:rPr>
                      <w:b/>
                      <w:bCs/>
                      <w:i/>
                      <w:sz w:val="22"/>
                      <w:szCs w:val="22"/>
                    </w:rPr>
                  </w:pPr>
                  <w:r w:rsidRPr="00264B10">
                    <w:rPr>
                      <w:b/>
                      <w:bCs/>
                      <w:i/>
                      <w:sz w:val="22"/>
                      <w:szCs w:val="22"/>
                    </w:rPr>
                    <w:t>Sulfite Pulp Mills</w:t>
                  </w:r>
                </w:p>
                <w:p w:rsidR="00D05987" w:rsidRPr="002416C4" w:rsidRDefault="00264B10" w:rsidP="00D05987">
                  <w:pPr>
                    <w:rPr>
                      <w:i/>
                      <w:sz w:val="22"/>
                      <w:szCs w:val="22"/>
                    </w:rPr>
                  </w:pPr>
                  <w:r w:rsidRPr="00264B10">
                    <w:rPr>
                      <w:b/>
                      <w:bCs/>
                      <w:i/>
                      <w:sz w:val="22"/>
                      <w:szCs w:val="22"/>
                    </w:rPr>
                    <w:t xml:space="preserve">OAR 340-234-0400 </w:t>
                  </w:r>
                </w:p>
                <w:p w:rsidR="00D05987" w:rsidRPr="002416C4" w:rsidRDefault="00264B10" w:rsidP="00D05987">
                  <w:pPr>
                    <w:rPr>
                      <w:i/>
                      <w:sz w:val="22"/>
                      <w:szCs w:val="22"/>
                    </w:rPr>
                  </w:pPr>
                  <w:r w:rsidRPr="00264B10">
                    <w:rPr>
                      <w:i/>
                      <w:sz w:val="22"/>
                      <w:szCs w:val="22"/>
                    </w:rPr>
                    <w:t xml:space="preserve">existing and new sulfite pulp mills </w:t>
                  </w:r>
                </w:p>
                <w:p w:rsidR="00D05987" w:rsidRPr="002416C4" w:rsidRDefault="00D05987" w:rsidP="00D05987">
                  <w:pPr>
                    <w:rPr>
                      <w:i/>
                      <w:sz w:val="22"/>
                      <w:szCs w:val="22"/>
                    </w:rPr>
                  </w:pPr>
                </w:p>
                <w:p w:rsidR="00D05987" w:rsidRPr="002416C4" w:rsidRDefault="00264B10" w:rsidP="00D05987">
                  <w:pPr>
                    <w:rPr>
                      <w:b/>
                      <w:bCs/>
                      <w:i/>
                      <w:sz w:val="22"/>
                      <w:szCs w:val="22"/>
                    </w:rPr>
                  </w:pPr>
                  <w:r w:rsidRPr="00264B10">
                    <w:rPr>
                      <w:i/>
                      <w:sz w:val="22"/>
                      <w:szCs w:val="22"/>
                    </w:rPr>
                    <w:t>recovery furnace stacks</w:t>
                  </w:r>
                </w:p>
              </w:tc>
              <w:tc>
                <w:tcPr>
                  <w:tcW w:w="2166" w:type="dxa"/>
                  <w:shd w:val="clear" w:color="auto" w:fill="auto"/>
                </w:tcPr>
                <w:p w:rsidR="00D05987" w:rsidRPr="002416C4" w:rsidRDefault="00264B10" w:rsidP="00D05987">
                  <w:pPr>
                    <w:rPr>
                      <w:i/>
                      <w:sz w:val="22"/>
                      <w:szCs w:val="22"/>
                    </w:rPr>
                  </w:pPr>
                  <w:r w:rsidRPr="00264B10">
                    <w:rPr>
                      <w:i/>
                      <w:sz w:val="22"/>
                      <w:szCs w:val="22"/>
                    </w:rPr>
                    <w:t>particulate matter 4 pounds per air dried ton of unbleached pulp</w:t>
                  </w:r>
                </w:p>
              </w:tc>
              <w:tc>
                <w:tcPr>
                  <w:tcW w:w="2166" w:type="dxa"/>
                </w:tcPr>
                <w:p w:rsidR="00D05987" w:rsidRPr="002416C4" w:rsidRDefault="00264B10" w:rsidP="00D05987">
                  <w:pPr>
                    <w:rPr>
                      <w:i/>
                      <w:sz w:val="22"/>
                      <w:szCs w:val="22"/>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rsidR="00D05987" w:rsidRPr="002416C4" w:rsidRDefault="00264B10" w:rsidP="00D05987">
                  <w:pPr>
                    <w:rPr>
                      <w:b/>
                      <w:bCs/>
                      <w:i/>
                      <w:sz w:val="22"/>
                      <w:szCs w:val="22"/>
                    </w:rPr>
                  </w:pPr>
                  <w:r w:rsidRPr="00264B10">
                    <w:rPr>
                      <w:i/>
                      <w:sz w:val="22"/>
                      <w:szCs w:val="22"/>
                    </w:rPr>
                    <w:t xml:space="preserve"> (04/15/98)</w:t>
                  </w:r>
                </w:p>
              </w:tc>
              <w:tc>
                <w:tcPr>
                  <w:tcW w:w="2167" w:type="dxa"/>
                </w:tcPr>
                <w:p w:rsidR="00D05987" w:rsidRPr="002416C4" w:rsidRDefault="00264B10" w:rsidP="00D05987">
                  <w:pPr>
                    <w:rPr>
                      <w:i/>
                      <w:sz w:val="22"/>
                      <w:szCs w:val="22"/>
                    </w:rPr>
                  </w:pPr>
                  <w:r w:rsidRPr="00264B10">
                    <w:rPr>
                      <w:i/>
                      <w:sz w:val="22"/>
                      <w:szCs w:val="22"/>
                    </w:rPr>
                    <w:t xml:space="preserve">particulate matter  0.020 gr/dscf </w:t>
                  </w:r>
                </w:p>
              </w:tc>
            </w:tr>
          </w:tbl>
          <w:p w:rsidR="00D05987" w:rsidRDefault="00D05987" w:rsidP="00D05987"/>
          <w:p w:rsidR="00D05987" w:rsidRDefault="00D05987" w:rsidP="00D05987">
            <w:pPr>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rsidR="00D05987" w:rsidRDefault="00D05987" w:rsidP="00D05987">
            <w:pPr>
              <w:rPr>
                <w:i/>
              </w:rPr>
            </w:pPr>
          </w:p>
          <w:p w:rsidR="00D05987" w:rsidRPr="00EA6300" w:rsidRDefault="00D05987" w:rsidP="00D05987">
            <w:pPr>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rsidR="00D05987" w:rsidRPr="003B05ED" w:rsidRDefault="00D05987" w:rsidP="00D05987">
            <w:pPr>
              <w:rPr>
                <w:i/>
              </w:rPr>
            </w:pPr>
          </w:p>
        </w:tc>
      </w:tr>
    </w:tbl>
    <w:p w:rsidR="002416C4" w:rsidRDefault="002416C4" w:rsidP="007B42EC">
      <w:pPr>
        <w:ind w:right="-115"/>
        <w:rPr>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rFonts w:ascii="Tahoma" w:hAnsi="Tahoma" w:cs="Tahoma"/>
                <w:sz w:val="16"/>
                <w:szCs w:val="16"/>
              </w:rP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
                <w:iCs/>
              </w:rPr>
            </w:pPr>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p>
          <w:p w:rsidR="00D05987" w:rsidRPr="00436698" w:rsidRDefault="00D05987" w:rsidP="00D05987">
            <w:pPr>
              <w:autoSpaceDE w:val="0"/>
              <w:autoSpaceDN w:val="0"/>
              <w:adjustRightInd w:val="0"/>
              <w:spacing w:before="240" w:after="120"/>
              <w:ind w:right="487"/>
              <w:rPr>
                <w:i/>
              </w:rPr>
            </w:pPr>
            <w:r w:rsidRPr="00436698">
              <w:rPr>
                <w:i/>
              </w:rPr>
              <w:t>DEQ did not change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CE407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CE4074" w:rsidRPr="00EB3D0B" w:rsidRDefault="00CE4074" w:rsidP="00CE4074">
            <w:pPr>
              <w:spacing w:after="120"/>
              <w:jc w:val="center"/>
              <w:rPr>
                <w:b/>
              </w:rPr>
            </w:pPr>
            <w:r w:rsidRPr="00EB3D0B">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Pr="00264B10" w:rsidRDefault="00533EB4" w:rsidP="00264B10">
            <w:pPr>
              <w:spacing w:after="120"/>
              <w:ind w:right="-115"/>
              <w:jc w:val="center"/>
              <w:rPr>
                <w:bCs/>
              </w:rPr>
            </w:pPr>
            <w:r>
              <w:rPr>
                <w:bCs/>
              </w:rPr>
              <w:t xml:space="preserve">Category 2: </w:t>
            </w:r>
            <w:r w:rsidRPr="0000079D">
              <w:rPr>
                <w:bCs/>
              </w:rPr>
              <w:t>Update particulate matter emission standards</w:t>
            </w:r>
          </w:p>
        </w:tc>
      </w:tr>
      <w:tr w:rsidR="00CE407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CE4074" w:rsidRPr="00CE4074" w:rsidRDefault="00CE4074" w:rsidP="00CE4074">
            <w:pPr>
              <w:ind w:right="-115"/>
              <w:rPr>
                <w:bCs/>
              </w:rPr>
            </w:pPr>
            <w:r>
              <w:rPr>
                <w:bCs/>
              </w:rPr>
              <w:t>2.1</w:t>
            </w:r>
          </w:p>
          <w:p w:rsidR="00CE4074" w:rsidRPr="00EB3D0B" w:rsidRDefault="00CE407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CE4074" w:rsidRDefault="00CE407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CE4074" w:rsidRPr="00AA0A6F" w:rsidRDefault="00CE407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Default="00CE407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CE4074" w:rsidRPr="00EB3D0B" w:rsidRDefault="00CE4074" w:rsidP="00533EB4">
            <w:pPr>
              <w:spacing w:after="120"/>
              <w:rPr>
                <w:i/>
              </w:rPr>
            </w:pPr>
            <w:r w:rsidRPr="00EF26AB">
              <w:rPr>
                <w:i/>
              </w:rPr>
              <w:t>DEQ agrees with the commenter and changed the proposed rules in response to this comment.</w:t>
            </w:r>
          </w:p>
        </w:tc>
      </w:tr>
      <w:tr w:rsidR="00CE4074" w:rsidRPr="00EB3D0B" w:rsidTr="000D4B5F">
        <w:trPr>
          <w:trHeight w:val="110"/>
        </w:trPr>
        <w:tc>
          <w:tcPr>
            <w:tcW w:w="810" w:type="dxa"/>
            <w:tcBorders>
              <w:left w:val="single" w:sz="4" w:space="0" w:color="999999"/>
              <w:bottom w:val="single" w:sz="4" w:space="0" w:color="auto"/>
              <w:right w:val="single" w:sz="4" w:space="0" w:color="999999"/>
            </w:tcBorders>
            <w:shd w:val="clear" w:color="auto" w:fill="auto"/>
          </w:tcPr>
          <w:p w:rsidR="00CE4074" w:rsidRPr="00EB3D0B" w:rsidRDefault="00CE4074" w:rsidP="00533EB4">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CE4074" w:rsidRPr="00EB3D0B" w:rsidRDefault="00CE407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Pr="00EB3D0B" w:rsidRDefault="00CE4074" w:rsidP="00533EB4">
            <w:pPr>
              <w:spacing w:after="120"/>
              <w:rPr>
                <w:i/>
              </w:rPr>
            </w:pPr>
            <w:r>
              <w:rPr>
                <w:i/>
              </w:rPr>
              <w:t xml:space="preserve">As stated in the Invitation to Comment, </w:t>
            </w:r>
            <w:r w:rsidRPr="00EB3D0B">
              <w:rPr>
                <w:i/>
              </w:rPr>
              <w:t>DEQ is proposing the changes for the following reasons:</w:t>
            </w:r>
          </w:p>
          <w:p w:rsidR="00CE4074" w:rsidRPr="00EB3D0B" w:rsidRDefault="00CE407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CE4074" w:rsidRPr="00EB3D0B" w:rsidRDefault="00CE4074" w:rsidP="00533EB4">
            <w:pPr>
              <w:numPr>
                <w:ilvl w:val="0"/>
                <w:numId w:val="3"/>
              </w:numPr>
              <w:spacing w:after="120"/>
              <w:rPr>
                <w:i/>
              </w:rPr>
            </w:pPr>
            <w:r w:rsidRPr="00EB3D0B">
              <w:rPr>
                <w:i/>
              </w:rPr>
              <w:t>More and more areas of the state are special control areas due to population increases.</w:t>
            </w:r>
          </w:p>
          <w:p w:rsidR="00CE4074" w:rsidRPr="00EB3D0B" w:rsidRDefault="00CE407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CE4074" w:rsidRPr="00EB3D0B" w:rsidTr="00DF4E3E">
              <w:trPr>
                <w:trHeight w:val="359"/>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 Background</w:t>
                  </w:r>
                </w:p>
              </w:tc>
            </w:tr>
            <w:tr w:rsidR="00CE4074" w:rsidRPr="00EB3D0B" w:rsidTr="001248C2">
              <w:trPr>
                <w:trHeight w:val="485"/>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CE4074" w:rsidRPr="00EB3D0B" w:rsidTr="001248C2">
              <w:trPr>
                <w:trHeight w:val="476"/>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CE4074" w:rsidRPr="00EB3D0B" w:rsidRDefault="00CE407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CE4074" w:rsidRPr="00EB3D0B" w:rsidRDefault="00CE407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CE4074" w:rsidRDefault="00CE407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CE4074" w:rsidRPr="00EB3D0B" w:rsidRDefault="00CE407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w:t>
            </w:r>
            <w:r w:rsidR="00CE4074">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w:t>
            </w:r>
            <w:r w:rsidR="00CE4074">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1"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1"/>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r w:rsidRPr="00791301">
              <w:rPr>
                <w:i/>
              </w:rPr>
              <w:t>covering, at all times when in motion, open bodied trucks transporting materials likely to become airborne.</w:t>
            </w:r>
          </w:p>
          <w:p w:rsidR="00533EB4" w:rsidRPr="00791301" w:rsidRDefault="00533EB4" w:rsidP="00533EB4">
            <w:pPr>
              <w:spacing w:after="120"/>
              <w:rPr>
                <w:i/>
              </w:rPr>
            </w:pPr>
            <w:bookmarkStart w:id="2" w:name="_Ref385678117"/>
            <w:bookmarkStart w:id="3"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2"/>
            <w:r w:rsidRPr="00791301">
              <w:rPr>
                <w:i/>
              </w:rPr>
              <w:t xml:space="preserve">  [OAR 340-218-0050(3)(a)]</w:t>
            </w:r>
            <w:bookmarkEnd w:id="3"/>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4" w:name="_Ref385922892"/>
            <w:r w:rsidRPr="00791301">
              <w:rPr>
                <w:i/>
              </w:rPr>
              <w:t>The permittee must maintain records of the fugitive emissions surveys, corrective actions (if necessary), and/or the results of any modified EPA Method 9 tests.</w:t>
            </w:r>
            <w:bookmarkEnd w:id="4"/>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3.1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48513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sidR="001C1ABC">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sidR="0003208F">
              <w:rPr>
                <w:i/>
              </w:rPr>
              <w:t xml:space="preserve">ncluded in the source’s permit. DEQ recognizes that some sources </w:t>
            </w:r>
            <w:r w:rsidR="001E7F6C">
              <w:rPr>
                <w:i/>
              </w:rPr>
              <w:t>will have to evaluate their equipment to determine it should be in the permit, but DEQ expects that most sources will not be affected by this change.</w:t>
            </w:r>
          </w:p>
          <w:p w:rsidR="00533EB4" w:rsidRPr="00801A92" w:rsidRDefault="00533EB4" w:rsidP="00485132">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sidR="001C1ABC">
              <w:rPr>
                <w:i/>
              </w:rPr>
              <w:t xml:space="preserve">ss in these categories. </w:t>
            </w:r>
            <w:r w:rsidRPr="00801A92">
              <w:rPr>
                <w:i/>
              </w:rPr>
              <w:t xml:space="preserve"> DEQ has therefore removed the phrase</w:t>
            </w:r>
            <w:r w:rsidR="001C1ABC">
              <w:rPr>
                <w:i/>
              </w:rPr>
              <w:t xml:space="preserve"> “fuel burning equipment.”</w:t>
            </w: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03208F" w:rsidRDefault="0003208F" w:rsidP="0003208F">
            <w:pPr>
              <w:ind w:left="720"/>
              <w:rPr>
                <w:i/>
              </w:rPr>
            </w:pPr>
            <w:r w:rsidRPr="0003208F">
              <w:rPr>
                <w:i/>
              </w:rPr>
              <w:t>(d)Distillate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00533EB4" w:rsidRPr="0003208F">
              <w:rPr>
                <w:i/>
              </w:rPr>
              <w:t xml:space="preserve">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 xml:space="preserve">The construction of data centers equipped with a large backup generator capacity </w:t>
            </w:r>
            <w:r w:rsidRPr="00EF08FB">
              <w:rPr>
                <w:i/>
              </w:rPr>
              <w:lastRenderedPageBreak/>
              <w:t>powered by emergency engines; and</w:t>
            </w:r>
          </w:p>
          <w:p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proofErr w:type="spellStart"/>
            <w:proofErr w:type="gramStart"/>
            <w:r w:rsidR="0071632E">
              <w:rPr>
                <w:i/>
              </w:rPr>
              <w:t>belives</w:t>
            </w:r>
            <w:proofErr w:type="spellEnd"/>
            <w:r w:rsidR="0071632E">
              <w:rPr>
                <w:i/>
              </w:rPr>
              <w:t xml:space="preserve"> </w:t>
            </w:r>
            <w:r w:rsidRPr="00EF08FB">
              <w:rPr>
                <w:i/>
              </w:rPr>
              <w:t xml:space="preserve"> that</w:t>
            </w:r>
            <w:proofErr w:type="gramEnd"/>
            <w:r w:rsidRPr="00EF08FB">
              <w:rPr>
                <w:i/>
              </w:rPr>
              <w:t xml:space="preserve"> this default level will allow emergency generators and pumps at the majority of sources to still be considered categorically insignificant without requiring emissions calculations or </w:t>
            </w:r>
            <w:r w:rsidRPr="00EF08FB">
              <w:rPr>
                <w:i/>
              </w:rPr>
              <w:lastRenderedPageBreak/>
              <w:t>permit revisions to specify the number of operating hours used for the emissions calculations. If 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lastRenderedPageBreak/>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3E523C" w:rsidRPr="003E523C" w:rsidRDefault="003E523C" w:rsidP="003E523C">
            <w:pPr>
              <w:ind w:left="720"/>
              <w:rPr>
                <w:i/>
              </w:rPr>
            </w:pPr>
            <w:r w:rsidRPr="003E523C">
              <w:rPr>
                <w:i/>
              </w:rPr>
              <w:t xml:space="preserve"> (bbb) Uncontrolled oil/water separators in effluent treatment systems, excluding systems with a throughput of more than 400,000 gallons per year of effluent located at the following sources: </w:t>
            </w:r>
          </w:p>
          <w:p w:rsidR="003E523C" w:rsidRPr="003E523C" w:rsidRDefault="003E523C" w:rsidP="003E523C">
            <w:pPr>
              <w:ind w:left="720"/>
              <w:rPr>
                <w:i/>
              </w:rPr>
            </w:pPr>
            <w:r w:rsidRPr="003E523C">
              <w:rPr>
                <w:i/>
              </w:rPr>
              <w:t>(A) Petroleum refineries;</w:t>
            </w:r>
          </w:p>
          <w:p w:rsidR="003E523C" w:rsidRPr="003E523C" w:rsidRDefault="003E523C" w:rsidP="003E523C">
            <w:pPr>
              <w:ind w:left="720"/>
              <w:rPr>
                <w:i/>
              </w:rPr>
            </w:pPr>
            <w:r w:rsidRPr="003E523C">
              <w:rPr>
                <w:i/>
              </w:rPr>
              <w:t>(B) Sources that perform petroleum refining and re-refining of lubricating oils and greases including asphalt production by distillation and the reprocessing of oils and/or solvents for fuels; or</w:t>
            </w:r>
          </w:p>
          <w:p w:rsidR="003E523C" w:rsidRPr="003E523C" w:rsidRDefault="003E523C" w:rsidP="003E523C">
            <w:pPr>
              <w:ind w:left="720"/>
              <w:rPr>
                <w:i/>
              </w:rPr>
            </w:pPr>
            <w:r w:rsidRPr="003E523C">
              <w:rPr>
                <w:i/>
              </w:rPr>
              <w:t xml:space="preserve">(C) Bulk gasoline plants, bulk gasoline terminals, and pipeline facilities; </w:t>
            </w:r>
          </w:p>
          <w:p w:rsidR="003E523C" w:rsidRPr="00061375" w:rsidRDefault="003E523C" w:rsidP="00533EB4">
            <w:pPr>
              <w:spacing w:after="120"/>
              <w:ind w:left="720"/>
              <w:rPr>
                <w:i/>
                <w:iCs/>
              </w:rPr>
            </w:pP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rFonts w:ascii="Times New Roman" w:hAnsi="Times New Roman" w:cs="Times New Roman"/>
                <w:i/>
                <w:color w:val="auto"/>
                <w:u w:val="none"/>
              </w:rPr>
              <w:t xml:space="preserve">AP42, </w:t>
            </w:r>
            <w:hyperlink r:id="rId13" w:history="1">
              <w:r w:rsidRPr="001247D0">
                <w:rPr>
                  <w:rStyle w:val="Hyperlink"/>
                  <w:rFonts w:ascii="Times New Roman" w:hAnsi="Times New Roman" w:cs="Times New Roman"/>
                  <w:i/>
                  <w:color w:val="auto"/>
                  <w:u w:val="none"/>
                </w:rPr>
                <w:t>Table 5.1-2</w:t>
              </w:r>
            </w:hyperlink>
            <w:r w:rsidRPr="001247D0">
              <w:rPr>
                <w:rStyle w:val="Hyperlink"/>
                <w:rFonts w:ascii="Times New Roman" w:hAnsi="Times New Roman" w:cs="Times New Roman"/>
                <w:color w:val="auto"/>
                <w:u w:val="none"/>
              </w:rPr>
              <w:t xml:space="preserve">). </w:t>
            </w:r>
            <w:hyperlink r:id="rId14"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4.1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w:t>
            </w:r>
            <w:r w:rsidR="000666AE" w:rsidRPr="000666AE">
              <w:t xml:space="preserve">The proposed rules use many cross-references and refer to different regulatory sections. </w:t>
            </w:r>
            <w:r w:rsidRPr="004A2341">
              <w:t xml:space="preserve">In addition, DEQ’s proposal to differentiate between “major sources” and “federal major sources” in nonattainment and </w:t>
            </w:r>
            <w:r w:rsidRPr="004A2341">
              <w:lastRenderedPageBreak/>
              <w:t xml:space="preserve">maintenance areas will put “major sources” under a lesser level of scrutiny. </w:t>
            </w:r>
          </w:p>
          <w:p w:rsidR="00533EB4" w:rsidRDefault="00533EB4" w:rsidP="00533EB4">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0666AE" w:rsidRPr="000666AE" w:rsidRDefault="000666AE" w:rsidP="000666AE">
            <w:pPr>
              <w:spacing w:after="120"/>
              <w:rPr>
                <w:i/>
              </w:rPr>
            </w:pPr>
            <w:r w:rsidRPr="000666AE">
              <w:rPr>
                <w:i/>
              </w:rPr>
              <w:t>DEQ acknowledges that the rules frequently refer readers to other sections, but a deliberate effort was made in this rulemaking to keep such referencing to a minimum. Thus, the proposed State New Source Review sections in OAR 340 division 224 are indeed somewhat duplicative, but this was done to keep as many requirements in one place as possible. The structure of each State New Source Review rule section also follows the structure of the 2001/2015 New Source Review rules.</w:t>
            </w:r>
          </w:p>
          <w:p w:rsidR="000666AE" w:rsidRPr="004A2341" w:rsidRDefault="000666AE" w:rsidP="00533EB4">
            <w:pPr>
              <w:spacing w:after="120"/>
              <w:rPr>
                <w:i/>
              </w:rPr>
            </w:pP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009755FC">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w:t>
            </w:r>
            <w:r w:rsidRPr="004A2341">
              <w:rPr>
                <w:i/>
              </w:rPr>
              <w:lastRenderedPageBreak/>
              <w:t xml:space="preserve">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w:t>
            </w:r>
            <w:r w:rsidR="0075791D">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 xml:space="preserve">To remove the permitting roadblock for sources subject to State New Source Review, DEQ essentially blended the requirements for attainment and nonattainment areas to allow sources a </w:t>
            </w:r>
            <w:r w:rsidRPr="00F80AD1">
              <w:rPr>
                <w:i/>
              </w:rPr>
              <w:lastRenderedPageBreak/>
              <w:t>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5.1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sidR="00091D57">
              <w:rPr>
                <w:i/>
              </w:rPr>
              <w:t>ing</w:t>
            </w:r>
            <w:r w:rsidRPr="004A2341">
              <w:rPr>
                <w:i/>
              </w:rPr>
              <w:t xml:space="preserve"> air quality</w:t>
            </w:r>
            <w:r w:rsidR="00091D57">
              <w:rPr>
                <w:i/>
              </w:rPr>
              <w:t xml:space="preserve"> in Lakeview</w:t>
            </w:r>
            <w:r w:rsidRPr="004A2341">
              <w:rPr>
                <w:i/>
              </w:rPr>
              <w:t xml:space="preserve">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p>
          <w:p w:rsidR="00533EB4" w:rsidRDefault="00533EB4" w:rsidP="00533EB4">
            <w:pPr>
              <w:spacing w:after="120"/>
              <w:rPr>
                <w:i/>
              </w:rPr>
            </w:pPr>
            <w:r w:rsidRPr="004A2341">
              <w:rPr>
                <w:i/>
              </w:rPr>
              <w:t xml:space="preserve">DEQ </w:t>
            </w:r>
            <w:r w:rsidR="00031F9E">
              <w:rPr>
                <w:i/>
              </w:rPr>
              <w:t xml:space="preserve">does not </w:t>
            </w:r>
            <w:r w:rsidRPr="004A2341">
              <w:rPr>
                <w:i/>
              </w:rPr>
              <w:t>agree with commenters that the proposed offset ratio of 0.1:1 is too low.</w:t>
            </w:r>
            <w:r w:rsidR="00091D57">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6.1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sidR="008B2810">
              <w:rPr>
                <w:i/>
              </w:rPr>
              <w:t xml:space="preserve">is </w:t>
            </w:r>
            <w:r w:rsidRPr="00B673D0">
              <w:rPr>
                <w:i/>
              </w:rPr>
              <w:t>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1C4FB6">
            <w:pPr>
              <w:spacing w:after="120"/>
              <w:ind w:left="720"/>
              <w:rPr>
                <w:i/>
              </w:rPr>
            </w:pPr>
            <w:r w:rsidRPr="00B673D0">
              <w:rPr>
                <w:i/>
              </w:rPr>
              <w:t xml:space="preserve">“2001/2015 </w:t>
            </w:r>
            <w:r>
              <w:rPr>
                <w:i/>
              </w:rPr>
              <w:t>New Source Review</w:t>
            </w:r>
            <w:r w:rsidR="005F06EE">
              <w:rPr>
                <w:i/>
              </w:rPr>
              <w:t>”</w:t>
            </w:r>
            <w:r w:rsidRPr="00B673D0">
              <w:rPr>
                <w:i/>
              </w:rPr>
              <w:t xml:space="preserve"> refers to the </w:t>
            </w:r>
            <w:r>
              <w:rPr>
                <w:i/>
              </w:rPr>
              <w:t>New Source Review</w:t>
            </w:r>
            <w:r w:rsidRPr="00B673D0">
              <w:rPr>
                <w:i/>
              </w:rPr>
              <w:t xml:space="preserve"> program in OAR 340 division 224 as it existed from 2001 through early 2015;</w:t>
            </w:r>
          </w:p>
          <w:p w:rsidR="00533EB4" w:rsidRPr="00B673D0" w:rsidRDefault="00533EB4" w:rsidP="001C4FB6">
            <w:pPr>
              <w:spacing w:after="120"/>
              <w:ind w:left="720"/>
              <w:rPr>
                <w:i/>
              </w:rPr>
            </w:pPr>
            <w:r w:rsidRPr="00B673D0">
              <w:rPr>
                <w:i/>
              </w:rPr>
              <w:t>“</w:t>
            </w:r>
            <w:r>
              <w:rPr>
                <w:i/>
              </w:rPr>
              <w:t>Plant Site Emission Limit</w:t>
            </w:r>
            <w:r w:rsidR="005F06EE">
              <w:rPr>
                <w:i/>
              </w:rPr>
              <w:t xml:space="preserve"> rule”</w:t>
            </w:r>
            <w:r w:rsidRPr="00B673D0">
              <w:rPr>
                <w:i/>
              </w:rPr>
              <w:t xml:space="preserve"> refers to OAR 340-222-0041 as it existed from 2001 through early 2015; and</w:t>
            </w:r>
          </w:p>
          <w:p w:rsidR="00533EB4" w:rsidRPr="00B673D0" w:rsidRDefault="00533EB4" w:rsidP="001C4FB6">
            <w:pPr>
              <w:spacing w:after="120"/>
              <w:ind w:left="720"/>
              <w:rPr>
                <w:i/>
              </w:rPr>
            </w:pPr>
            <w:r w:rsidRPr="00B673D0">
              <w:rPr>
                <w:i/>
              </w:rPr>
              <w:t xml:space="preserve">“Major </w:t>
            </w:r>
            <w:r>
              <w:rPr>
                <w:i/>
              </w:rPr>
              <w:t>New Source Review</w:t>
            </w:r>
            <w:r w:rsidRPr="00B673D0">
              <w:rPr>
                <w:i/>
              </w:rPr>
              <w:t xml:space="preserve">” and “State </w:t>
            </w:r>
            <w:r>
              <w:rPr>
                <w:i/>
              </w:rPr>
              <w:t>New Source Review</w:t>
            </w:r>
            <w:r w:rsidR="005F06EE">
              <w:rPr>
                <w:i/>
              </w:rPr>
              <w:t>”</w:t>
            </w:r>
            <w:r w:rsidRPr="00B673D0">
              <w:rPr>
                <w:i/>
              </w:rPr>
              <w:t xml:space="preserve"> refer to the new major and minor </w:t>
            </w:r>
            <w:r>
              <w:rPr>
                <w:i/>
              </w:rPr>
              <w:t>New Source Review</w:t>
            </w:r>
            <w:r w:rsidRPr="00B673D0">
              <w:rPr>
                <w:i/>
              </w:rPr>
              <w:t xml:space="preserve"> program created by this rulemaking and found in the </w:t>
            </w:r>
            <w:r w:rsidR="001C4FB6">
              <w:rPr>
                <w:i/>
              </w:rPr>
              <w:t>propo</w:t>
            </w:r>
            <w:r w:rsidRPr="00B673D0">
              <w:rPr>
                <w:i/>
              </w:rPr>
              <w:t xml:space="preserve">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w:t>
            </w:r>
            <w:r w:rsidR="008F19FD">
              <w:rPr>
                <w:i/>
              </w:rPr>
              <w:t xml:space="preserve"> the</w:t>
            </w:r>
            <w:r w:rsidRPr="00B673D0">
              <w:rPr>
                <w:i/>
              </w:rPr>
              <w:t xml:space="preserve">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r w:rsidRPr="00B673D0">
              <w:rPr>
                <w:i/>
              </w:rPr>
              <w:t xml:space="preserve">subject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sidR="00EE1D90">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r w:rsidR="008F19FD">
              <w:rPr>
                <w:i/>
              </w:rPr>
              <w:t xml:space="preserve"> and</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w:t>
            </w:r>
            <w:r w:rsidRPr="004A6A28">
              <w:rPr>
                <w:i/>
              </w:rPr>
              <w:lastRenderedPageBreak/>
              <w:t xml:space="preserve">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sidR="00E93C49">
              <w:rPr>
                <w:rFonts w:eastAsiaTheme="majorEastAsia"/>
                <w:bCs/>
                <w:i/>
              </w:rPr>
              <w:t>are subject to NSR under the 2001/2015 NSR rules</w:t>
            </w:r>
            <w:r w:rsidRPr="00030EE9">
              <w:rPr>
                <w:rFonts w:eastAsiaTheme="majorEastAsia"/>
                <w:bCs/>
                <w:i/>
              </w:rPr>
              <w:t>.</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w:t>
            </w:r>
            <w:r w:rsidRPr="00654843">
              <w:rPr>
                <w:rFonts w:cs="Arial"/>
              </w:rPr>
              <w:lastRenderedPageBreak/>
              <w:t xml:space="preserve">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E760E6" w:rsidRPr="00E760E6" w:rsidRDefault="00533EB4" w:rsidP="00533EB4">
            <w:pPr>
              <w:spacing w:before="240" w:after="120"/>
              <w:rPr>
                <w:rFonts w:ascii="Arial" w:hAnsi="Arial"/>
                <w:sz w:val="22"/>
              </w:rPr>
            </w:pPr>
            <w:r>
              <w:rPr>
                <w:rFonts w:ascii="Arial" w:hAnsi="Arial"/>
                <w:sz w:val="22"/>
              </w:rPr>
              <w:t>Response:</w:t>
            </w:r>
          </w:p>
          <w:p w:rsidR="00E760E6" w:rsidRDefault="00E760E6" w:rsidP="00533EB4">
            <w:pPr>
              <w:spacing w:after="12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sidR="00C321EB">
              <w:rPr>
                <w:i/>
              </w:rPr>
              <w:t>-224-0540 for designated areas...</w:t>
            </w:r>
            <w:r>
              <w:rPr>
                <w:i/>
              </w:rPr>
              <w:t>.”</w:t>
            </w:r>
            <w:r w:rsidR="00C321EB">
              <w:rPr>
                <w:i/>
              </w:rPr>
              <w:t xml:space="preserve"> In addition, rules OAR 340-224-0500 through -0540 </w:t>
            </w:r>
            <w:proofErr w:type="gramStart"/>
            <w:r w:rsidR="00C321EB">
              <w:rPr>
                <w:i/>
              </w:rPr>
              <w:t>are</w:t>
            </w:r>
            <w:proofErr w:type="gramEnd"/>
            <w:r w:rsidR="00C321EB">
              <w:rPr>
                <w:i/>
              </w:rPr>
              <w:t xml:space="preserve"> under the heading “Net Air Quality Benefit Emission Offsets.”</w:t>
            </w:r>
          </w:p>
          <w:p w:rsidR="00C321EB" w:rsidRDefault="00C321EB" w:rsidP="00533EB4">
            <w:pPr>
              <w:spacing w:after="120"/>
              <w:rPr>
                <w:i/>
              </w:rPr>
            </w:pPr>
            <w:r>
              <w:rPr>
                <w:i/>
              </w:rPr>
              <w:t xml:space="preserve">The term </w:t>
            </w:r>
            <w:r w:rsidR="0000110E">
              <w:rPr>
                <w:i/>
              </w:rPr>
              <w:t>“</w:t>
            </w:r>
            <w:r>
              <w:rPr>
                <w:i/>
              </w:rPr>
              <w:t>net air quality benefit</w:t>
            </w:r>
            <w:r w:rsidR="0000110E">
              <w:rPr>
                <w:i/>
              </w:rPr>
              <w:t>”</w:t>
            </w:r>
            <w:r>
              <w:rPr>
                <w:i/>
              </w:rPr>
              <w:t xml:space="preserve"> broadly includes offsets and a modeling demonstration; however, the modeling demonstration alone is commonly referred to as net air quality benefit. </w:t>
            </w:r>
            <w:r w:rsidR="00C62C63">
              <w:rPr>
                <w:i/>
              </w:rPr>
              <w:t>Given the wording discussed in the preceding paragraph</w:t>
            </w:r>
            <w:r w:rsidR="0000110E">
              <w:rPr>
                <w:i/>
              </w:rPr>
              <w:t>, DEQ understands how the rules may appear to require net air quality benefit in attainment or unclassified areas. However, the rules themselves ar</w:t>
            </w:r>
            <w:r w:rsidR="00C62C63">
              <w:rPr>
                <w:i/>
              </w:rPr>
              <w:t xml:space="preserve">e </w:t>
            </w:r>
            <w:r w:rsidR="0000110E">
              <w:rPr>
                <w:i/>
              </w:rPr>
              <w:t>clear about the requirements that must be met for other areas impacted by the source, and net air quality benefit is not required for attainment or unclassified areas.</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
              </w:rPr>
            </w:pPr>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r w:rsidR="005F258E">
              <w:rPr>
                <w:i/>
              </w:rPr>
              <w:t xml:space="preserve">determined </w:t>
            </w:r>
            <w:r w:rsidRPr="008D1050">
              <w:rPr>
                <w:i/>
              </w:rPr>
              <w:t xml:space="preserve">the most effective way to ensure that applicants submit a copy of Major New Source Review permit applications to EPA is to add this requirement to the permit application directions and forms. </w:t>
            </w:r>
          </w:p>
          <w:p w:rsidR="00533EB4" w:rsidRPr="004A6A28" w:rsidRDefault="00533EB4" w:rsidP="00533EB4">
            <w:pPr>
              <w:spacing w:after="120"/>
            </w:pPr>
            <w:r w:rsidRPr="00EF26AB">
              <w:rPr>
                <w:bCs/>
                <w:i/>
              </w:rPr>
              <w:t>DEQ agrees with some of the commenters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lastRenderedPageBreak/>
              <w:t>Response:</w:t>
            </w:r>
          </w:p>
          <w:p w:rsidR="00533EB4" w:rsidRPr="001C6348" w:rsidRDefault="00533EB4" w:rsidP="00533EB4">
            <w:pPr>
              <w:spacing w:after="120"/>
              <w:rPr>
                <w:i/>
              </w:rPr>
            </w:pPr>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p>
          <w:p w:rsidR="00533EB4" w:rsidRPr="001C6348" w:rsidRDefault="00533EB4" w:rsidP="00533EB4">
            <w:pPr>
              <w:spacing w:after="120"/>
              <w:rPr>
                <w:i/>
              </w:rPr>
            </w:pPr>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r w:rsidR="005F258E">
              <w:rPr>
                <w:i/>
              </w:rPr>
              <w:t xml:space="preserve">determined </w:t>
            </w:r>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p>
          <w:p w:rsidR="00533EB4" w:rsidRPr="001C6348" w:rsidRDefault="00533EB4" w:rsidP="00533EB4">
            <w:pPr>
              <w:spacing w:after="120"/>
              <w:rPr>
                <w:i/>
              </w:rPr>
            </w:pPr>
            <w:r w:rsidRPr="001C6348">
              <w:rPr>
                <w:i/>
              </w:rPr>
              <w:t xml:space="preserve">Based on this guidance, DEQ has changed the proposed language on extensions and mirrors the EPA guidance. DEQ also changed the </w:t>
            </w:r>
            <w:r w:rsidR="009D0A98">
              <w:rPr>
                <w:i/>
              </w:rPr>
              <w:t>fee</w:t>
            </w:r>
            <w:r w:rsidRPr="001C6348">
              <w:rPr>
                <w:i/>
              </w:rPr>
              <w:t xml:space="preserve"> requirement to a simple technical permit modification fee for the first extension period since there is no air quality analysis involved. </w:t>
            </w:r>
          </w:p>
          <w:p w:rsidR="00533EB4" w:rsidRPr="001B794D" w:rsidRDefault="00533EB4" w:rsidP="00533EB4">
            <w:pPr>
              <w:spacing w:after="120"/>
            </w:pPr>
            <w:r w:rsidRPr="001C6348">
              <w:rPr>
                <w:i/>
              </w:rPr>
              <w:t>DEQ agrees with some of the commenters and changed the proposed rule as some of the commenters suggested.</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lastRenderedPageBreak/>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
              </w:rPr>
            </w:pPr>
            <w:r w:rsidRPr="00D71820">
              <w:rPr>
                <w:i/>
              </w:rPr>
              <w:t>DEQ agrees in part with the comment. DEQ reviewed the proposed rule language and the existing language in the definition of major modification, and also discussed this rule with EPA Region 10 staff.</w:t>
            </w:r>
          </w:p>
          <w:p w:rsidR="00533EB4" w:rsidRPr="00D71820" w:rsidRDefault="00533EB4" w:rsidP="00533EB4">
            <w:pPr>
              <w:spacing w:after="120"/>
              <w:rPr>
                <w:i/>
              </w:rPr>
            </w:pPr>
            <w:r w:rsidRPr="00D71820">
              <w:rPr>
                <w:i/>
              </w:rPr>
              <w:t xml:space="preserve">Region 10 staff informed DEQ that the rule must be clear on how emissions increases are </w:t>
            </w:r>
            <w:r w:rsidRPr="00D71820">
              <w:rPr>
                <w:i/>
              </w:rPr>
              <w:lastRenderedPageBreak/>
              <w:t>calculated. The original proposal was most likely an attempt to provide the necessary clarity. However, upon review DEQ agrees that the proposal was problematic, as indicated by commenters.</w:t>
            </w:r>
          </w:p>
          <w:p w:rsidR="00533EB4" w:rsidRPr="00D71820" w:rsidRDefault="00533EB4" w:rsidP="00533EB4">
            <w:pPr>
              <w:spacing w:after="120"/>
              <w:rPr>
                <w:i/>
              </w:rPr>
            </w:pPr>
            <w:r w:rsidRPr="00D71820">
              <w:rPr>
                <w:i/>
              </w:rPr>
              <w:t>DEQ first note</w:t>
            </w:r>
            <w:r w:rsidR="00B723C2">
              <w:rPr>
                <w:i/>
              </w:rPr>
              <w:t>s</w:t>
            </w:r>
            <w:r w:rsidRPr="00D71820">
              <w:rPr>
                <w:i/>
              </w:rPr>
              <w:t xml:space="preserve"> that there are two tests for a major modification. The two tests are:</w:t>
            </w:r>
          </w:p>
          <w:p w:rsidR="00533EB4" w:rsidRPr="00D71820" w:rsidRDefault="00533EB4" w:rsidP="00533EB4">
            <w:pPr>
              <w:spacing w:after="120"/>
              <w:rPr>
                <w:i/>
              </w:rPr>
            </w:pPr>
            <w:r w:rsidRPr="00D71820">
              <w:rPr>
                <w:i/>
              </w:rPr>
              <w:t xml:space="preserve">Test 1: A PSEL or actual emissions that exceed the netting basis by an amount that is equal to or greater than the SER; and </w:t>
            </w:r>
          </w:p>
          <w:p w:rsidR="00533EB4" w:rsidRPr="00D71820" w:rsidRDefault="00533EB4" w:rsidP="00533EB4">
            <w:pPr>
              <w:spacing w:after="120"/>
              <w:rPr>
                <w:i/>
              </w:rPr>
            </w:pPr>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p>
          <w:p w:rsidR="00533EB4" w:rsidRPr="00D71820" w:rsidRDefault="00533EB4" w:rsidP="00533EB4">
            <w:pPr>
              <w:spacing w:after="120"/>
              <w:rPr>
                <w:i/>
              </w:rPr>
            </w:pPr>
            <w:r w:rsidRPr="00D71820">
              <w:rPr>
                <w:i/>
              </w:rPr>
              <w:t>An important distinction between these two tests is that Test 1 allows for emissions netting, while Test 2 only considers “emission increases</w:t>
            </w:r>
            <w:r w:rsidR="00F721FB">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rsidR="00533EB4" w:rsidRPr="00D71820" w:rsidRDefault="00533EB4" w:rsidP="00533EB4">
            <w:pPr>
              <w:spacing w:after="120"/>
              <w:rPr>
                <w:i/>
              </w:rPr>
            </w:pPr>
            <w:r w:rsidRPr="00D71820">
              <w:rPr>
                <w:i/>
              </w:rPr>
              <w:t>For the purpose of this discussion, the following terms are used:</w:t>
            </w:r>
          </w:p>
          <w:p w:rsidR="00533EB4" w:rsidRPr="00D71820" w:rsidRDefault="00533EB4" w:rsidP="00533EB4">
            <w:pPr>
              <w:numPr>
                <w:ilvl w:val="0"/>
                <w:numId w:val="20"/>
              </w:numPr>
              <w:spacing w:after="120"/>
              <w:rPr>
                <w:i/>
              </w:rPr>
            </w:pPr>
            <w:r w:rsidRPr="00D71820">
              <w:rPr>
                <w:i/>
              </w:rPr>
              <w:t>A unit’s “portion of the baseline emission rate” means the portion of a source’s baseline emission rate that is attributed to the unit in question.</w:t>
            </w:r>
          </w:p>
          <w:p w:rsidR="00533EB4" w:rsidRPr="00D71820" w:rsidRDefault="00533EB4" w:rsidP="00533EB4">
            <w:pPr>
              <w:numPr>
                <w:ilvl w:val="0"/>
                <w:numId w:val="20"/>
              </w:numPr>
              <w:spacing w:after="120"/>
              <w:rPr>
                <w:i/>
              </w:rPr>
            </w:pPr>
            <w:r w:rsidRPr="00D71820">
              <w:rPr>
                <w:i/>
              </w:rPr>
              <w:t>A unit’s “portion of the netting basis” means the portion of a source’s netting basis that is attributed to the unit in question. In some cases it will not be possible to determine a unit’s portion of the netting basis.</w:t>
            </w:r>
          </w:p>
          <w:p w:rsidR="00533EB4" w:rsidRPr="00D71820" w:rsidRDefault="00533EB4" w:rsidP="00533EB4">
            <w:pPr>
              <w:numPr>
                <w:ilvl w:val="0"/>
                <w:numId w:val="20"/>
              </w:numPr>
              <w:spacing w:after="120"/>
              <w:rPr>
                <w:i/>
              </w:rPr>
            </w:pPr>
            <w:r w:rsidRPr="00D71820">
              <w:rPr>
                <w:i/>
              </w:rPr>
              <w:t>“Change” broadly refers to the action a source proposes to take that may trigger NSR, including physical changes and changes in the method of operation.</w:t>
            </w:r>
          </w:p>
          <w:p w:rsidR="00533EB4" w:rsidRPr="00D71820" w:rsidRDefault="00533EB4" w:rsidP="00533EB4">
            <w:pPr>
              <w:numPr>
                <w:ilvl w:val="0"/>
                <w:numId w:val="20"/>
              </w:numPr>
              <w:spacing w:after="120"/>
              <w:rPr>
                <w:i/>
              </w:rPr>
            </w:pPr>
            <w:r w:rsidRPr="00D71820">
              <w:rPr>
                <w:i/>
              </w:rPr>
              <w:t>“Potential to emit” has the meaning given in OAR 340-200-0020; in particular, potential to emit takes enforceable limitations into account.</w:t>
            </w:r>
          </w:p>
          <w:p w:rsidR="00533EB4" w:rsidRPr="00D71820" w:rsidRDefault="00533EB4" w:rsidP="00533EB4">
            <w:pPr>
              <w:numPr>
                <w:ilvl w:val="0"/>
                <w:numId w:val="20"/>
              </w:numPr>
              <w:spacing w:after="120"/>
              <w:rPr>
                <w:i/>
              </w:rPr>
            </w:pPr>
            <w:r w:rsidRPr="00D71820">
              <w:rPr>
                <w:i/>
              </w:rPr>
              <w:t>“Capacity” has the meaning given in OAR 340-200-0020: “the maximum regulated pollutant emissions from a stationary source under its physical and operational design</w:t>
            </w:r>
            <w:r w:rsidR="00F721FB">
              <w:rPr>
                <w:i/>
              </w:rPr>
              <w:t>.</w:t>
            </w:r>
            <w:r w:rsidRPr="00D71820">
              <w:rPr>
                <w:i/>
              </w:rPr>
              <w:t>”</w:t>
            </w:r>
          </w:p>
          <w:p w:rsidR="00533EB4" w:rsidRPr="00D71820" w:rsidRDefault="00533EB4" w:rsidP="00533EB4">
            <w:pPr>
              <w:spacing w:after="120"/>
              <w:rPr>
                <w:i/>
              </w:rPr>
            </w:pPr>
            <w:r w:rsidRPr="00D71820">
              <w:rPr>
                <w:i/>
              </w:rPr>
              <w:t xml:space="preserve">The first thing to consider is how to quantify a unit’s post change emissions. DEQ </w:t>
            </w:r>
            <w:r w:rsidR="005F258E">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r w:rsidR="00F721FB">
              <w:rPr>
                <w:i/>
              </w:rPr>
              <w:t>.</w:t>
            </w:r>
            <w:r w:rsidRPr="00D71820">
              <w:rPr>
                <w:i/>
              </w:rPr>
              <w:t xml:space="preserve">”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rsidR="00533EB4" w:rsidRDefault="00533EB4" w:rsidP="00533EB4">
            <w:pPr>
              <w:spacing w:after="120"/>
              <w:rPr>
                <w:i/>
              </w:rPr>
            </w:pPr>
            <w:r w:rsidRPr="00D71820">
              <w:rPr>
                <w:i/>
              </w:rPr>
              <w:t>Quantifying a unit’s pre-change emissions is less straightforward. To do this, DEQ considered the following scenarios:</w:t>
            </w:r>
          </w:p>
          <w:p w:rsidR="00696580" w:rsidRPr="00696580" w:rsidRDefault="00696580" w:rsidP="00696580">
            <w:pPr>
              <w:spacing w:after="120"/>
              <w:rPr>
                <w:i/>
                <w:u w:val="single"/>
              </w:rPr>
            </w:pPr>
            <w:r w:rsidRPr="00696580">
              <w:rPr>
                <w:i/>
                <w:u w:val="single"/>
              </w:rPr>
              <w:t>Scenario 1:</w:t>
            </w:r>
          </w:p>
          <w:p w:rsidR="00696580" w:rsidRPr="00696580" w:rsidRDefault="00696580" w:rsidP="00696580">
            <w:pPr>
              <w:numPr>
                <w:ilvl w:val="0"/>
                <w:numId w:val="23"/>
              </w:numPr>
              <w:spacing w:after="120"/>
              <w:rPr>
                <w:i/>
              </w:rPr>
            </w:pPr>
            <w:r w:rsidRPr="00696580">
              <w:rPr>
                <w:i/>
              </w:rPr>
              <w:t>A new unit, installed after the baseline period or the most recent NSR permitting action.</w:t>
            </w:r>
          </w:p>
          <w:p w:rsidR="00696580" w:rsidRPr="00696580" w:rsidRDefault="00696580" w:rsidP="00696580">
            <w:pPr>
              <w:spacing w:after="120"/>
              <w:rPr>
                <w:i/>
              </w:rPr>
            </w:pPr>
            <w:r w:rsidRPr="00696580">
              <w:rPr>
                <w:i/>
              </w:rPr>
              <w:t>For this scenario, the unit’s pre-change emissions equal zero.</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2:</w:t>
            </w:r>
          </w:p>
          <w:p w:rsidR="00696580" w:rsidRPr="00696580" w:rsidRDefault="00696580" w:rsidP="00696580">
            <w:pPr>
              <w:numPr>
                <w:ilvl w:val="0"/>
                <w:numId w:val="22"/>
              </w:numPr>
              <w:spacing w:after="120"/>
              <w:rPr>
                <w:i/>
              </w:rPr>
            </w:pPr>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p>
          <w:p w:rsidR="00696580" w:rsidRPr="00696580" w:rsidRDefault="00696580" w:rsidP="00696580">
            <w:pPr>
              <w:spacing w:after="120"/>
              <w:rPr>
                <w:i/>
              </w:rPr>
            </w:pPr>
            <w:r w:rsidRPr="00696580">
              <w:rPr>
                <w:i/>
              </w:rPr>
              <w:t>In this scenario, the pre-change emissions are considered to be the emission rate approved in the prior NSR permitting action.</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3:</w:t>
            </w:r>
          </w:p>
          <w:p w:rsidR="00696580" w:rsidRPr="00696580" w:rsidRDefault="00696580" w:rsidP="00696580">
            <w:pPr>
              <w:numPr>
                <w:ilvl w:val="0"/>
                <w:numId w:val="21"/>
              </w:numPr>
              <w:spacing w:after="120"/>
              <w:rPr>
                <w:i/>
              </w:rPr>
            </w:pPr>
            <w:r w:rsidRPr="00696580">
              <w:rPr>
                <w:i/>
              </w:rPr>
              <w:t>A unit that undertakes a physical change or change in the method of operation and existed during the baseline period.</w:t>
            </w:r>
          </w:p>
          <w:p w:rsidR="00696580" w:rsidRPr="00696580" w:rsidRDefault="00696580" w:rsidP="00696580">
            <w:pPr>
              <w:spacing w:after="120"/>
              <w:rPr>
                <w:i/>
              </w:rPr>
            </w:pPr>
            <w:r w:rsidRPr="00696580">
              <w:rPr>
                <w:i/>
              </w:rPr>
              <w:t>In this scenario, the pre-change emissions are considered to be the unit’s capacity during the baseline emission period.</w:t>
            </w:r>
          </w:p>
          <w:p w:rsidR="00696580" w:rsidRPr="00696580" w:rsidRDefault="00696580" w:rsidP="00696580">
            <w:pPr>
              <w:spacing w:after="12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4:</w:t>
            </w:r>
          </w:p>
          <w:p w:rsidR="00696580" w:rsidRPr="00696580" w:rsidRDefault="00696580" w:rsidP="00696580">
            <w:pPr>
              <w:numPr>
                <w:ilvl w:val="0"/>
                <w:numId w:val="22"/>
              </w:numPr>
              <w:spacing w:after="120"/>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rsidR="00696580" w:rsidRPr="00696580" w:rsidRDefault="00696580" w:rsidP="00696580">
            <w:pPr>
              <w:spacing w:after="120"/>
              <w:rPr>
                <w:i/>
              </w:rPr>
            </w:pPr>
            <w:r w:rsidRPr="00696580">
              <w:rPr>
                <w:i/>
              </w:rPr>
              <w:t>In this case the question is “what part of the emission increase can (or conversely, cannot) be attributed to the other physical change or change in the method of operation elsewhere in the facility</w:t>
            </w:r>
            <w:r w:rsidR="00F721FB">
              <w:rPr>
                <w:i/>
              </w:rPr>
              <w:t>?</w:t>
            </w:r>
            <w:r w:rsidRPr="00696580">
              <w:rPr>
                <w:i/>
              </w:rPr>
              <w:t>” To help answer this question, DEQ notes the following from DEQ’s and EPA’s rules:</w:t>
            </w:r>
          </w:p>
          <w:p w:rsidR="00696580" w:rsidRPr="00696580" w:rsidRDefault="00696580" w:rsidP="00696580">
            <w:pPr>
              <w:spacing w:after="120"/>
              <w:rPr>
                <w:i/>
              </w:rPr>
            </w:pP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rsidR="00696580" w:rsidRPr="00696580" w:rsidRDefault="00696580" w:rsidP="00696580">
            <w:pPr>
              <w:spacing w:after="120"/>
              <w:rPr>
                <w:i/>
              </w:rPr>
            </w:pPr>
            <w:r w:rsidRPr="00696580">
              <w:rPr>
                <w:bCs/>
                <w:i/>
              </w:rPr>
              <w:t>OAR 340-222-0010, Policy, reads:</w:t>
            </w:r>
          </w:p>
          <w:p w:rsidR="00696580" w:rsidRPr="00696580" w:rsidRDefault="00696580" w:rsidP="00696580">
            <w:pPr>
              <w:spacing w:after="12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p>
          <w:p w:rsidR="00696580" w:rsidRPr="00696580" w:rsidRDefault="00696580" w:rsidP="00696580">
            <w:pPr>
              <w:spacing w:after="120"/>
              <w:rPr>
                <w:i/>
              </w:rPr>
            </w:pPr>
            <w:r w:rsidRPr="00696580">
              <w:rPr>
                <w:i/>
              </w:rPr>
              <w:t>With respect to EPA’s definition of  projected actual emissions, DEQ notes the following:</w:t>
            </w:r>
          </w:p>
          <w:p w:rsidR="00696580" w:rsidRPr="00696580" w:rsidRDefault="00696580" w:rsidP="00696580">
            <w:pPr>
              <w:numPr>
                <w:ilvl w:val="0"/>
                <w:numId w:val="27"/>
              </w:numPr>
              <w:spacing w:after="120"/>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rsidR="00696580" w:rsidRPr="00696580" w:rsidRDefault="00696580" w:rsidP="00696580">
            <w:pPr>
              <w:numPr>
                <w:ilvl w:val="0"/>
                <w:numId w:val="27"/>
              </w:numPr>
              <w:spacing w:after="120"/>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rsidR="00696580" w:rsidRPr="00696580" w:rsidRDefault="00696580" w:rsidP="00696580">
            <w:pPr>
              <w:spacing w:after="12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proposed increases in hours of </w:t>
            </w:r>
            <w:r w:rsidRPr="00696580">
              <w:rPr>
                <w:i/>
              </w:rPr>
              <w:lastRenderedPageBreak/>
              <w:t xml:space="preserve">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p>
          <w:p w:rsidR="00696580" w:rsidRPr="00696580" w:rsidRDefault="00696580" w:rsidP="00696580">
            <w:pPr>
              <w:spacing w:after="120"/>
              <w:rPr>
                <w:i/>
              </w:rPr>
            </w:pPr>
            <w:r w:rsidRPr="00696580">
              <w:rPr>
                <w:i/>
              </w:rPr>
              <w:t>Thus we return to the question at hand: “what part of the emission increase can (or conversely, cannot) be attributed to the other physical change or change in the method of operation elsewhere in the facility</w:t>
            </w:r>
            <w:r w:rsidR="00F721FB">
              <w:rPr>
                <w:i/>
              </w:rPr>
              <w:t>?</w:t>
            </w:r>
            <w:r w:rsidRPr="00696580">
              <w:rPr>
                <w:i/>
              </w:rPr>
              <w:t>” In the context of this question, a physical change or change in the method of operation may be made for two reasons:</w:t>
            </w:r>
          </w:p>
          <w:p w:rsidR="00696580" w:rsidRPr="00696580" w:rsidRDefault="00696580" w:rsidP="00696580">
            <w:pPr>
              <w:spacing w:after="120"/>
              <w:rPr>
                <w:i/>
              </w:rPr>
            </w:pPr>
            <w:r w:rsidRPr="00696580">
              <w:rPr>
                <w:i/>
              </w:rPr>
              <w:t>First, to increase the production capacity of a facility; or</w:t>
            </w:r>
          </w:p>
          <w:p w:rsidR="00696580" w:rsidRPr="00696580" w:rsidRDefault="00696580" w:rsidP="00696580">
            <w:pPr>
              <w:spacing w:after="120"/>
              <w:rPr>
                <w:i/>
              </w:rPr>
            </w:pPr>
            <w:r w:rsidRPr="00696580">
              <w:rPr>
                <w:i/>
              </w:rPr>
              <w:t>Second, to make necessary changes, such as replacing out of date equipment, without increasing the production capacity of a facility.</w:t>
            </w:r>
          </w:p>
          <w:p w:rsidR="00696580" w:rsidRPr="00696580" w:rsidRDefault="00696580" w:rsidP="00696580">
            <w:pPr>
              <w:spacing w:after="120"/>
              <w:rPr>
                <w:i/>
              </w:rPr>
            </w:pPr>
            <w:r w:rsidRPr="00696580">
              <w:rPr>
                <w:i/>
              </w:rPr>
              <w:t>These two situations can be restated as follows:</w:t>
            </w:r>
          </w:p>
          <w:p w:rsidR="00696580" w:rsidRPr="00696580" w:rsidRDefault="00696580" w:rsidP="00696580">
            <w:pPr>
              <w:spacing w:after="120"/>
              <w:rPr>
                <w:i/>
              </w:rPr>
            </w:pPr>
            <w:r w:rsidRPr="00696580">
              <w:rPr>
                <w:i/>
              </w:rPr>
              <w:t>First, the physical change or change in the method of operation results in an increase in the facility’s production capacity (and hence emissions); or</w:t>
            </w:r>
          </w:p>
          <w:p w:rsidR="00696580" w:rsidRPr="00696580" w:rsidRDefault="00696580" w:rsidP="00696580">
            <w:pPr>
              <w:spacing w:after="120"/>
              <w:rPr>
                <w:i/>
              </w:rPr>
            </w:pPr>
            <w:r w:rsidRPr="00696580">
              <w:rPr>
                <w:i/>
              </w:rPr>
              <w:t>Second, the physical change or change in the method of operation does not result in an increase in the facility’s production capacity (and hence emissions).</w:t>
            </w:r>
          </w:p>
          <w:p w:rsidR="00696580" w:rsidRPr="00696580" w:rsidRDefault="00696580" w:rsidP="00696580">
            <w:pPr>
              <w:spacing w:after="12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rsidR="00696580" w:rsidRPr="00696580" w:rsidRDefault="00696580" w:rsidP="00696580">
            <w:pPr>
              <w:spacing w:after="120"/>
              <w:rPr>
                <w:i/>
              </w:rPr>
            </w:pPr>
            <w:r w:rsidRPr="00696580">
              <w:rPr>
                <w:i/>
              </w:rPr>
              <w:t>In view of the above, the pre-change emissions equal the unit’s emission rate when operated at the maximum annual rate needed to support the facility’s maximum annual production rate achievable before the change.</w:t>
            </w:r>
          </w:p>
          <w:p w:rsidR="00696580" w:rsidRPr="00696580" w:rsidRDefault="00696580" w:rsidP="00696580">
            <w:pPr>
              <w:spacing w:after="120"/>
              <w:rPr>
                <w:i/>
              </w:rPr>
            </w:pPr>
            <w:r w:rsidRPr="00696580">
              <w:rPr>
                <w:i/>
              </w:rPr>
              <w:t>In the second case the physical change or change in the method of operation does not result in an increase in the facility’s production capacity. In this case, there are two possibilities:</w:t>
            </w:r>
          </w:p>
          <w:p w:rsidR="00696580" w:rsidRPr="00696580" w:rsidRDefault="00696580" w:rsidP="00696580">
            <w:pPr>
              <w:spacing w:after="120"/>
              <w:rPr>
                <w:i/>
              </w:rPr>
            </w:pPr>
            <w:r w:rsidRPr="00696580">
              <w:rPr>
                <w:i/>
              </w:rPr>
              <w:t>the facility’s maximum production capacity still serves to limit the unit’s potential to emit at the same level as before the change; or</w:t>
            </w:r>
          </w:p>
          <w:p w:rsidR="00696580" w:rsidRPr="00696580" w:rsidRDefault="00696580" w:rsidP="00696580">
            <w:pPr>
              <w:spacing w:after="120"/>
              <w:rPr>
                <w:i/>
              </w:rPr>
            </w:pPr>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p>
          <w:p w:rsidR="00696580" w:rsidRPr="00696580" w:rsidRDefault="00696580" w:rsidP="00696580">
            <w:pPr>
              <w:spacing w:after="120"/>
              <w:rPr>
                <w:i/>
              </w:rPr>
            </w:pPr>
            <w:r w:rsidRPr="00696580">
              <w:rPr>
                <w:i/>
              </w:rPr>
              <w:lastRenderedPageBreak/>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p>
          <w:p w:rsidR="00696580" w:rsidRPr="00696580" w:rsidRDefault="00696580" w:rsidP="00696580">
            <w:pPr>
              <w:spacing w:after="120"/>
              <w:rPr>
                <w:i/>
              </w:rPr>
            </w:pPr>
            <w:r w:rsidRPr="00696580">
              <w:rPr>
                <w:i/>
              </w:rPr>
              <w:t>For this scenario, there are two results:</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rsidR="00696580" w:rsidRPr="00696580" w:rsidRDefault="00696580" w:rsidP="00696580">
            <w:pPr>
              <w:spacing w:after="120"/>
              <w:rPr>
                <w:i/>
              </w:rPr>
            </w:pPr>
          </w:p>
          <w:p w:rsidR="00696580" w:rsidRPr="00696580" w:rsidRDefault="00696580" w:rsidP="00696580">
            <w:pPr>
              <w:spacing w:after="120"/>
              <w:rPr>
                <w:i/>
              </w:rPr>
            </w:pPr>
            <w:r w:rsidRPr="000854A4">
              <w:rPr>
                <w:i/>
                <w:u w:val="single"/>
              </w:rPr>
              <w:t>Scenario 5:</w:t>
            </w:r>
          </w:p>
          <w:p w:rsidR="00696580" w:rsidRPr="00696580" w:rsidRDefault="00696580" w:rsidP="00696580">
            <w:pPr>
              <w:numPr>
                <w:ilvl w:val="0"/>
                <w:numId w:val="28"/>
              </w:numPr>
              <w:spacing w:after="120"/>
              <w:rPr>
                <w:i/>
              </w:rPr>
            </w:pPr>
            <w:r w:rsidRPr="00696580">
              <w:rPr>
                <w:i/>
              </w:rPr>
              <w:t>A situation not considered above.</w:t>
            </w:r>
          </w:p>
          <w:p w:rsidR="00696580" w:rsidRPr="00696580" w:rsidRDefault="00696580" w:rsidP="00696580">
            <w:pPr>
              <w:spacing w:after="12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rsidR="00696580" w:rsidRPr="00696580" w:rsidRDefault="00696580" w:rsidP="00696580">
            <w:pPr>
              <w:spacing w:after="120"/>
              <w:rPr>
                <w:i/>
              </w:rPr>
            </w:pPr>
            <w:r w:rsidRPr="00696580">
              <w:rPr>
                <w:i/>
              </w:rPr>
              <w:t>While reviewing the federal regulations as part of this response, it was noted that a portion of the definition of “Baseline actual emissions</w:t>
            </w:r>
            <w:r w:rsidR="00F721FB">
              <w:rPr>
                <w:i/>
              </w:rPr>
              <w:t>,</w:t>
            </w:r>
            <w:r w:rsidRPr="00696580">
              <w:rPr>
                <w:i/>
              </w:rPr>
              <w:t>” 40 CFR 51.165(a)(1)(xxxv)(B) should be included in DEQ’s rules, revised as necessary to fit Oregon’s program. The proposed new section reads:</w:t>
            </w:r>
          </w:p>
          <w:p w:rsidR="00696580" w:rsidRPr="00696580" w:rsidRDefault="00696580" w:rsidP="00696580">
            <w:pPr>
              <w:spacing w:after="120"/>
              <w:ind w:left="72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rsidR="00533EB4" w:rsidRPr="00D71820" w:rsidRDefault="00696580" w:rsidP="00696580">
            <w:pPr>
              <w:spacing w:after="120"/>
              <w:rPr>
                <w:i/>
              </w:rPr>
            </w:pPr>
            <w:r w:rsidRPr="00696580">
              <w:rPr>
                <w:i/>
              </w:rPr>
              <w:t>DEQ has revised the rule to include the concepts discussed above.</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w:t>
            </w:r>
            <w:r w:rsidRPr="00654843">
              <w:rPr>
                <w:i/>
              </w:rPr>
              <w:lastRenderedPageBreak/>
              <w:t>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r w:rsidR="003325E6">
              <w:rPr>
                <w:i/>
              </w:rPr>
              <w:t>s</w:t>
            </w:r>
            <w:r w:rsidRPr="00654843">
              <w:rPr>
                <w:i/>
              </w:rPr>
              <w:t xml:space="preserve">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w:t>
            </w:r>
            <w:r w:rsidRPr="00EB3D0B">
              <w:lastRenderedPageBreak/>
              <w:t xml:space="preserve">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lastRenderedPageBreak/>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B80D20" w:rsidRDefault="00B80D20" w:rsidP="00533EB4">
            <w:pPr>
              <w:spacing w:after="120"/>
              <w:rPr>
                <w:bCs/>
                <w:i/>
              </w:rPr>
            </w:pPr>
            <w:r>
              <w:rPr>
                <w:bCs/>
                <w:i/>
              </w:rPr>
              <w:t xml:space="preserve">DEQ’s original rule proposal included redefining the term “federal major source” and the rules that the comments address were written with the redefined term in mind. However, DEQ has reconsidered and believes that changing the definition of </w:t>
            </w:r>
            <w:r w:rsidR="00183621">
              <w:rPr>
                <w:bCs/>
                <w:i/>
              </w:rPr>
              <w:t>“federal major source” will</w:t>
            </w:r>
            <w:r>
              <w:rPr>
                <w:bCs/>
                <w:i/>
              </w:rPr>
              <w:t xml:space="preserve"> cause unnecessary confusion</w:t>
            </w:r>
            <w:r w:rsidR="00387ACF">
              <w:rPr>
                <w:bCs/>
                <w:i/>
              </w:rPr>
              <w:t xml:space="preserve">. DEQ has therefore reverted to the </w:t>
            </w:r>
            <w:r w:rsidR="0012569C">
              <w:rPr>
                <w:bCs/>
                <w:i/>
              </w:rPr>
              <w:t>previous</w:t>
            </w:r>
            <w:r w:rsidR="00387ACF">
              <w:rPr>
                <w:bCs/>
                <w:i/>
              </w:rPr>
              <w:t xml:space="preserve"> definition.</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w:t>
            </w:r>
            <w:r w:rsidR="004117B7">
              <w:t xml:space="preserve">a </w:t>
            </w:r>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
              </w:rPr>
            </w:pPr>
            <w:r w:rsidRPr="00C13FD9">
              <w:rPr>
                <w:i/>
              </w:rPr>
              <w:t xml:space="preserve">DEQ </w:t>
            </w:r>
            <w:r w:rsidR="005F258E">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rsidR="00533EB4" w:rsidRPr="001B794D" w:rsidRDefault="00533EB4" w:rsidP="00533EB4">
            <w:pPr>
              <w:spacing w:after="120"/>
            </w:pPr>
            <w:r w:rsidRPr="00C13FD9">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
              </w:rPr>
            </w:pPr>
            <w:r w:rsidRPr="001C6348">
              <w:rPr>
                <w:i/>
              </w:rPr>
              <w:t>DEQ agrees</w:t>
            </w:r>
            <w:r w:rsidR="00C51B0D">
              <w:rPr>
                <w:i/>
              </w:rPr>
              <w:t xml:space="preserve"> in part</w:t>
            </w:r>
            <w:r w:rsidRPr="001C6348">
              <w:rPr>
                <w:i/>
              </w:rPr>
              <w:t xml:space="preserve"> with the commenters.</w:t>
            </w:r>
          </w:p>
          <w:p w:rsidR="00533EB4" w:rsidRPr="001C6348" w:rsidRDefault="00533EB4" w:rsidP="00533EB4">
            <w:pPr>
              <w:spacing w:after="120"/>
              <w:rPr>
                <w:i/>
              </w:rPr>
            </w:pPr>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p>
          <w:p w:rsidR="00533EB4" w:rsidRPr="001C6348" w:rsidRDefault="00533EB4" w:rsidP="00533EB4">
            <w:pPr>
              <w:spacing w:after="120"/>
              <w:rPr>
                <w:i/>
              </w:rPr>
            </w:pPr>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p>
          <w:p w:rsidR="00533EB4" w:rsidRDefault="00967F92" w:rsidP="00BC5E71">
            <w:pPr>
              <w:spacing w:after="120"/>
              <w:rPr>
                <w:i/>
              </w:rPr>
            </w:pPr>
            <w:r>
              <w:rPr>
                <w:i/>
              </w:rPr>
              <w:t xml:space="preserve">Commenters suggested that DEQ identify priority sources </w:t>
            </w:r>
            <w:proofErr w:type="gramStart"/>
            <w:r>
              <w:rPr>
                <w:i/>
              </w:rPr>
              <w:t xml:space="preserve">for </w:t>
            </w:r>
            <w:r w:rsidR="00533EB4" w:rsidRPr="001C6348">
              <w:rPr>
                <w:i/>
              </w:rPr>
              <w:t xml:space="preserve"> the</w:t>
            </w:r>
            <w:proofErr w:type="gramEnd"/>
            <w:r w:rsidR="00533EB4" w:rsidRPr="001C6348">
              <w:rPr>
                <w:i/>
              </w:rPr>
              <w:t xml:space="preserve"> Klamath Falls nonattainment area</w:t>
            </w:r>
            <w:r>
              <w:rPr>
                <w:i/>
              </w:rPr>
              <w:t>.</w:t>
            </w:r>
            <w:r w:rsidR="00BC5E71">
              <w:rPr>
                <w:i/>
              </w:rPr>
              <w:t xml:space="preserve"> With respect to this comment</w:t>
            </w:r>
            <w:proofErr w:type="gramStart"/>
            <w:r w:rsidR="00BC5E71">
              <w:rPr>
                <w:i/>
              </w:rPr>
              <w:t xml:space="preserve">, </w:t>
            </w:r>
            <w:r w:rsidR="00533EB4" w:rsidRPr="001C6348">
              <w:rPr>
                <w:i/>
              </w:rPr>
              <w:t xml:space="preserve"> DEQ</w:t>
            </w:r>
            <w:proofErr w:type="gramEnd"/>
            <w:r w:rsidR="00533EB4" w:rsidRPr="001C6348">
              <w:rPr>
                <w:i/>
              </w:rPr>
              <w:t xml:space="preserve"> did not consider “looking back” to determine if priority sources should be identified for existing designated area</w:t>
            </w:r>
            <w:r>
              <w:rPr>
                <w:i/>
              </w:rPr>
              <w:t>s</w:t>
            </w:r>
            <w:r w:rsidR="00533EB4" w:rsidRPr="001C6348">
              <w:rPr>
                <w:i/>
              </w:rPr>
              <w:t>. Identifying priority sources for areas other than Lakeview would require a more in-depth review than</w:t>
            </w:r>
            <w:r w:rsidR="00BC5E71">
              <w:rPr>
                <w:i/>
              </w:rPr>
              <w:t xml:space="preserve"> time allows in</w:t>
            </w:r>
            <w:r w:rsidR="00533EB4" w:rsidRPr="001C6348">
              <w:rPr>
                <w:i/>
              </w:rPr>
              <w:t xml:space="preserve"> this rulemaking and therefore DEQ will not identify priority sources for other areas in this rulemaking.</w:t>
            </w:r>
            <w:r w:rsidR="00BC5E71">
              <w:rPr>
                <w:i/>
              </w:rPr>
              <w:t xml:space="preserve"> However, DEQ notes that the original rule proposal included OAR 340-204-0320(2), which allows 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This provision can be used in any area, provided that the applicable plan reasonably makes the case to identify priority sources.</w:t>
            </w:r>
          </w:p>
          <w:p w:rsidR="00967F92" w:rsidRPr="001C6348" w:rsidRDefault="00967F92" w:rsidP="00533EB4">
            <w:pPr>
              <w:spacing w:after="120"/>
              <w:rPr>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rsidR="00533EB4" w:rsidRPr="001C6348" w:rsidRDefault="00533EB4" w:rsidP="00533EB4">
            <w:pPr>
              <w:spacing w:after="120"/>
              <w:rPr>
                <w:i/>
              </w:rPr>
            </w:pPr>
            <w:r w:rsidRPr="001C6348">
              <w:rPr>
                <w:i/>
              </w:rPr>
              <w:t xml:space="preserve">With respect to the Lakeview sustainment area, DEQ </w:t>
            </w:r>
            <w:r w:rsidR="005F258E">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rsidR="00533EB4" w:rsidRPr="001C6348" w:rsidRDefault="00533EB4" w:rsidP="00533EB4">
            <w:pPr>
              <w:spacing w:after="120"/>
              <w:rPr>
                <w:i/>
              </w:rPr>
            </w:pPr>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533EB4" w:rsidRPr="001C6348" w:rsidRDefault="00533EB4" w:rsidP="00533EB4">
            <w:pPr>
              <w:spacing w:after="120"/>
              <w:rPr>
                <w:i/>
              </w:rPr>
            </w:pPr>
            <w:r w:rsidRPr="001C6348">
              <w:rPr>
                <w:i/>
              </w:rPr>
              <w:lastRenderedPageBreak/>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Oct</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Nov</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Dec</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Jan</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Feb</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Mar</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Klamath Falls</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35.4</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28.2</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22.7</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24.5</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28.1</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Lakeview</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33.1</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26.0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27.8</w:t>
                  </w:r>
                </w:p>
              </w:tc>
            </w:tr>
          </w:tbl>
          <w:p w:rsidR="00533EB4" w:rsidRPr="001C6348" w:rsidRDefault="00533EB4" w:rsidP="00533EB4">
            <w:pPr>
              <w:spacing w:after="120"/>
              <w:rPr>
                <w:i/>
              </w:rPr>
            </w:pPr>
          </w:p>
          <w:p w:rsidR="00533EB4" w:rsidRPr="001C6348" w:rsidRDefault="00533EB4" w:rsidP="00533EB4">
            <w:pPr>
              <w:spacing w:after="12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rsidR="00533EB4" w:rsidRPr="001C6348" w:rsidRDefault="00533EB4" w:rsidP="00533EB4">
            <w:pPr>
              <w:spacing w:after="12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w:t>
            </w:r>
            <w:proofErr w:type="gramStart"/>
            <w:r w:rsidRPr="001C6348">
              <w:rPr>
                <w:i/>
              </w:rPr>
              <w:t>division</w:t>
            </w:r>
            <w:proofErr w:type="gramEnd"/>
            <w:r w:rsidRPr="001C6348">
              <w:rPr>
                <w:i/>
              </w:rPr>
              <w:t xml:space="preserve"> 240. </w:t>
            </w:r>
          </w:p>
          <w:p w:rsidR="00533EB4" w:rsidRPr="00654843" w:rsidRDefault="00533EB4" w:rsidP="00533EB4">
            <w:pPr>
              <w:spacing w:after="120"/>
            </w:pPr>
            <w:r w:rsidRPr="00C13FD9">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263A02"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w:t>
            </w:r>
            <w:r w:rsidR="00FD52A5">
              <w:rPr>
                <w:i/>
              </w:rPr>
              <w:t xml:space="preserve">a </w:t>
            </w:r>
            <w:r>
              <w:rPr>
                <w:i/>
              </w:rPr>
              <w:t xml:space="preserve">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 xml:space="preserve">Plant Site Emission </w:t>
            </w:r>
            <w:r w:rsidRPr="001C45D4">
              <w:rPr>
                <w:i/>
              </w:rPr>
              <w:lastRenderedPageBreak/>
              <w:t>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w:t>
            </w:r>
            <w:r w:rsidR="00263A02">
              <w:rPr>
                <w:bCs/>
              </w:rPr>
              <w:t>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w:t>
            </w:r>
            <w:r w:rsidRPr="00EB3D0B">
              <w:rPr>
                <w:i/>
              </w:rPr>
              <w:lastRenderedPageBreak/>
              <w:t xml:space="preserve">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w:t>
            </w:r>
            <w:r w:rsidR="00263A02">
              <w:t>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FD52A5" w:rsidRDefault="00533EB4" w:rsidP="00533EB4">
            <w:pPr>
              <w:spacing w:after="120"/>
              <w:rPr>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533EB4" w:rsidRPr="00B46A1F" w:rsidRDefault="00533EB4" w:rsidP="00533EB4">
            <w:pPr>
              <w:spacing w:after="120"/>
              <w:rPr>
                <w:rFonts w:eastAsiaTheme="minorHAnsi"/>
                <w:i/>
              </w:rPr>
            </w:pPr>
            <w:r>
              <w:rPr>
                <w:i/>
              </w:rPr>
              <w:t>DEQ did not change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Default="00583462" w:rsidP="00583462">
            <w:pPr>
              <w:spacing w:after="120"/>
              <w:jc w:val="center"/>
              <w:rPr>
                <w:b/>
              </w:rPr>
            </w:pPr>
            <w:r>
              <w:rPr>
                <w:b/>
              </w:rPr>
              <w:lastRenderedPageBreak/>
              <w:t>S</w:t>
            </w:r>
            <w:r w:rsidRPr="00670B52">
              <w:rPr>
                <w:b/>
              </w:rPr>
              <w:t>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7.1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670B52" w:rsidRDefault="00583462" w:rsidP="00583462">
            <w:pPr>
              <w:spacing w:after="120"/>
              <w:jc w:val="center"/>
              <w:rPr>
                <w:b/>
              </w:rPr>
            </w:pPr>
            <w:r w:rsidRPr="00670B52">
              <w:rPr>
                <w:b/>
              </w:rPr>
              <w:lastRenderedPageBreak/>
              <w:t>Summary of Comments and DEQ Responses</w:t>
            </w:r>
          </w:p>
        </w:tc>
      </w:tr>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C3107E" w:rsidP="00583462">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8.1</w:t>
            </w: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1F34D6">
        <w:trPr>
          <w:trHeight w:val="110"/>
          <w:tblHeader/>
        </w:trPr>
        <w:tc>
          <w:tcPr>
            <w:tcW w:w="10530" w:type="dxa"/>
            <w:gridSpan w:val="2"/>
            <w:tcBorders>
              <w:top w:val="nil"/>
              <w:left w:val="nil"/>
              <w:bottom w:val="single" w:sz="4" w:space="0" w:color="auto"/>
              <w:right w:val="nil"/>
            </w:tcBorders>
            <w:shd w:val="clear" w:color="auto" w:fill="auto"/>
          </w:tcPr>
          <w:p w:rsidR="00583462" w:rsidRPr="005E7A80" w:rsidRDefault="001F34D6" w:rsidP="001F34D6">
            <w:pPr>
              <w:spacing w:after="120"/>
              <w:rPr>
                <w:b/>
              </w:rPr>
            </w:pPr>
            <w:r>
              <w:rPr>
                <w:rStyle w:val="CommentReference"/>
              </w:rPr>
              <w:lastRenderedPageBreak/>
              <w:commentReference w:id="5"/>
            </w:r>
          </w:p>
        </w:tc>
      </w:tr>
      <w:tr w:rsidR="00583462"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5E7A80" w:rsidRDefault="00583462" w:rsidP="00583462">
            <w:pPr>
              <w:spacing w:after="120"/>
              <w:jc w:val="center"/>
              <w:rPr>
                <w:b/>
              </w:rPr>
            </w:pPr>
            <w:r w:rsidRPr="005E7A80">
              <w:rPr>
                <w:b/>
              </w:rPr>
              <w:t>Summary of Comments and DEQ Responses</w:t>
            </w:r>
          </w:p>
        </w:tc>
      </w:tr>
      <w:tr w:rsidR="009D1028"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9.1</w:t>
            </w: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w:t>
            </w:r>
            <w:r w:rsidRPr="003F4F34">
              <w:rPr>
                <w:i/>
              </w:rPr>
              <w:lastRenderedPageBreak/>
              <w:t>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D17D3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D17D34" w:rsidRPr="00670B52" w:rsidRDefault="00D17D34" w:rsidP="00D17D34">
            <w:pPr>
              <w:spacing w:after="120"/>
              <w:jc w:val="center"/>
              <w:rPr>
                <w:b/>
              </w:rPr>
            </w:pPr>
            <w:r w:rsidRPr="00670B52">
              <w:rPr>
                <w:b/>
              </w:rPr>
              <w:lastRenderedPageBreak/>
              <w:t>Summary of Comments and DEQ Responses</w:t>
            </w:r>
          </w:p>
        </w:tc>
      </w:tr>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0854A4" w:rsidRDefault="000854A4" w:rsidP="000854A4">
            <w:pPr>
              <w:ind w:right="-115"/>
              <w:rPr>
                <w:bCs/>
              </w:rPr>
            </w:pPr>
            <w:r>
              <w:rPr>
                <w:bCs/>
              </w:rPr>
              <w:t>10.1</w:t>
            </w: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0854A4" w:rsidRDefault="000854A4" w:rsidP="000854A4">
            <w:pPr>
              <w:pStyle w:val="ListParagraph"/>
              <w:spacing w:after="120"/>
              <w:ind w:left="360"/>
              <w:contextualSpacing w:val="0"/>
              <w:jc w:val="center"/>
              <w:rPr>
                <w:b/>
              </w:rPr>
            </w:pPr>
            <w:r w:rsidRPr="008F2B66">
              <w:rPr>
                <w:b/>
              </w:rPr>
              <w:lastRenderedPageBreak/>
              <w:t>Summary of Comments and DEQ Responses</w:t>
            </w:r>
          </w:p>
        </w:tc>
      </w:tr>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0854A4" w:rsidRDefault="000854A4" w:rsidP="000854A4">
            <w:pPr>
              <w:ind w:right="-115"/>
              <w:rPr>
                <w:bCs/>
              </w:rPr>
            </w:pPr>
            <w:r>
              <w:rPr>
                <w:bCs/>
              </w:rPr>
              <w:t>11.1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r w:rsidRPr="006248B1">
              <w:rPr>
                <w:rFonts w:ascii="Arial" w:hAnsi="Arial"/>
                <w:sz w:val="22"/>
              </w:rPr>
              <w:t>Response:</w:t>
            </w:r>
            <w:r w:rsidRPr="006248B1">
              <w:rPr>
                <w:i/>
              </w:rPr>
              <w:t xml:space="preserve"> </w:t>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084377" w:rsidRPr="00084377" w:rsidRDefault="00084377" w:rsidP="00084377">
            <w:pPr>
              <w:spacing w:after="120"/>
            </w:pPr>
            <w:r w:rsidRPr="00084377">
              <w:t xml:space="preserve">I have lived in Oregon for 35 of my 41 years. In recent years I have developed asthma &amp; I can't help but wonder if moving back into SE, near Johnson Creek &amp; Precision Cast parts has something to do with my half lung capacity. I understand that PCP might provide local jobs but at the cost of what? </w:t>
            </w:r>
            <w:proofErr w:type="gramStart"/>
            <w:r w:rsidRPr="00084377">
              <w:t>Stricter regulations on air pollutants is</w:t>
            </w:r>
            <w:proofErr w:type="gramEnd"/>
            <w:r w:rsidRPr="00084377">
              <w:t xml:space="preserv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
              </w:rPr>
            </w:pPr>
            <w:r w:rsidRPr="009F5AA5">
              <w:rPr>
                <w:i/>
              </w:rPr>
              <w:t xml:space="preserve">DEQ is aware that asthma is a significant health problem for many Oregonians. We </w:t>
            </w:r>
            <w:r w:rsidRPr="009F5AA5">
              <w:rPr>
                <w:i/>
              </w:rPr>
              <w:lastRenderedPageBreak/>
              <w:t>understand that there are multiple causes, triggers and aggravators of asthma, including genetic factors, allergens,</w:t>
            </w:r>
            <w:r w:rsidR="00FC0232">
              <w:rPr>
                <w:i/>
              </w:rPr>
              <w:t xml:space="preserve"> personal behaviors,</w:t>
            </w:r>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r w:rsidR="00084377">
              <w:rPr>
                <w:i/>
              </w:rPr>
              <w:t xml:space="preserve">to encourage households to </w:t>
            </w:r>
            <w:r w:rsidRPr="009F5AA5">
              <w:rPr>
                <w:i/>
              </w:rPr>
              <w:t>reduce wood-burning during winter months to prevent unhealthy levels of particulate.</w:t>
            </w:r>
          </w:p>
          <w:p w:rsidR="00533EB4" w:rsidRDefault="00533EB4" w:rsidP="00533EB4">
            <w:pPr>
              <w:spacing w:after="120"/>
            </w:pPr>
            <w:r w:rsidRPr="009F5A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rFonts w:ascii="Arial" w:hAnsi="Arial"/>
                <w:sz w:val="22"/>
              </w:rPr>
            </w:pPr>
            <w:r>
              <w:rPr>
                <w:rFonts w:ascii="Arial" w:hAnsi="Arial"/>
                <w:sz w:val="22"/>
              </w:rPr>
              <w:t>Response:</w:t>
            </w:r>
          </w:p>
          <w:p w:rsidR="00533EB4" w:rsidRPr="00161098" w:rsidRDefault="00533EB4" w:rsidP="00344F8B">
            <w:pPr>
              <w:spacing w:after="120"/>
              <w:rPr>
                <w:i/>
              </w:rPr>
            </w:pPr>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rsidR="00533EB4" w:rsidRPr="00161098" w:rsidRDefault="00533EB4" w:rsidP="00344F8B">
            <w:pPr>
              <w:spacing w:after="12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w:t>
            </w:r>
            <w:r w:rsidRPr="00161098">
              <w:rPr>
                <w:i/>
              </w:rPr>
              <w:lastRenderedPageBreak/>
              <w:t xml:space="preserve">automobile emissions. DEQ is working to reduce risks from air toxics in those categories. </w:t>
            </w:r>
          </w:p>
          <w:p w:rsidR="00533EB4" w:rsidRDefault="00533EB4" w:rsidP="00344F8B">
            <w:pPr>
              <w:spacing w:after="120"/>
              <w:rPr>
                <w:i/>
              </w:rPr>
            </w:pPr>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rsidR="00533EB4" w:rsidRDefault="00533EB4" w:rsidP="00344F8B">
            <w:pPr>
              <w:spacing w:after="120"/>
            </w:pPr>
            <w:r w:rsidRPr="00161098">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sidR="00FC0232">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w:t>
            </w:r>
            <w:r w:rsidRPr="001C4B2F">
              <w:rPr>
                <w:i/>
              </w:rPr>
              <w:lastRenderedPageBreak/>
              <w:t>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w:t>
            </w:r>
            <w:r w:rsidR="006972D3">
              <w:t>,</w:t>
            </w:r>
            <w:r w:rsidRPr="00BA0E03">
              <w:t xml:space="preserve">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w:t>
            </w:r>
            <w:commentRangeStart w:id="6"/>
            <w:r w:rsidRPr="00BA0E03">
              <w:t xml:space="preserve">Silica particulate emission should be very </w:t>
            </w:r>
            <w:r w:rsidRPr="00BA0E03">
              <w:lastRenderedPageBreak/>
              <w:t xml:space="preserve">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w:t>
            </w:r>
            <w:commentRangeEnd w:id="6"/>
            <w:r w:rsidR="005C3A1A">
              <w:rPr>
                <w:rStyle w:val="CommentReference"/>
              </w:rPr>
              <w:commentReference w:id="6"/>
            </w:r>
            <w:r w:rsidRPr="00BA0E03">
              <w:t xml:space="preserve">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rFonts w:ascii="Arial" w:hAnsi="Arial" w:cs="Arial"/>
                <w:sz w:val="22"/>
                <w:szCs w:val="22"/>
              </w:rPr>
            </w:pPr>
            <w:r w:rsidRPr="00BA0E03">
              <w:rPr>
                <w:rFonts w:ascii="Arial" w:hAnsi="Arial" w:cs="Arial"/>
                <w:sz w:val="22"/>
                <w:szCs w:val="22"/>
              </w:rPr>
              <w:t>Response:</w:t>
            </w:r>
          </w:p>
          <w:p w:rsidR="007E3243" w:rsidRPr="007E3243" w:rsidRDefault="007E3243" w:rsidP="007E3243">
            <w:pPr>
              <w:spacing w:after="120"/>
              <w:rPr>
                <w:i/>
              </w:rPr>
            </w:pPr>
            <w:r w:rsidRPr="007E3243">
              <w:rPr>
                <w:i/>
              </w:rPr>
              <w:t>DEQ does not agree with the commenters.</w:t>
            </w:r>
          </w:p>
          <w:p w:rsidR="007E3243" w:rsidRPr="007E3243" w:rsidRDefault="007E3243" w:rsidP="007E3243">
            <w:pPr>
              <w:spacing w:after="120"/>
              <w:rPr>
                <w:i/>
              </w:rPr>
            </w:pPr>
            <w:r w:rsidRPr="007E3243">
              <w:rPr>
                <w:i/>
              </w:rPr>
              <w:t xml:space="preserve">With respect to Title V, Intel will be required to get a Title V operating permit based </w:t>
            </w:r>
            <w:r w:rsidR="00F27842">
              <w:rPr>
                <w:i/>
              </w:rPr>
              <w:t>on their projected</w:t>
            </w:r>
            <w:r w:rsidRPr="007E3243">
              <w:rPr>
                <w:i/>
              </w:rPr>
              <w:t xml:space="preserve"> emissions</w:t>
            </w:r>
            <w:r w:rsidR="00F27842">
              <w:rPr>
                <w:i/>
              </w:rPr>
              <w:t xml:space="preserve"> of NOx, CO and VOC</w:t>
            </w:r>
            <w:r w:rsidRPr="007E3243">
              <w:rPr>
                <w:i/>
              </w:rPr>
              <w:t>.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In summary, the Title V permitting program is intended to ensure compliance with all applicable air quality regulations; however, Title V does not increase the stringency of any of those regulations.</w:t>
            </w:r>
          </w:p>
          <w:p w:rsidR="007E3243" w:rsidRPr="007E3243" w:rsidRDefault="007E3243" w:rsidP="007E3243">
            <w:pPr>
              <w:spacing w:after="120"/>
              <w:rPr>
                <w:i/>
              </w:rPr>
            </w:pPr>
            <w:r w:rsidRPr="007E324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t>
            </w:r>
            <w:r w:rsidRPr="007E3243">
              <w:rPr>
                <w:i/>
              </w:rPr>
              <w:lastRenderedPageBreak/>
              <w:t>World Semiconductor Council (WSC).</w:t>
            </w:r>
          </w:p>
          <w:p w:rsidR="007E3243" w:rsidRPr="007E3243" w:rsidRDefault="007E3243" w:rsidP="007E3243">
            <w:pPr>
              <w:spacing w:after="120"/>
              <w:rPr>
                <w:i/>
              </w:rPr>
            </w:pPr>
            <w:r w:rsidRPr="007E324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7E3243" w:rsidRPr="007E3243" w:rsidRDefault="007E3243" w:rsidP="007E3243">
            <w:pPr>
              <w:spacing w:after="120"/>
              <w:rPr>
                <w:i/>
              </w:rPr>
            </w:pPr>
            <w:r w:rsidRPr="007E3243">
              <w:rPr>
                <w:i/>
              </w:rPr>
              <w:t xml:space="preserve">1. Process optimization/alternative processing—reduces the amount of PFCs that are used and emitted </w:t>
            </w:r>
          </w:p>
          <w:p w:rsidR="007E3243" w:rsidRPr="007E3243" w:rsidRDefault="007E3243" w:rsidP="007E3243">
            <w:pPr>
              <w:spacing w:after="120"/>
              <w:rPr>
                <w:i/>
              </w:rPr>
            </w:pPr>
            <w:r w:rsidRPr="007E3243">
              <w:rPr>
                <w:i/>
              </w:rPr>
              <w:t xml:space="preserve">2. Alternative chemistries—reduces or eliminates emissions </w:t>
            </w:r>
          </w:p>
          <w:p w:rsidR="007E3243" w:rsidRPr="007E3243" w:rsidRDefault="007E3243" w:rsidP="007E3243">
            <w:pPr>
              <w:spacing w:after="120"/>
              <w:rPr>
                <w:i/>
              </w:rPr>
            </w:pPr>
            <w:r w:rsidRPr="007E3243">
              <w:rPr>
                <w:i/>
              </w:rPr>
              <w:t xml:space="preserve">3. Capture/recovery—re-uses or recycles PFCs </w:t>
            </w:r>
          </w:p>
          <w:p w:rsidR="007E3243" w:rsidRPr="007E3243" w:rsidRDefault="007E3243" w:rsidP="007E3243">
            <w:pPr>
              <w:spacing w:after="120"/>
              <w:rPr>
                <w:i/>
              </w:rPr>
            </w:pPr>
            <w:r w:rsidRPr="007E3243">
              <w:rPr>
                <w:i/>
              </w:rPr>
              <w:t xml:space="preserve">4. Abatement—destroys, reduces, or eliminates PFC emissions so they are not emitted </w:t>
            </w:r>
          </w:p>
          <w:p w:rsidR="007E3243" w:rsidRPr="007E3243" w:rsidRDefault="007E3243" w:rsidP="007E3243">
            <w:pPr>
              <w:spacing w:after="120"/>
              <w:rPr>
                <w:i/>
              </w:rPr>
            </w:pPr>
            <w:r w:rsidRPr="007E324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7E3243" w:rsidRPr="007E3243" w:rsidRDefault="007E3243" w:rsidP="007E3243">
            <w:pPr>
              <w:spacing w:after="120"/>
              <w:rPr>
                <w:i/>
              </w:rPr>
            </w:pPr>
            <w:r w:rsidRPr="007E324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fabricator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w:t>
            </w:r>
            <w:r w:rsidRPr="007E3243">
              <w:rPr>
                <w:i/>
                <w:vertAlign w:val="superscript"/>
              </w:rPr>
              <w:t>4</w:t>
            </w:r>
          </w:p>
          <w:p w:rsidR="007E3243" w:rsidRPr="007E3243" w:rsidRDefault="007E3243" w:rsidP="007E3243">
            <w:pPr>
              <w:spacing w:after="120"/>
              <w:rPr>
                <w:i/>
                <w:vertAlign w:val="superscript"/>
              </w:rPr>
            </w:pPr>
            <w:r w:rsidRPr="007E3243">
              <w:rPr>
                <w:i/>
              </w:rPr>
              <w:t>As discussed in this response and in responses 0.1 and 0.2, DEQ determined Intel already operates emission control systems that would very likely be considered Best Available Control Technology, so there is little to be gained from making the proposed change. Therefore, adopting rules to align with the Supreme Court decision not to require Prevention of Significant Deterioration permits on the basis of greenhouse gas emissions alone will not have an effect on greenhouse gas emissions from Intel.</w:t>
            </w:r>
          </w:p>
          <w:p w:rsidR="007E3243" w:rsidRPr="007E3243" w:rsidRDefault="007E3243" w:rsidP="007E3243">
            <w:pPr>
              <w:spacing w:after="120"/>
              <w:rPr>
                <w:i/>
              </w:rPr>
            </w:pPr>
          </w:p>
          <w:p w:rsidR="007E3243" w:rsidRPr="007E3243" w:rsidRDefault="007E3243" w:rsidP="007E3243">
            <w:pPr>
              <w:spacing w:after="120"/>
              <w:rPr>
                <w:i/>
              </w:rPr>
            </w:pPr>
            <w:r w:rsidRPr="007E3243">
              <w:rPr>
                <w:i/>
              </w:rPr>
              <w:t>PUT SILICA HERE</w:t>
            </w:r>
          </w:p>
          <w:p w:rsidR="007E3243" w:rsidRPr="007E3243" w:rsidRDefault="007E3243" w:rsidP="007E3243">
            <w:pPr>
              <w:spacing w:after="120"/>
              <w:rPr>
                <w:i/>
              </w:rPr>
            </w:pPr>
          </w:p>
          <w:p w:rsidR="007E3243" w:rsidRPr="007E3243" w:rsidRDefault="007E3243" w:rsidP="007E3243">
            <w:pPr>
              <w:spacing w:after="120"/>
              <w:rPr>
                <w:i/>
              </w:rPr>
            </w:pPr>
            <w:r w:rsidRPr="007E3243">
              <w:rPr>
                <w:i/>
              </w:rPr>
              <w:t xml:space="preserve">With respect to adding semiconductor manufacturing to section (e) of the definition of “federal major source”, Intel will automatically be classified as a “federal major source” if any of its non-GHG emissions equal or exceed 250 tons per year. The types of facilities that are listed in the definition are classified as federal major sources if they have any non-GHG emissions equal to or more than 100 tons per. The proposed change to add semiconductor manufacturers to the list of facility types listed in section (e) of the definition of federal major source would </w:t>
            </w:r>
            <w:r w:rsidRPr="007E3243">
              <w:rPr>
                <w:i/>
              </w:rPr>
              <w:lastRenderedPageBreak/>
              <w:t>cause Intel to trigger Prevention of Significant Deterioration. However, as discussed below and in responses 0.1 and 0.2, DEQ sees little environmental benefit to making Intel subject to PSD.</w:t>
            </w:r>
          </w:p>
          <w:p w:rsidR="007E3243" w:rsidRPr="007E3243" w:rsidRDefault="007E3243" w:rsidP="007E3243">
            <w:pPr>
              <w:spacing w:after="120"/>
              <w:rPr>
                <w:i/>
              </w:rPr>
            </w:pPr>
            <w:r w:rsidRPr="007E3243">
              <w:rPr>
                <w:i/>
              </w:rPr>
              <w:t>DEQ also does not agree with the comment to retain rules that would make sources subject to PSD for greenhouse gases alone, as discussed in response 0.2.</w:t>
            </w:r>
          </w:p>
          <w:p w:rsidR="007E3243" w:rsidRPr="007E3243" w:rsidRDefault="007E3243" w:rsidP="007E3243">
            <w:pPr>
              <w:spacing w:after="120"/>
              <w:rPr>
                <w:i/>
              </w:rPr>
            </w:pPr>
            <w:r w:rsidRPr="007E3243">
              <w:rPr>
                <w:i/>
              </w:rPr>
              <w:t>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rsidR="007E3243" w:rsidRPr="007E3243" w:rsidRDefault="007E3243" w:rsidP="007E3243">
            <w:pPr>
              <w:spacing w:after="120"/>
              <w:rPr>
                <w:i/>
              </w:rPr>
            </w:pPr>
            <w:r w:rsidRPr="007E3243">
              <w:rPr>
                <w:i/>
              </w:rPr>
              <w:t>The permit application is for a maintenance area New Source Review (NSR) permit. Maintenance NSR and PSD are both parts of the major NSR permitting program. The differences between the maintenance NSR application and a PSD permit application are shown below:</w:t>
            </w:r>
          </w:p>
          <w:tbl>
            <w:tblPr>
              <w:tblStyle w:val="TableGrid"/>
              <w:tblW w:w="0" w:type="auto"/>
              <w:tblInd w:w="738" w:type="dxa"/>
              <w:tblLayout w:type="fixed"/>
              <w:tblLook w:val="04A0"/>
            </w:tblPr>
            <w:tblGrid>
              <w:gridCol w:w="4050"/>
              <w:gridCol w:w="2115"/>
              <w:gridCol w:w="2115"/>
            </w:tblGrid>
            <w:tr w:rsidR="007E3243" w:rsidRPr="007E3243" w:rsidTr="00FA20FF">
              <w:trPr>
                <w:cantSplit/>
                <w:tblHeader/>
              </w:trPr>
              <w:tc>
                <w:tcPr>
                  <w:tcW w:w="4050" w:type="dxa"/>
                </w:tcPr>
                <w:p w:rsidR="007E3243" w:rsidRPr="007E3243" w:rsidRDefault="007E3243" w:rsidP="007E3243">
                  <w:pPr>
                    <w:spacing w:after="120"/>
                    <w:rPr>
                      <w:b/>
                      <w:i/>
                    </w:rPr>
                  </w:pPr>
                  <w:r w:rsidRPr="007E3243">
                    <w:rPr>
                      <w:b/>
                      <w:i/>
                    </w:rPr>
                    <w:t>Type of analysis</w:t>
                  </w:r>
                </w:p>
              </w:tc>
              <w:tc>
                <w:tcPr>
                  <w:tcW w:w="2115" w:type="dxa"/>
                </w:tcPr>
                <w:p w:rsidR="007E3243" w:rsidRPr="007E3243" w:rsidRDefault="007E3243" w:rsidP="007E3243">
                  <w:pPr>
                    <w:spacing w:after="120"/>
                    <w:rPr>
                      <w:b/>
                      <w:i/>
                    </w:rPr>
                  </w:pPr>
                  <w:r w:rsidRPr="007E3243">
                    <w:rPr>
                      <w:b/>
                      <w:i/>
                    </w:rPr>
                    <w:t>PSD</w:t>
                  </w:r>
                </w:p>
              </w:tc>
              <w:tc>
                <w:tcPr>
                  <w:tcW w:w="2115" w:type="dxa"/>
                </w:tcPr>
                <w:p w:rsidR="007E3243" w:rsidRPr="007E3243" w:rsidRDefault="007E3243" w:rsidP="007E3243">
                  <w:pPr>
                    <w:spacing w:after="120"/>
                    <w:rPr>
                      <w:b/>
                      <w:i/>
                    </w:rPr>
                  </w:pPr>
                  <w:r w:rsidRPr="007E3243">
                    <w:rPr>
                      <w:b/>
                      <w:i/>
                    </w:rPr>
                    <w:t>NSR</w:t>
                  </w:r>
                </w:p>
              </w:tc>
            </w:tr>
            <w:tr w:rsidR="007E3243" w:rsidRPr="007E3243" w:rsidTr="00FA20FF">
              <w:trPr>
                <w:cantSplit/>
              </w:trPr>
              <w:tc>
                <w:tcPr>
                  <w:tcW w:w="4050" w:type="dxa"/>
                </w:tcPr>
                <w:p w:rsidR="007E3243" w:rsidRPr="007E3243" w:rsidRDefault="007E3243" w:rsidP="007E3243">
                  <w:pPr>
                    <w:spacing w:after="120"/>
                    <w:rPr>
                      <w:i/>
                    </w:rPr>
                  </w:pPr>
                  <w:r w:rsidRPr="007E3243">
                    <w:rPr>
                      <w:i/>
                    </w:rPr>
                    <w:t>Air quality analysis for PM10, PM2.5, NO2 and CO</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Required</w:t>
                  </w:r>
                </w:p>
              </w:tc>
            </w:tr>
            <w:tr w:rsidR="007E3243" w:rsidRPr="007E3243" w:rsidTr="00FA20FF">
              <w:trPr>
                <w:cantSplit/>
              </w:trPr>
              <w:tc>
                <w:tcPr>
                  <w:tcW w:w="4050" w:type="dxa"/>
                </w:tcPr>
                <w:p w:rsidR="007E3243" w:rsidRPr="007E3243" w:rsidRDefault="007E3243" w:rsidP="007E3243">
                  <w:pPr>
                    <w:spacing w:after="120"/>
                    <w:rPr>
                      <w:i/>
                    </w:rPr>
                  </w:pPr>
                  <w:r w:rsidRPr="007E3243">
                    <w:rPr>
                      <w:i/>
                    </w:rPr>
                    <w:t>Air quality analysis for fluorides</w:t>
                  </w:r>
                </w:p>
              </w:tc>
              <w:tc>
                <w:tcPr>
                  <w:tcW w:w="2115" w:type="dxa"/>
                </w:tcPr>
                <w:p w:rsidR="007E3243" w:rsidRPr="007E3243" w:rsidRDefault="007E3243" w:rsidP="007E3243">
                  <w:pPr>
                    <w:spacing w:after="120"/>
                    <w:rPr>
                      <w:i/>
                    </w:rPr>
                  </w:pPr>
                  <w:r w:rsidRPr="007E3243">
                    <w:rPr>
                      <w:i/>
                    </w:rPr>
                    <w:t>Not Required *</w:t>
                  </w:r>
                </w:p>
              </w:tc>
              <w:tc>
                <w:tcPr>
                  <w:tcW w:w="2115" w:type="dxa"/>
                </w:tcPr>
                <w:p w:rsidR="007E3243" w:rsidRPr="007E3243" w:rsidRDefault="007E3243" w:rsidP="007E3243">
                  <w:pPr>
                    <w:spacing w:after="120"/>
                    <w:rPr>
                      <w:i/>
                    </w:rPr>
                  </w:pPr>
                  <w:r w:rsidRPr="007E3243">
                    <w:rPr>
                      <w:i/>
                    </w:rPr>
                    <w:t>Not required *</w:t>
                  </w:r>
                </w:p>
                <w:p w:rsidR="007E3243" w:rsidRPr="007E3243" w:rsidRDefault="007E3243" w:rsidP="007E3243">
                  <w:pPr>
                    <w:spacing w:after="120"/>
                    <w:rPr>
                      <w:i/>
                    </w:rPr>
                  </w:pPr>
                  <w:r w:rsidRPr="007E3243">
                    <w:rPr>
                      <w:i/>
                    </w:rPr>
                    <w:t>See Note 1 below</w:t>
                  </w:r>
                </w:p>
              </w:tc>
            </w:tr>
            <w:tr w:rsidR="007E3243" w:rsidRPr="007E3243" w:rsidTr="00FA20FF">
              <w:trPr>
                <w:cantSplit/>
              </w:trPr>
              <w:tc>
                <w:tcPr>
                  <w:tcW w:w="4050" w:type="dxa"/>
                </w:tcPr>
                <w:p w:rsidR="007E3243" w:rsidRPr="007E3243" w:rsidRDefault="007E3243" w:rsidP="007E3243">
                  <w:pPr>
                    <w:spacing w:after="120"/>
                    <w:rPr>
                      <w:i/>
                    </w:rPr>
                  </w:pPr>
                  <w:r w:rsidRPr="007E3243">
                    <w:rPr>
                      <w:i/>
                    </w:rPr>
                    <w:t>Air quality analysis for greenhouse gases</w:t>
                  </w:r>
                </w:p>
              </w:tc>
              <w:tc>
                <w:tcPr>
                  <w:tcW w:w="2115" w:type="dxa"/>
                </w:tcPr>
                <w:p w:rsidR="007E3243" w:rsidRPr="007E3243" w:rsidRDefault="007E3243" w:rsidP="007E3243">
                  <w:pPr>
                    <w:spacing w:after="120"/>
                    <w:rPr>
                      <w:i/>
                    </w:rPr>
                  </w:pPr>
                  <w:r w:rsidRPr="007E3243">
                    <w:rPr>
                      <w:i/>
                    </w:rPr>
                    <w:t>Not required *</w:t>
                  </w:r>
                </w:p>
              </w:tc>
              <w:tc>
                <w:tcPr>
                  <w:tcW w:w="2115" w:type="dxa"/>
                </w:tcPr>
                <w:p w:rsidR="007E3243" w:rsidRPr="007E3243" w:rsidRDefault="007E3243" w:rsidP="007E3243">
                  <w:pPr>
                    <w:spacing w:after="120"/>
                    <w:rPr>
                      <w:i/>
                    </w:rPr>
                  </w:pPr>
                  <w:r w:rsidRPr="007E3243">
                    <w:rPr>
                      <w:i/>
                    </w:rPr>
                    <w:t>Not required *</w:t>
                  </w:r>
                </w:p>
              </w:tc>
            </w:tr>
            <w:tr w:rsidR="007E3243" w:rsidRPr="007E3243" w:rsidTr="00FA20FF">
              <w:trPr>
                <w:cantSplit/>
              </w:trPr>
              <w:tc>
                <w:tcPr>
                  <w:tcW w:w="4050" w:type="dxa"/>
                </w:tcPr>
                <w:p w:rsidR="007E3243" w:rsidRPr="007E3243" w:rsidRDefault="007E3243" w:rsidP="007E3243">
                  <w:pPr>
                    <w:spacing w:after="120"/>
                    <w:rPr>
                      <w:i/>
                    </w:rPr>
                  </w:pPr>
                  <w:r w:rsidRPr="007E3243">
                    <w:rPr>
                      <w:i/>
                    </w:rPr>
                    <w:t>BACT ** analysis for NOx and CO</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Required</w:t>
                  </w:r>
                </w:p>
              </w:tc>
            </w:tr>
            <w:tr w:rsidR="007E3243" w:rsidRPr="007E3243" w:rsidTr="00FA20FF">
              <w:trPr>
                <w:cantSplit/>
              </w:trPr>
              <w:tc>
                <w:tcPr>
                  <w:tcW w:w="4050" w:type="dxa"/>
                </w:tcPr>
                <w:p w:rsidR="007E3243" w:rsidRPr="007E3243" w:rsidRDefault="007E3243" w:rsidP="007E3243">
                  <w:pPr>
                    <w:spacing w:after="120"/>
                    <w:rPr>
                      <w:i/>
                    </w:rPr>
                  </w:pPr>
                  <w:r w:rsidRPr="007E3243">
                    <w:rPr>
                      <w:i/>
                    </w:rPr>
                    <w:t>BACT analysis for greenhouse gases (GHG)</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Not required</w:t>
                  </w:r>
                </w:p>
                <w:p w:rsidR="007E3243" w:rsidRPr="007E3243" w:rsidRDefault="007E3243" w:rsidP="007E3243">
                  <w:pPr>
                    <w:spacing w:after="120"/>
                    <w:rPr>
                      <w:i/>
                    </w:rPr>
                  </w:pPr>
                  <w:r w:rsidRPr="007E3243">
                    <w:rPr>
                      <w:i/>
                    </w:rPr>
                    <w:t>See Note 2 below</w:t>
                  </w:r>
                </w:p>
              </w:tc>
            </w:tr>
            <w:tr w:rsidR="007E3243" w:rsidRPr="007E3243" w:rsidTr="00FA20FF">
              <w:trPr>
                <w:cantSplit/>
              </w:trPr>
              <w:tc>
                <w:tcPr>
                  <w:tcW w:w="4050" w:type="dxa"/>
                </w:tcPr>
                <w:p w:rsidR="007E3243" w:rsidRPr="007E3243" w:rsidRDefault="007E3243" w:rsidP="007E3243">
                  <w:pPr>
                    <w:spacing w:after="120"/>
                    <w:rPr>
                      <w:i/>
                    </w:rPr>
                  </w:pPr>
                  <w:r w:rsidRPr="007E3243">
                    <w:rPr>
                      <w:i/>
                    </w:rPr>
                    <w:t>BACT analysis for fluorides</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Not required</w:t>
                  </w:r>
                </w:p>
                <w:p w:rsidR="007E3243" w:rsidRPr="007E3243" w:rsidRDefault="007E3243" w:rsidP="007E3243">
                  <w:pPr>
                    <w:spacing w:after="120"/>
                    <w:rPr>
                      <w:i/>
                    </w:rPr>
                  </w:pPr>
                  <w:r w:rsidRPr="007E3243">
                    <w:rPr>
                      <w:i/>
                    </w:rPr>
                    <w:t>See Note 3 below</w:t>
                  </w:r>
                </w:p>
              </w:tc>
            </w:tr>
          </w:tbl>
          <w:p w:rsidR="007E3243" w:rsidRPr="007E3243" w:rsidRDefault="007E3243" w:rsidP="007E3243">
            <w:pPr>
              <w:spacing w:after="120"/>
              <w:rPr>
                <w:i/>
              </w:rPr>
            </w:pPr>
            <w:r w:rsidRPr="007E3243">
              <w:rPr>
                <w:i/>
              </w:rPr>
              <w:t>* An air quality analysis is only required for pollutants for which an Ambient Air Quality Standard exists. There are no Ambient Air Quality Standards for fluorides or greenhouse gases.</w:t>
            </w:r>
          </w:p>
          <w:p w:rsidR="007E3243" w:rsidRPr="007E3243" w:rsidRDefault="007E3243" w:rsidP="007E3243">
            <w:pPr>
              <w:spacing w:after="120"/>
              <w:rPr>
                <w:i/>
              </w:rPr>
            </w:pPr>
            <w:r w:rsidRPr="007E3243">
              <w:rPr>
                <w:i/>
              </w:rPr>
              <w:t>** BACT is described in response 0.1.</w:t>
            </w:r>
          </w:p>
          <w:p w:rsidR="007E3243" w:rsidRPr="007E3243" w:rsidRDefault="007E3243" w:rsidP="007E3243">
            <w:pPr>
              <w:spacing w:after="120"/>
              <w:rPr>
                <w:i/>
                <w:u w:val="single"/>
              </w:rPr>
            </w:pPr>
            <w:r w:rsidRPr="007E3243">
              <w:rPr>
                <w:i/>
                <w:u w:val="single"/>
              </w:rPr>
              <w:t>Note 1</w:t>
            </w:r>
          </w:p>
          <w:p w:rsidR="007E3243" w:rsidRPr="007E3243" w:rsidRDefault="007E3243" w:rsidP="007E3243">
            <w:pPr>
              <w:spacing w:after="120"/>
              <w:rPr>
                <w:i/>
              </w:rPr>
            </w:pPr>
            <w:r w:rsidRPr="007E3243">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rsidR="007E3243" w:rsidRPr="007E3243" w:rsidRDefault="007E3243" w:rsidP="007E3243">
            <w:pPr>
              <w:spacing w:after="120"/>
              <w:rPr>
                <w:i/>
              </w:rPr>
            </w:pPr>
            <w:r w:rsidRPr="007E3243">
              <w:rPr>
                <w:i/>
              </w:rPr>
              <w:t xml:space="preserve">Annual average hydrogen fluoride concentration:  0.50 </w:t>
            </w:r>
            <w:proofErr w:type="spellStart"/>
            <w:r w:rsidRPr="007E3243">
              <w:rPr>
                <w:i/>
              </w:rPr>
              <w:t>μg</w:t>
            </w:r>
            <w:proofErr w:type="spellEnd"/>
            <w:r w:rsidRPr="007E3243">
              <w:rPr>
                <w:i/>
              </w:rPr>
              <w:t>/m</w:t>
            </w:r>
            <w:r w:rsidRPr="007E3243">
              <w:rPr>
                <w:i/>
                <w:vertAlign w:val="superscript"/>
              </w:rPr>
              <w:t>3</w:t>
            </w:r>
            <w:r w:rsidRPr="007E3243">
              <w:rPr>
                <w:i/>
              </w:rPr>
              <w:t xml:space="preserve"> ; and</w:t>
            </w:r>
          </w:p>
          <w:p w:rsidR="007E3243" w:rsidRPr="007E3243" w:rsidRDefault="007E3243" w:rsidP="007E3243">
            <w:pPr>
              <w:spacing w:after="120"/>
              <w:rPr>
                <w:i/>
              </w:rPr>
            </w:pPr>
            <w:r w:rsidRPr="007E3243">
              <w:rPr>
                <w:i/>
              </w:rPr>
              <w:t xml:space="preserve">Annual average fluorides concentration:  </w:t>
            </w:r>
            <w:proofErr w:type="gramStart"/>
            <w:r w:rsidRPr="007E3243">
              <w:rPr>
                <w:i/>
              </w:rPr>
              <w:t xml:space="preserve">0.38 </w:t>
            </w:r>
            <w:proofErr w:type="spellStart"/>
            <w:r w:rsidRPr="007E3243">
              <w:rPr>
                <w:i/>
              </w:rPr>
              <w:t>μg</w:t>
            </w:r>
            <w:proofErr w:type="spellEnd"/>
            <w:r w:rsidRPr="007E3243">
              <w:rPr>
                <w:i/>
              </w:rPr>
              <w:t>/m</w:t>
            </w:r>
            <w:r w:rsidRPr="007E3243">
              <w:rPr>
                <w:i/>
                <w:vertAlign w:val="superscript"/>
              </w:rPr>
              <w:t>3</w:t>
            </w:r>
            <w:proofErr w:type="gramEnd"/>
            <w:r w:rsidRPr="007E3243">
              <w:rPr>
                <w:i/>
              </w:rPr>
              <w:t>.</w:t>
            </w:r>
          </w:p>
          <w:p w:rsidR="007E3243" w:rsidRPr="007E3243" w:rsidRDefault="007E3243" w:rsidP="007E3243">
            <w:pPr>
              <w:spacing w:after="120"/>
              <w:rPr>
                <w:i/>
              </w:rPr>
            </w:pPr>
            <w:r w:rsidRPr="007E3243">
              <w:rPr>
                <w:i/>
              </w:rPr>
              <w:t xml:space="preserve">The hydrogen fluoride result is below the Oregon benchmark concentration </w:t>
            </w:r>
            <w:proofErr w:type="gramStart"/>
            <w:r w:rsidRPr="007E3243">
              <w:rPr>
                <w:i/>
              </w:rPr>
              <w:t xml:space="preserve">of 14 </w:t>
            </w:r>
            <w:proofErr w:type="spellStart"/>
            <w:r w:rsidRPr="007E3243">
              <w:rPr>
                <w:i/>
              </w:rPr>
              <w:t>μg</w:t>
            </w:r>
            <w:proofErr w:type="spellEnd"/>
            <w:r w:rsidRPr="007E3243">
              <w:rPr>
                <w:i/>
              </w:rPr>
              <w:t>/m</w:t>
            </w:r>
            <w:r w:rsidRPr="007E3243">
              <w:rPr>
                <w:i/>
                <w:vertAlign w:val="superscript"/>
              </w:rPr>
              <w:t>3</w:t>
            </w:r>
            <w:proofErr w:type="gramEnd"/>
            <w:r w:rsidRPr="007E3243">
              <w:rPr>
                <w:i/>
              </w:rPr>
              <w:t xml:space="preserve">. </w:t>
            </w:r>
            <w:r w:rsidRPr="007E3243">
              <w:rPr>
                <w:i/>
              </w:rPr>
              <w:lastRenderedPageBreak/>
              <w:t xml:space="preserve">Oregon does not have an ambient standard or benchmark for fluorides, but some other states do have ambient air limits, guidelines or reference values. The values range from 6 to 27 </w:t>
            </w:r>
            <w:proofErr w:type="spellStart"/>
            <w:proofErr w:type="gramStart"/>
            <w:r w:rsidRPr="007E3243">
              <w:rPr>
                <w:i/>
              </w:rPr>
              <w:t>μg</w:t>
            </w:r>
            <w:proofErr w:type="spellEnd"/>
            <w:r w:rsidRPr="007E3243">
              <w:rPr>
                <w:i/>
              </w:rPr>
              <w:t>/m</w:t>
            </w:r>
            <w:r w:rsidRPr="007E3243">
              <w:rPr>
                <w:i/>
                <w:vertAlign w:val="superscript"/>
              </w:rPr>
              <w:t>3</w:t>
            </w:r>
            <w:r w:rsidRPr="007E3243">
              <w:rPr>
                <w:i/>
              </w:rPr>
              <w:t>,</w:t>
            </w:r>
            <w:proofErr w:type="gramEnd"/>
            <w:r w:rsidRPr="007E3243">
              <w:rPr>
                <w:i/>
              </w:rPr>
              <w:t xml:space="preserve"> and the model result is below all of them.</w:t>
            </w:r>
          </w:p>
          <w:p w:rsidR="007E3243" w:rsidRPr="007E3243" w:rsidRDefault="007E3243" w:rsidP="007E3243">
            <w:pPr>
              <w:spacing w:after="120"/>
              <w:rPr>
                <w:i/>
                <w:u w:val="single"/>
              </w:rPr>
            </w:pPr>
            <w:r w:rsidRPr="007E3243">
              <w:rPr>
                <w:i/>
                <w:u w:val="single"/>
              </w:rPr>
              <w:t>Note 2</w:t>
            </w:r>
          </w:p>
          <w:p w:rsidR="007E3243" w:rsidRPr="007E3243" w:rsidRDefault="007E3243" w:rsidP="007E3243">
            <w:pPr>
              <w:spacing w:after="120"/>
              <w:rPr>
                <w:i/>
              </w:rPr>
            </w:pPr>
            <w:r w:rsidRPr="007E3243">
              <w:rPr>
                <w:i/>
              </w:rPr>
              <w:t xml:space="preserve">Intel currently operates emission control devices known as point of use </w:t>
            </w:r>
            <w:proofErr w:type="gramStart"/>
            <w:r w:rsidRPr="007E3243">
              <w:rPr>
                <w:i/>
              </w:rPr>
              <w:t>controls,</w:t>
            </w:r>
            <w:proofErr w:type="gramEnd"/>
            <w:r w:rsidRPr="007E3243">
              <w:rPr>
                <w:i/>
              </w:rPr>
              <w:t xml:space="preserve"> or POUs. As indicated in response 0.1, DEQ believes that little or nothing would be gained by conducting a BACT analysis for greenhouse gases. Furthermore, it should be noted that the POUs break down fluorine-containing greenhouse gases, which results in increased generation of fluorides and hydrogen fluoride; thus, even if more POUs could be used, doing so might result in higher emissions of fluorides and hydrogen fluoride.</w:t>
            </w:r>
          </w:p>
          <w:p w:rsidR="007E3243" w:rsidRPr="007E3243" w:rsidRDefault="007E3243" w:rsidP="007E3243">
            <w:pPr>
              <w:spacing w:after="120"/>
              <w:rPr>
                <w:i/>
                <w:u w:val="single"/>
              </w:rPr>
            </w:pPr>
            <w:r w:rsidRPr="007E3243">
              <w:rPr>
                <w:i/>
                <w:u w:val="single"/>
              </w:rPr>
              <w:t>Note 3</w:t>
            </w:r>
          </w:p>
          <w:p w:rsidR="007E3243" w:rsidRPr="007E3243" w:rsidRDefault="007E3243" w:rsidP="007E3243">
            <w:pPr>
              <w:spacing w:after="120"/>
              <w:rPr>
                <w:i/>
              </w:rPr>
            </w:pPr>
            <w:r w:rsidRPr="007E3243">
              <w:rPr>
                <w:i/>
              </w:rPr>
              <w:t>As part of the MAO, Intel was required to conduct an emission control technology review for fluorides. The control technology review is not considered to be an official BACT analysis; however, Intel followed the procedure for conducting a BACT analysis. The conclusion of the analysis was that Intel’s existing emission control system for fluorides is the best available for a semiconductor manufacturing facility.</w:t>
            </w:r>
          </w:p>
          <w:p w:rsidR="00EE1C80" w:rsidRDefault="007E3243" w:rsidP="007E3243">
            <w:pPr>
              <w:rPr>
                <w:i/>
              </w:rPr>
            </w:pPr>
            <w:r w:rsidRPr="007E3243">
              <w:rPr>
                <w:i/>
              </w:rPr>
              <w:t>In summary, the differences between the NSR application and a PSD application are in the areas of BACT analyses for GHGs and fluorides. With respect to GHGs, as indicated in this response and in responses 0.1 and 0.2, there is little environmental value in conducting a BACT analysis for GHGs. With respect to fluorides, Intel did perform an analysis of fluorides emission controls using the BACT procedure. Finally, although it would not be required by either type of permit application, Intel performed an air quality analysis for fluorides and hydrogen fluoride.</w:t>
            </w:r>
          </w:p>
          <w:p w:rsidR="00753A48" w:rsidRPr="00EE1C80" w:rsidRDefault="00753A48" w:rsidP="00EE1C80">
            <w:pPr>
              <w:rPr>
                <w:i/>
              </w:rPr>
            </w:pPr>
          </w:p>
          <w:p w:rsidR="00EE1C80" w:rsidRDefault="00EE1C80" w:rsidP="00EE1C80">
            <w:pPr>
              <w:rPr>
                <w:i/>
              </w:rPr>
            </w:pPr>
            <w:r w:rsidRPr="00EE1C80">
              <w:rPr>
                <w:i/>
              </w:rPr>
              <w:t>DEQ did not change the proposed rule in response to this comment.</w:t>
            </w:r>
          </w:p>
          <w:p w:rsidR="007E3243" w:rsidRPr="00EE1C80" w:rsidRDefault="007E3243" w:rsidP="00EE1C80">
            <w:pPr>
              <w:rPr>
                <w:i/>
              </w:rPr>
            </w:pPr>
          </w:p>
          <w:p w:rsidR="00533EB4" w:rsidRPr="002D760C" w:rsidRDefault="00D45B86" w:rsidP="00D45B86">
            <w:pPr>
              <w:spacing w:after="120"/>
              <w:rPr>
                <w:i/>
              </w:rPr>
            </w:pPr>
            <w:r w:rsidRPr="00D45B86">
              <w:rPr>
                <w:i/>
                <w:vertAlign w:val="superscript"/>
              </w:rPr>
              <w:t>4</w:t>
            </w:r>
            <w:r w:rsidRPr="00D45B86">
              <w:rPr>
                <w:i/>
              </w:rPr>
              <w:t>http://www.epa.gov/semiconductor-pfc/index.html</w:t>
            </w:r>
          </w:p>
        </w:tc>
      </w:tr>
    </w:tbl>
    <w:p w:rsidR="00822C43" w:rsidRDefault="00822C43" w:rsidP="00D02ACC">
      <w:pPr>
        <w:rPr>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w:t>
            </w:r>
            <w:r w:rsidR="005165A1">
              <w:rPr>
                <w:sz w:val="22"/>
                <w:szCs w:val="22"/>
              </w:rPr>
              <w:t xml:space="preserve">2.4, </w:t>
            </w:r>
            <w:r w:rsidR="00584A4D">
              <w:rPr>
                <w:sz w:val="22"/>
                <w:szCs w:val="22"/>
              </w:rPr>
              <w:t xml:space="preserve">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w:t>
            </w:r>
            <w:r w:rsidR="000B6D9A">
              <w:rPr>
                <w:sz w:val="22"/>
                <w:szCs w:val="22"/>
              </w:rPr>
              <w:t>6.1</w:t>
            </w:r>
            <w:r w:rsidR="00263A02">
              <w:rPr>
                <w:sz w:val="22"/>
                <w:szCs w:val="22"/>
              </w:rPr>
              <w:t>8</w:t>
            </w:r>
            <w:r w:rsidR="000B6D9A">
              <w:rPr>
                <w:sz w:val="22"/>
                <w:szCs w:val="22"/>
              </w:rPr>
              <w:t>, 6.</w:t>
            </w:r>
            <w:r w:rsidR="00263A02">
              <w:rPr>
                <w:sz w:val="22"/>
                <w:szCs w:val="22"/>
              </w:rPr>
              <w:t>19</w:t>
            </w:r>
            <w:r w:rsidR="000B6D9A">
              <w:rPr>
                <w:sz w:val="22"/>
                <w:szCs w:val="22"/>
              </w:rPr>
              <w:t xml:space="preserve">,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 xml:space="preserve">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xml:space="preserve">,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w:t>
            </w:r>
            <w:r w:rsidR="006502D7">
              <w:rPr>
                <w:sz w:val="22"/>
                <w:szCs w:val="22"/>
              </w:rPr>
              <w:t xml:space="preserve"> 1.13, </w:t>
            </w:r>
            <w:r w:rsidR="006502D7" w:rsidRPr="0086412A">
              <w:rPr>
                <w:sz w:val="22"/>
                <w:szCs w:val="22"/>
              </w:rPr>
              <w:t>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 xml:space="preserve">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Pr>
                <w:sz w:val="22"/>
                <w:szCs w:val="22"/>
              </w:rPr>
              <w:t xml:space="preserve">2.1,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lastRenderedPageBreak/>
              <w:t>3.2, 3.3,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w:t>
            </w:r>
            <w:r w:rsidR="006502D7">
              <w:rPr>
                <w:sz w:val="22"/>
                <w:szCs w:val="22"/>
              </w:rPr>
              <w:t xml:space="preserve"> 6.2</w:t>
            </w:r>
            <w:r w:rsidR="00263A02">
              <w:rPr>
                <w:sz w:val="22"/>
                <w:szCs w:val="22"/>
              </w:rPr>
              <w:t>0</w:t>
            </w:r>
            <w:r w:rsidR="006502D7">
              <w:rPr>
                <w:sz w:val="22"/>
                <w:szCs w:val="22"/>
              </w:rPr>
              <w:t>,</w:t>
            </w:r>
            <w:r w:rsidR="006502D7" w:rsidRPr="000B6D9A">
              <w:rPr>
                <w:sz w:val="22"/>
                <w:szCs w:val="22"/>
              </w:rPr>
              <w:t xml:space="preserve"> 9.6, </w:t>
            </w:r>
            <w:r w:rsidR="006502D7" w:rsidRPr="00033B63">
              <w:rPr>
                <w:sz w:val="22"/>
                <w:szCs w:val="22"/>
              </w:rPr>
              <w:t>10.1</w:t>
            </w:r>
            <w:r w:rsidR="006502D7" w:rsidRPr="000372DE">
              <w:rPr>
                <w:sz w:val="22"/>
                <w:szCs w:val="22"/>
              </w:rPr>
              <w:t xml:space="preserve"> </w:t>
            </w:r>
            <w:r w:rsidR="006502D7" w:rsidRPr="00AC7FCA">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0.2,</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263A02">
            <w:pPr>
              <w:rPr>
                <w:sz w:val="22"/>
                <w:szCs w:val="22"/>
              </w:rPr>
            </w:pPr>
            <w:r>
              <w:rPr>
                <w:sz w:val="22"/>
                <w:szCs w:val="22"/>
              </w:rPr>
              <w:t>1.1, 3.1, 3.3, 4.1, 4.3, 6.2, 6.10, 6.</w:t>
            </w:r>
            <w:r w:rsidR="00263A02">
              <w:rPr>
                <w:sz w:val="22"/>
                <w:szCs w:val="22"/>
              </w:rPr>
              <w:t>19</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1.12, 1.13, 1.14, 1.15,</w:t>
            </w:r>
            <w:r w:rsidR="006502D7" w:rsidRPr="00C9118F">
              <w:rPr>
                <w:sz w:val="22"/>
                <w:szCs w:val="22"/>
              </w:rPr>
              <w:t xml:space="preserve"> 1.17, 1.18, 1.19,</w:t>
            </w:r>
            <w:r w:rsidR="006502D7" w:rsidRPr="00BE0247">
              <w:rPr>
                <w:sz w:val="22"/>
                <w:szCs w:val="22"/>
              </w:rPr>
              <w:t xml:space="preserve"> 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DD214F">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3.2, 3.3,</w:t>
            </w:r>
            <w:r w:rsidR="006502D7" w:rsidRPr="0045780A">
              <w:rPr>
                <w:sz w:val="22"/>
                <w:szCs w:val="22"/>
              </w:rPr>
              <w:t xml:space="preserve"> 6.2, 6.3, 6.4, 6.5,</w:t>
            </w:r>
            <w:r w:rsidR="006502D7" w:rsidRPr="000372DE">
              <w:rPr>
                <w:sz w:val="22"/>
                <w:szCs w:val="22"/>
              </w:rPr>
              <w:t xml:space="preserve"> 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3A6000">
              <w:rPr>
                <w:sz w:val="22"/>
                <w:szCs w:val="22"/>
              </w:rPr>
              <w:t xml:space="preserve"> </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1.1,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xml:space="preserve">, </w:t>
            </w:r>
            <w:r w:rsidR="006502D7" w:rsidRPr="00EF3CE7">
              <w:rPr>
                <w:sz w:val="22"/>
                <w:szCs w:val="22"/>
              </w:rPr>
              <w:lastRenderedPageBreak/>
              <w:t>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3.2, 3.3,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1.39</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w:t>
            </w:r>
            <w:r w:rsidR="006502D7" w:rsidRPr="00584A4D">
              <w:rPr>
                <w:sz w:val="22"/>
                <w:szCs w:val="22"/>
              </w:rPr>
              <w:t xml:space="preserve"> 2.2, 2.3, </w:t>
            </w:r>
            <w:r w:rsidR="005165A1">
              <w:rPr>
                <w:sz w:val="22"/>
                <w:szCs w:val="22"/>
              </w:rPr>
              <w:t xml:space="preserve">2.4, </w:t>
            </w:r>
            <w:r w:rsidR="006502D7" w:rsidRPr="00584A4D">
              <w:rPr>
                <w:sz w:val="22"/>
                <w:szCs w:val="22"/>
              </w:rPr>
              <w:t>3.1,</w:t>
            </w:r>
            <w:r w:rsidR="006502D7" w:rsidRPr="00AC7FCA">
              <w:rPr>
                <w:sz w:val="22"/>
                <w:szCs w:val="22"/>
              </w:rPr>
              <w:t xml:space="preserve"> 3.2, 3.3,</w:t>
            </w:r>
            <w:r w:rsidR="006502D7" w:rsidRPr="0045780A">
              <w:rPr>
                <w:sz w:val="22"/>
                <w:szCs w:val="22"/>
              </w:rPr>
              <w:t xml:space="preserve"> 6.2, 6.3, 6.4, 6.5,</w:t>
            </w:r>
            <w:r w:rsidR="006502D7" w:rsidRPr="000372DE">
              <w:rPr>
                <w:sz w:val="22"/>
                <w:szCs w:val="22"/>
              </w:rPr>
              <w:t xml:space="preserve"> 6.6, 6.7, 6.8, 6.9, 6.10, </w:t>
            </w:r>
            <w:r w:rsidR="006502D7">
              <w:rPr>
                <w:sz w:val="22"/>
                <w:szCs w:val="22"/>
              </w:rPr>
              <w:t xml:space="preserve">6.11, </w:t>
            </w:r>
            <w:r w:rsidR="006502D7" w:rsidRPr="000372DE">
              <w:rPr>
                <w:sz w:val="22"/>
                <w:szCs w:val="22"/>
              </w:rPr>
              <w:t>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9.6,</w:t>
            </w:r>
            <w:r w:rsidR="006502D7">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0B6D9A">
              <w:rPr>
                <w:sz w:val="22"/>
                <w:szCs w:val="22"/>
              </w:rPr>
              <w:t>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1.16, 1.23, 1.37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w:t>
            </w:r>
            <w:r w:rsidR="006502D7" w:rsidRPr="009D41F6">
              <w:rPr>
                <w:sz w:val="22"/>
                <w:szCs w:val="22"/>
              </w:rPr>
              <w:t xml:space="preserve"> 1.14, </w:t>
            </w:r>
            <w:r w:rsidR="006502D7" w:rsidRPr="009D41F6">
              <w:rPr>
                <w:sz w:val="22"/>
                <w:szCs w:val="22"/>
              </w:rPr>
              <w:lastRenderedPageBreak/>
              <w:t>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 xml:space="preserve">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0B6D9A">
              <w:rPr>
                <w:sz w:val="22"/>
                <w:szCs w:val="22"/>
              </w:rPr>
              <w:t xml:space="preserve"> 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lastRenderedPageBreak/>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jinahar" w:date="2015-01-15T12:14:00Z" w:initials="j">
    <w:p w:rsidR="00CB4351" w:rsidRDefault="00CB4351">
      <w:pPr>
        <w:pStyle w:val="CommentText"/>
      </w:pPr>
      <w:r>
        <w:rPr>
          <w:rStyle w:val="CommentReference"/>
        </w:rPr>
        <w:annotationRef/>
      </w:r>
      <w:r>
        <w:t xml:space="preserve">Can’t get </w:t>
      </w:r>
      <w:proofErr w:type="spellStart"/>
      <w:r>
        <w:t>ridof</w:t>
      </w:r>
      <w:proofErr w:type="spellEnd"/>
      <w:r>
        <w:t xml:space="preserve"> this blank row in the header for section 9.  Help Andrea!</w:t>
      </w:r>
    </w:p>
  </w:comment>
  <w:comment w:id="6" w:author="jinahar" w:date="2015-01-15T12:14:00Z" w:initials="j">
    <w:p w:rsidR="00CB4351" w:rsidRPr="005C3A1A" w:rsidRDefault="00CB4351" w:rsidP="005C3A1A">
      <w:pPr>
        <w:pStyle w:val="CommentText"/>
      </w:pPr>
      <w:r>
        <w:rPr>
          <w:rStyle w:val="CommentReference"/>
        </w:rPr>
        <w:annotationRef/>
      </w:r>
      <w:proofErr w:type="spellStart"/>
      <w:r w:rsidRPr="005C3A1A">
        <w:t>PaulG</w:t>
      </w:r>
      <w:proofErr w:type="spellEnd"/>
      <w:r w:rsidRPr="005C3A1A">
        <w:t xml:space="preserve"> comment</w:t>
      </w:r>
    </w:p>
    <w:p w:rsidR="00CB4351" w:rsidRPr="005C3A1A" w:rsidRDefault="00CB4351" w:rsidP="005C3A1A">
      <w:pPr>
        <w:pStyle w:val="CommentText"/>
      </w:pPr>
    </w:p>
    <w:p w:rsidR="00CB4351" w:rsidRDefault="00CB4351" w:rsidP="005C3A1A">
      <w:pPr>
        <w:pStyle w:val="CommentText"/>
      </w:pPr>
      <w:r w:rsidRPr="005C3A1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351" w:rsidRDefault="00CB4351">
      <w:r>
        <w:separator/>
      </w:r>
    </w:p>
  </w:endnote>
  <w:endnote w:type="continuationSeparator" w:id="0">
    <w:p w:rsidR="00CB4351" w:rsidRDefault="00CB43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CB4351" w:rsidRDefault="002D014E">
        <w:pPr>
          <w:pStyle w:val="Footer"/>
          <w:jc w:val="right"/>
        </w:pPr>
        <w:fldSimple w:instr=" PAGE   \* MERGEFORMAT ">
          <w:r w:rsidR="002C283B">
            <w:rPr>
              <w:noProof/>
            </w:rPr>
            <w:t>9</w:t>
          </w:r>
        </w:fldSimple>
      </w:p>
    </w:sdtContent>
  </w:sdt>
  <w:p w:rsidR="00CB4351" w:rsidRDefault="00CB4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CB4351" w:rsidRDefault="002D014E">
        <w:pPr>
          <w:pStyle w:val="Footer"/>
          <w:jc w:val="right"/>
        </w:pPr>
        <w:fldSimple w:instr=" PAGE   \* MERGEFORMAT ">
          <w:r w:rsidR="002C283B">
            <w:rPr>
              <w:noProof/>
            </w:rPr>
            <w:t>1</w:t>
          </w:r>
        </w:fldSimple>
      </w:p>
    </w:sdtContent>
  </w:sdt>
  <w:p w:rsidR="00CB4351" w:rsidRDefault="00CB4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351" w:rsidRDefault="00CB4351">
      <w:r>
        <w:separator/>
      </w:r>
    </w:p>
  </w:footnote>
  <w:footnote w:type="continuationSeparator" w:id="0">
    <w:p w:rsidR="00CB4351" w:rsidRDefault="00CB4351">
      <w:r>
        <w:continuationSeparator/>
      </w:r>
    </w:p>
  </w:footnote>
  <w:footnote w:id="1">
    <w:p w:rsidR="00CB4351" w:rsidRDefault="00CB4351" w:rsidP="00386BFA">
      <w:pPr>
        <w:pStyle w:val="FootnoteText"/>
      </w:pPr>
      <w:r>
        <w:rPr>
          <w:rStyle w:val="FootnoteReference"/>
        </w:rPr>
        <w:footnoteRef/>
      </w:r>
      <w:r>
        <w:t xml:space="preserve"> An air quality analysis is required for criteria pollutants, for which there are ambient air quality standards. For pollutants such as GHGs, for which there are no ambient air quality standards, an air quality analysis is not required.</w:t>
      </w:r>
    </w:p>
  </w:footnote>
  <w:footnote w:id="2">
    <w:p w:rsidR="00CB4351" w:rsidRDefault="00CB4351" w:rsidP="00386BFA">
      <w:pPr>
        <w:pStyle w:val="FootnoteText"/>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810"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19137"/>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10E"/>
    <w:rsid w:val="00001683"/>
    <w:rsid w:val="000016C0"/>
    <w:rsid w:val="000027A2"/>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1F9E"/>
    <w:rsid w:val="0003208F"/>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664"/>
    <w:rsid w:val="00036FC7"/>
    <w:rsid w:val="000372DE"/>
    <w:rsid w:val="00037D5D"/>
    <w:rsid w:val="00037E18"/>
    <w:rsid w:val="00040A77"/>
    <w:rsid w:val="000413AA"/>
    <w:rsid w:val="000415B2"/>
    <w:rsid w:val="000433C8"/>
    <w:rsid w:val="00043407"/>
    <w:rsid w:val="0004404B"/>
    <w:rsid w:val="00045054"/>
    <w:rsid w:val="0004507A"/>
    <w:rsid w:val="00045795"/>
    <w:rsid w:val="00046252"/>
    <w:rsid w:val="0005017B"/>
    <w:rsid w:val="00050480"/>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6AE"/>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0C1B"/>
    <w:rsid w:val="000824DA"/>
    <w:rsid w:val="00083644"/>
    <w:rsid w:val="0008389E"/>
    <w:rsid w:val="00083B14"/>
    <w:rsid w:val="00084377"/>
    <w:rsid w:val="00084467"/>
    <w:rsid w:val="000854A4"/>
    <w:rsid w:val="00085666"/>
    <w:rsid w:val="000856BE"/>
    <w:rsid w:val="00086301"/>
    <w:rsid w:val="0008686D"/>
    <w:rsid w:val="00086B60"/>
    <w:rsid w:val="00086CF6"/>
    <w:rsid w:val="00086E5A"/>
    <w:rsid w:val="000876B7"/>
    <w:rsid w:val="00087749"/>
    <w:rsid w:val="0008779B"/>
    <w:rsid w:val="0009155C"/>
    <w:rsid w:val="00091D57"/>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682"/>
    <w:rsid w:val="000A58AD"/>
    <w:rsid w:val="000A5B13"/>
    <w:rsid w:val="000A6C16"/>
    <w:rsid w:val="000A6D36"/>
    <w:rsid w:val="000A7E37"/>
    <w:rsid w:val="000B016F"/>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AF0"/>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17D6E"/>
    <w:rsid w:val="00120EF4"/>
    <w:rsid w:val="0012109E"/>
    <w:rsid w:val="00122824"/>
    <w:rsid w:val="00122C65"/>
    <w:rsid w:val="001234E8"/>
    <w:rsid w:val="001247D0"/>
    <w:rsid w:val="001248C2"/>
    <w:rsid w:val="00124DAD"/>
    <w:rsid w:val="0012520B"/>
    <w:rsid w:val="0012569C"/>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AA7"/>
    <w:rsid w:val="00146C16"/>
    <w:rsid w:val="00146C85"/>
    <w:rsid w:val="00147653"/>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57D62"/>
    <w:rsid w:val="00160B01"/>
    <w:rsid w:val="00161098"/>
    <w:rsid w:val="001610C5"/>
    <w:rsid w:val="00161D01"/>
    <w:rsid w:val="00162291"/>
    <w:rsid w:val="001623B8"/>
    <w:rsid w:val="001627C9"/>
    <w:rsid w:val="00162BDC"/>
    <w:rsid w:val="00162BF6"/>
    <w:rsid w:val="00162CCA"/>
    <w:rsid w:val="0016386B"/>
    <w:rsid w:val="001638AE"/>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332"/>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621"/>
    <w:rsid w:val="00183CCE"/>
    <w:rsid w:val="001853CD"/>
    <w:rsid w:val="00185C41"/>
    <w:rsid w:val="00185D71"/>
    <w:rsid w:val="0018671D"/>
    <w:rsid w:val="0018712C"/>
    <w:rsid w:val="0018749C"/>
    <w:rsid w:val="0018753C"/>
    <w:rsid w:val="00190397"/>
    <w:rsid w:val="001911B8"/>
    <w:rsid w:val="001918B4"/>
    <w:rsid w:val="001926EE"/>
    <w:rsid w:val="001932E0"/>
    <w:rsid w:val="00193596"/>
    <w:rsid w:val="00193BF3"/>
    <w:rsid w:val="00193C52"/>
    <w:rsid w:val="00193D8D"/>
    <w:rsid w:val="00193EE6"/>
    <w:rsid w:val="00194861"/>
    <w:rsid w:val="00194890"/>
    <w:rsid w:val="00194BD2"/>
    <w:rsid w:val="00195024"/>
    <w:rsid w:val="00195038"/>
    <w:rsid w:val="00195365"/>
    <w:rsid w:val="0019637E"/>
    <w:rsid w:val="00196B94"/>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07F"/>
    <w:rsid w:val="001B74D4"/>
    <w:rsid w:val="001B794D"/>
    <w:rsid w:val="001B7E48"/>
    <w:rsid w:val="001C0B68"/>
    <w:rsid w:val="001C0C8C"/>
    <w:rsid w:val="001C13ED"/>
    <w:rsid w:val="001C15EB"/>
    <w:rsid w:val="001C1ABC"/>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4FB6"/>
    <w:rsid w:val="001C5C91"/>
    <w:rsid w:val="001C6348"/>
    <w:rsid w:val="001C6BEE"/>
    <w:rsid w:val="001C7262"/>
    <w:rsid w:val="001C742D"/>
    <w:rsid w:val="001C7B16"/>
    <w:rsid w:val="001C7ED6"/>
    <w:rsid w:val="001D017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E7F6C"/>
    <w:rsid w:val="001F0131"/>
    <w:rsid w:val="001F0341"/>
    <w:rsid w:val="001F060C"/>
    <w:rsid w:val="001F0780"/>
    <w:rsid w:val="001F0B31"/>
    <w:rsid w:val="001F0FA5"/>
    <w:rsid w:val="001F1397"/>
    <w:rsid w:val="001F1F03"/>
    <w:rsid w:val="001F278E"/>
    <w:rsid w:val="001F287B"/>
    <w:rsid w:val="001F28AA"/>
    <w:rsid w:val="001F34D6"/>
    <w:rsid w:val="001F3757"/>
    <w:rsid w:val="001F3A9F"/>
    <w:rsid w:val="001F3C90"/>
    <w:rsid w:val="001F3DD2"/>
    <w:rsid w:val="001F495C"/>
    <w:rsid w:val="001F61A4"/>
    <w:rsid w:val="001F693C"/>
    <w:rsid w:val="001F6AA4"/>
    <w:rsid w:val="001F6AAA"/>
    <w:rsid w:val="001F6E84"/>
    <w:rsid w:val="001F7BFA"/>
    <w:rsid w:val="002008B1"/>
    <w:rsid w:val="00200A44"/>
    <w:rsid w:val="002011C1"/>
    <w:rsid w:val="00201B32"/>
    <w:rsid w:val="00201FC6"/>
    <w:rsid w:val="002022AE"/>
    <w:rsid w:val="002029F0"/>
    <w:rsid w:val="00202DCA"/>
    <w:rsid w:val="0020419F"/>
    <w:rsid w:val="00204862"/>
    <w:rsid w:val="002052D3"/>
    <w:rsid w:val="002056C8"/>
    <w:rsid w:val="00205B45"/>
    <w:rsid w:val="00205C55"/>
    <w:rsid w:val="0020661C"/>
    <w:rsid w:val="002070A4"/>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9EF"/>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9D9"/>
    <w:rsid w:val="00225BB6"/>
    <w:rsid w:val="00225D54"/>
    <w:rsid w:val="00226AC0"/>
    <w:rsid w:val="00227AD8"/>
    <w:rsid w:val="00227E02"/>
    <w:rsid w:val="0023068A"/>
    <w:rsid w:val="002308BE"/>
    <w:rsid w:val="00231353"/>
    <w:rsid w:val="00231C05"/>
    <w:rsid w:val="00232DE6"/>
    <w:rsid w:val="002348B8"/>
    <w:rsid w:val="00234EEF"/>
    <w:rsid w:val="00235F65"/>
    <w:rsid w:val="00236055"/>
    <w:rsid w:val="002366DE"/>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15"/>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8D1"/>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33B"/>
    <w:rsid w:val="00262837"/>
    <w:rsid w:val="00263434"/>
    <w:rsid w:val="00263A02"/>
    <w:rsid w:val="0026401C"/>
    <w:rsid w:val="00264B10"/>
    <w:rsid w:val="00265EEC"/>
    <w:rsid w:val="0026613B"/>
    <w:rsid w:val="00266685"/>
    <w:rsid w:val="0026671C"/>
    <w:rsid w:val="00266A44"/>
    <w:rsid w:val="00266B95"/>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04F"/>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5F2B"/>
    <w:rsid w:val="002A67D7"/>
    <w:rsid w:val="002A68CD"/>
    <w:rsid w:val="002A6E2F"/>
    <w:rsid w:val="002A7BB2"/>
    <w:rsid w:val="002A7E91"/>
    <w:rsid w:val="002B0745"/>
    <w:rsid w:val="002B0E96"/>
    <w:rsid w:val="002B1958"/>
    <w:rsid w:val="002B1FFD"/>
    <w:rsid w:val="002B2107"/>
    <w:rsid w:val="002B2188"/>
    <w:rsid w:val="002B2A47"/>
    <w:rsid w:val="002B2F92"/>
    <w:rsid w:val="002B3184"/>
    <w:rsid w:val="002B3394"/>
    <w:rsid w:val="002B3493"/>
    <w:rsid w:val="002B473A"/>
    <w:rsid w:val="002B478D"/>
    <w:rsid w:val="002B498F"/>
    <w:rsid w:val="002B572B"/>
    <w:rsid w:val="002B6354"/>
    <w:rsid w:val="002B659D"/>
    <w:rsid w:val="002B71E0"/>
    <w:rsid w:val="002C04BE"/>
    <w:rsid w:val="002C126B"/>
    <w:rsid w:val="002C1A7B"/>
    <w:rsid w:val="002C1B9B"/>
    <w:rsid w:val="002C1E01"/>
    <w:rsid w:val="002C283B"/>
    <w:rsid w:val="002C28B9"/>
    <w:rsid w:val="002C3696"/>
    <w:rsid w:val="002C4A9B"/>
    <w:rsid w:val="002C50B1"/>
    <w:rsid w:val="002C58F9"/>
    <w:rsid w:val="002C5DBD"/>
    <w:rsid w:val="002C6833"/>
    <w:rsid w:val="002C6AF7"/>
    <w:rsid w:val="002C7540"/>
    <w:rsid w:val="002C7920"/>
    <w:rsid w:val="002C7F50"/>
    <w:rsid w:val="002D0003"/>
    <w:rsid w:val="002D014E"/>
    <w:rsid w:val="002D05E9"/>
    <w:rsid w:val="002D0FE2"/>
    <w:rsid w:val="002D1464"/>
    <w:rsid w:val="002D2126"/>
    <w:rsid w:val="002D2520"/>
    <w:rsid w:val="002D25E6"/>
    <w:rsid w:val="002D34A4"/>
    <w:rsid w:val="002D431D"/>
    <w:rsid w:val="002D4336"/>
    <w:rsid w:val="002D45F3"/>
    <w:rsid w:val="002D4A61"/>
    <w:rsid w:val="002D4FAA"/>
    <w:rsid w:val="002D5168"/>
    <w:rsid w:val="002D5C7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2691"/>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4FD9"/>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5E6"/>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3D54"/>
    <w:rsid w:val="00344727"/>
    <w:rsid w:val="00344C77"/>
    <w:rsid w:val="00344F8B"/>
    <w:rsid w:val="00346B47"/>
    <w:rsid w:val="00346E68"/>
    <w:rsid w:val="003471D3"/>
    <w:rsid w:val="00347646"/>
    <w:rsid w:val="00347A72"/>
    <w:rsid w:val="00347DAB"/>
    <w:rsid w:val="00350013"/>
    <w:rsid w:val="00350B85"/>
    <w:rsid w:val="003511B1"/>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4F13"/>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14E"/>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BFA"/>
    <w:rsid w:val="00386D5D"/>
    <w:rsid w:val="00386F1F"/>
    <w:rsid w:val="0038738B"/>
    <w:rsid w:val="00387794"/>
    <w:rsid w:val="00387ACF"/>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38"/>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1ED3"/>
    <w:rsid w:val="003B29FD"/>
    <w:rsid w:val="003B300A"/>
    <w:rsid w:val="003B49F5"/>
    <w:rsid w:val="003B4C75"/>
    <w:rsid w:val="003B534B"/>
    <w:rsid w:val="003B561F"/>
    <w:rsid w:val="003B5927"/>
    <w:rsid w:val="003B6A21"/>
    <w:rsid w:val="003B6B10"/>
    <w:rsid w:val="003B6E8F"/>
    <w:rsid w:val="003B6FBB"/>
    <w:rsid w:val="003B73B2"/>
    <w:rsid w:val="003B7CE7"/>
    <w:rsid w:val="003C0D5C"/>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C7BB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23C"/>
    <w:rsid w:val="003E5F6B"/>
    <w:rsid w:val="003E6056"/>
    <w:rsid w:val="003E61F8"/>
    <w:rsid w:val="003E640A"/>
    <w:rsid w:val="003E6984"/>
    <w:rsid w:val="003E6C28"/>
    <w:rsid w:val="003E6EF8"/>
    <w:rsid w:val="003E6F50"/>
    <w:rsid w:val="003E71A4"/>
    <w:rsid w:val="003E7E4D"/>
    <w:rsid w:val="003F099C"/>
    <w:rsid w:val="003F0A2E"/>
    <w:rsid w:val="003F1110"/>
    <w:rsid w:val="003F1D1C"/>
    <w:rsid w:val="003F3958"/>
    <w:rsid w:val="003F419D"/>
    <w:rsid w:val="003F48D1"/>
    <w:rsid w:val="003F49BA"/>
    <w:rsid w:val="003F4E00"/>
    <w:rsid w:val="003F4F34"/>
    <w:rsid w:val="003F503E"/>
    <w:rsid w:val="003F51F2"/>
    <w:rsid w:val="003F5464"/>
    <w:rsid w:val="003F55C1"/>
    <w:rsid w:val="003F5683"/>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7B7"/>
    <w:rsid w:val="00411B3D"/>
    <w:rsid w:val="00411EBE"/>
    <w:rsid w:val="00412956"/>
    <w:rsid w:val="00413848"/>
    <w:rsid w:val="00413A28"/>
    <w:rsid w:val="00413A4B"/>
    <w:rsid w:val="00414903"/>
    <w:rsid w:val="00414998"/>
    <w:rsid w:val="00414AF5"/>
    <w:rsid w:val="00414D57"/>
    <w:rsid w:val="00414EB4"/>
    <w:rsid w:val="00414F4A"/>
    <w:rsid w:val="004158AE"/>
    <w:rsid w:val="004161D3"/>
    <w:rsid w:val="00417341"/>
    <w:rsid w:val="00420A7E"/>
    <w:rsid w:val="00420BB9"/>
    <w:rsid w:val="00420E14"/>
    <w:rsid w:val="00421683"/>
    <w:rsid w:val="00421A80"/>
    <w:rsid w:val="00422D79"/>
    <w:rsid w:val="00423C3A"/>
    <w:rsid w:val="00423F72"/>
    <w:rsid w:val="00424CFD"/>
    <w:rsid w:val="00425542"/>
    <w:rsid w:val="004255D8"/>
    <w:rsid w:val="0042565D"/>
    <w:rsid w:val="004262FB"/>
    <w:rsid w:val="00426B96"/>
    <w:rsid w:val="00426C34"/>
    <w:rsid w:val="00430578"/>
    <w:rsid w:val="004309C8"/>
    <w:rsid w:val="004328EB"/>
    <w:rsid w:val="00432CBF"/>
    <w:rsid w:val="004336F1"/>
    <w:rsid w:val="0043381D"/>
    <w:rsid w:val="00433DAA"/>
    <w:rsid w:val="00433EED"/>
    <w:rsid w:val="004343C3"/>
    <w:rsid w:val="00434558"/>
    <w:rsid w:val="00434EBE"/>
    <w:rsid w:val="00435592"/>
    <w:rsid w:val="00436698"/>
    <w:rsid w:val="00436979"/>
    <w:rsid w:val="00436D9A"/>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47E"/>
    <w:rsid w:val="00444513"/>
    <w:rsid w:val="004445F6"/>
    <w:rsid w:val="00444760"/>
    <w:rsid w:val="00444C81"/>
    <w:rsid w:val="00444F07"/>
    <w:rsid w:val="004450AA"/>
    <w:rsid w:val="004453B3"/>
    <w:rsid w:val="00445B10"/>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734"/>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8F2"/>
    <w:rsid w:val="00483F6B"/>
    <w:rsid w:val="004840C3"/>
    <w:rsid w:val="00485132"/>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44D"/>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0E33"/>
    <w:rsid w:val="004B10A8"/>
    <w:rsid w:val="004B1272"/>
    <w:rsid w:val="004B1FFE"/>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5CF"/>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4F6C"/>
    <w:rsid w:val="004E5E8F"/>
    <w:rsid w:val="004E6915"/>
    <w:rsid w:val="004E6DDB"/>
    <w:rsid w:val="004E6F6F"/>
    <w:rsid w:val="004E760B"/>
    <w:rsid w:val="004E7FD8"/>
    <w:rsid w:val="004F02F9"/>
    <w:rsid w:val="004F0D7F"/>
    <w:rsid w:val="004F0F9D"/>
    <w:rsid w:val="004F11AF"/>
    <w:rsid w:val="004F1531"/>
    <w:rsid w:val="004F166B"/>
    <w:rsid w:val="004F1742"/>
    <w:rsid w:val="004F1C92"/>
    <w:rsid w:val="004F263C"/>
    <w:rsid w:val="004F2FBD"/>
    <w:rsid w:val="004F3BDF"/>
    <w:rsid w:val="004F4514"/>
    <w:rsid w:val="004F4CDA"/>
    <w:rsid w:val="004F58B0"/>
    <w:rsid w:val="004F5F30"/>
    <w:rsid w:val="004F64B8"/>
    <w:rsid w:val="004F6BAC"/>
    <w:rsid w:val="004F716D"/>
    <w:rsid w:val="004F72E3"/>
    <w:rsid w:val="004F7C06"/>
    <w:rsid w:val="00501135"/>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570"/>
    <w:rsid w:val="00512C7C"/>
    <w:rsid w:val="005132EA"/>
    <w:rsid w:val="0051358B"/>
    <w:rsid w:val="005138FC"/>
    <w:rsid w:val="0051452D"/>
    <w:rsid w:val="00514621"/>
    <w:rsid w:val="005147D4"/>
    <w:rsid w:val="005148A4"/>
    <w:rsid w:val="00514A04"/>
    <w:rsid w:val="00514E5C"/>
    <w:rsid w:val="00514FB5"/>
    <w:rsid w:val="00515061"/>
    <w:rsid w:val="00515811"/>
    <w:rsid w:val="00515E0C"/>
    <w:rsid w:val="00515F0A"/>
    <w:rsid w:val="00516242"/>
    <w:rsid w:val="005165A1"/>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5D5"/>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4F5"/>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2956"/>
    <w:rsid w:val="00554209"/>
    <w:rsid w:val="00554570"/>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272B"/>
    <w:rsid w:val="0057398C"/>
    <w:rsid w:val="00574260"/>
    <w:rsid w:val="005747AD"/>
    <w:rsid w:val="005747D5"/>
    <w:rsid w:val="005748E2"/>
    <w:rsid w:val="00574CB7"/>
    <w:rsid w:val="0057527D"/>
    <w:rsid w:val="005758FB"/>
    <w:rsid w:val="00575CD2"/>
    <w:rsid w:val="00576663"/>
    <w:rsid w:val="00576708"/>
    <w:rsid w:val="00576CFD"/>
    <w:rsid w:val="00577123"/>
    <w:rsid w:val="00577331"/>
    <w:rsid w:val="0057747B"/>
    <w:rsid w:val="005776C0"/>
    <w:rsid w:val="00577878"/>
    <w:rsid w:val="00580300"/>
    <w:rsid w:val="00581227"/>
    <w:rsid w:val="005816C5"/>
    <w:rsid w:val="005818FB"/>
    <w:rsid w:val="0058191F"/>
    <w:rsid w:val="00581D7B"/>
    <w:rsid w:val="00581FDE"/>
    <w:rsid w:val="005825DD"/>
    <w:rsid w:val="00582C8F"/>
    <w:rsid w:val="00583462"/>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0331"/>
    <w:rsid w:val="005B13FF"/>
    <w:rsid w:val="005B1C00"/>
    <w:rsid w:val="005B1CD4"/>
    <w:rsid w:val="005B1F35"/>
    <w:rsid w:val="005B3318"/>
    <w:rsid w:val="005B3349"/>
    <w:rsid w:val="005B3714"/>
    <w:rsid w:val="005B3A58"/>
    <w:rsid w:val="005B3B17"/>
    <w:rsid w:val="005B4596"/>
    <w:rsid w:val="005B59C2"/>
    <w:rsid w:val="005B6304"/>
    <w:rsid w:val="005B6B7E"/>
    <w:rsid w:val="005B75D4"/>
    <w:rsid w:val="005B7889"/>
    <w:rsid w:val="005B7C98"/>
    <w:rsid w:val="005C0190"/>
    <w:rsid w:val="005C0467"/>
    <w:rsid w:val="005C1438"/>
    <w:rsid w:val="005C1A6D"/>
    <w:rsid w:val="005C2394"/>
    <w:rsid w:val="005C2B33"/>
    <w:rsid w:val="005C3A1A"/>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6EE"/>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9EC"/>
    <w:rsid w:val="00613B11"/>
    <w:rsid w:val="00613B28"/>
    <w:rsid w:val="00613E14"/>
    <w:rsid w:val="00614079"/>
    <w:rsid w:val="00615339"/>
    <w:rsid w:val="00615675"/>
    <w:rsid w:val="006157C5"/>
    <w:rsid w:val="00616048"/>
    <w:rsid w:val="006162D7"/>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020"/>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425"/>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5796A"/>
    <w:rsid w:val="00660C13"/>
    <w:rsid w:val="0066199D"/>
    <w:rsid w:val="00661F9E"/>
    <w:rsid w:val="00662D03"/>
    <w:rsid w:val="00663D66"/>
    <w:rsid w:val="00663DED"/>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09"/>
    <w:rsid w:val="00693413"/>
    <w:rsid w:val="006939DC"/>
    <w:rsid w:val="00693F0C"/>
    <w:rsid w:val="0069401A"/>
    <w:rsid w:val="00694225"/>
    <w:rsid w:val="00694605"/>
    <w:rsid w:val="00694C86"/>
    <w:rsid w:val="00695141"/>
    <w:rsid w:val="00696179"/>
    <w:rsid w:val="00696580"/>
    <w:rsid w:val="00696DBF"/>
    <w:rsid w:val="006972D3"/>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177"/>
    <w:rsid w:val="006B4992"/>
    <w:rsid w:val="006B4B26"/>
    <w:rsid w:val="006B4ED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B43"/>
    <w:rsid w:val="006D4DBD"/>
    <w:rsid w:val="006D539E"/>
    <w:rsid w:val="006D5EBD"/>
    <w:rsid w:val="006D5ECE"/>
    <w:rsid w:val="006D6684"/>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2E"/>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1DE"/>
    <w:rsid w:val="007263D0"/>
    <w:rsid w:val="00726B14"/>
    <w:rsid w:val="00726B53"/>
    <w:rsid w:val="00727673"/>
    <w:rsid w:val="00727E66"/>
    <w:rsid w:val="00730A60"/>
    <w:rsid w:val="00730D99"/>
    <w:rsid w:val="00731006"/>
    <w:rsid w:val="00731ABC"/>
    <w:rsid w:val="00731C8C"/>
    <w:rsid w:val="007328B0"/>
    <w:rsid w:val="00732DDF"/>
    <w:rsid w:val="00733B81"/>
    <w:rsid w:val="00733F50"/>
    <w:rsid w:val="0073471C"/>
    <w:rsid w:val="007350D3"/>
    <w:rsid w:val="0073584E"/>
    <w:rsid w:val="00736259"/>
    <w:rsid w:val="0073684F"/>
    <w:rsid w:val="00736BFD"/>
    <w:rsid w:val="00737DCE"/>
    <w:rsid w:val="00737E38"/>
    <w:rsid w:val="007409C9"/>
    <w:rsid w:val="007410FE"/>
    <w:rsid w:val="007417EF"/>
    <w:rsid w:val="007426BB"/>
    <w:rsid w:val="00742B34"/>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084"/>
    <w:rsid w:val="0075143C"/>
    <w:rsid w:val="007533DF"/>
    <w:rsid w:val="007534F7"/>
    <w:rsid w:val="00753A48"/>
    <w:rsid w:val="00753B4F"/>
    <w:rsid w:val="00755AEB"/>
    <w:rsid w:val="00755B58"/>
    <w:rsid w:val="00755D23"/>
    <w:rsid w:val="00755FA8"/>
    <w:rsid w:val="0075672C"/>
    <w:rsid w:val="00756CA3"/>
    <w:rsid w:val="00756CB7"/>
    <w:rsid w:val="0075780B"/>
    <w:rsid w:val="0075791D"/>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0A8B"/>
    <w:rsid w:val="007C102C"/>
    <w:rsid w:val="007C15D4"/>
    <w:rsid w:val="007C19C6"/>
    <w:rsid w:val="007C25E0"/>
    <w:rsid w:val="007C268F"/>
    <w:rsid w:val="007C273B"/>
    <w:rsid w:val="007C2B46"/>
    <w:rsid w:val="007C2D66"/>
    <w:rsid w:val="007C3216"/>
    <w:rsid w:val="007C41EA"/>
    <w:rsid w:val="007C429F"/>
    <w:rsid w:val="007C54BF"/>
    <w:rsid w:val="007C56CD"/>
    <w:rsid w:val="007C6213"/>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2DE9"/>
    <w:rsid w:val="007E31AB"/>
    <w:rsid w:val="007E3243"/>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C4C"/>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3F2"/>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46A"/>
    <w:rsid w:val="008139B7"/>
    <w:rsid w:val="00814FA2"/>
    <w:rsid w:val="008154C3"/>
    <w:rsid w:val="0081616B"/>
    <w:rsid w:val="00816B16"/>
    <w:rsid w:val="008174E6"/>
    <w:rsid w:val="00817EBA"/>
    <w:rsid w:val="00817F8A"/>
    <w:rsid w:val="00820591"/>
    <w:rsid w:val="00821B66"/>
    <w:rsid w:val="00821E72"/>
    <w:rsid w:val="008223F9"/>
    <w:rsid w:val="00822C43"/>
    <w:rsid w:val="00823B4A"/>
    <w:rsid w:val="00824369"/>
    <w:rsid w:val="008246F8"/>
    <w:rsid w:val="0082475D"/>
    <w:rsid w:val="00824D9F"/>
    <w:rsid w:val="00824E5A"/>
    <w:rsid w:val="008261B1"/>
    <w:rsid w:val="008261E6"/>
    <w:rsid w:val="00826456"/>
    <w:rsid w:val="0082793C"/>
    <w:rsid w:val="00827A17"/>
    <w:rsid w:val="00827C56"/>
    <w:rsid w:val="00827FF0"/>
    <w:rsid w:val="00830261"/>
    <w:rsid w:val="00830884"/>
    <w:rsid w:val="00830893"/>
    <w:rsid w:val="008311F9"/>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B0B"/>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5FC2"/>
    <w:rsid w:val="008660D2"/>
    <w:rsid w:val="00866BF8"/>
    <w:rsid w:val="00867415"/>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2810"/>
    <w:rsid w:val="008B315F"/>
    <w:rsid w:val="008B34C4"/>
    <w:rsid w:val="008B3532"/>
    <w:rsid w:val="008B3652"/>
    <w:rsid w:val="008B3BE1"/>
    <w:rsid w:val="008B3FF4"/>
    <w:rsid w:val="008B45AD"/>
    <w:rsid w:val="008B537A"/>
    <w:rsid w:val="008B5880"/>
    <w:rsid w:val="008B599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7C2"/>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19FD"/>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0AA"/>
    <w:rsid w:val="009312C0"/>
    <w:rsid w:val="00931B3D"/>
    <w:rsid w:val="00931F01"/>
    <w:rsid w:val="00932AA9"/>
    <w:rsid w:val="00932FA2"/>
    <w:rsid w:val="0093305E"/>
    <w:rsid w:val="009332D9"/>
    <w:rsid w:val="009337D2"/>
    <w:rsid w:val="00934341"/>
    <w:rsid w:val="009354EF"/>
    <w:rsid w:val="00935E25"/>
    <w:rsid w:val="009363E7"/>
    <w:rsid w:val="00936798"/>
    <w:rsid w:val="00936F5F"/>
    <w:rsid w:val="00937108"/>
    <w:rsid w:val="0094093C"/>
    <w:rsid w:val="009409E2"/>
    <w:rsid w:val="00940BB8"/>
    <w:rsid w:val="00941C98"/>
    <w:rsid w:val="009425C5"/>
    <w:rsid w:val="009430A3"/>
    <w:rsid w:val="00943198"/>
    <w:rsid w:val="00943C75"/>
    <w:rsid w:val="00943ECF"/>
    <w:rsid w:val="00945764"/>
    <w:rsid w:val="00945836"/>
    <w:rsid w:val="00945C4A"/>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C4"/>
    <w:rsid w:val="009602D2"/>
    <w:rsid w:val="00960440"/>
    <w:rsid w:val="00960979"/>
    <w:rsid w:val="00960D34"/>
    <w:rsid w:val="00960E28"/>
    <w:rsid w:val="00961850"/>
    <w:rsid w:val="009626B2"/>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5FC"/>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5DC0"/>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0A98"/>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460C"/>
    <w:rsid w:val="009F52D3"/>
    <w:rsid w:val="009F54BD"/>
    <w:rsid w:val="009F54CB"/>
    <w:rsid w:val="009F5AA5"/>
    <w:rsid w:val="009F5FC0"/>
    <w:rsid w:val="009F6807"/>
    <w:rsid w:val="00A0049B"/>
    <w:rsid w:val="00A006B1"/>
    <w:rsid w:val="00A00D06"/>
    <w:rsid w:val="00A01DCD"/>
    <w:rsid w:val="00A02541"/>
    <w:rsid w:val="00A02E66"/>
    <w:rsid w:val="00A0337D"/>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8BA"/>
    <w:rsid w:val="00A10967"/>
    <w:rsid w:val="00A11156"/>
    <w:rsid w:val="00A11814"/>
    <w:rsid w:val="00A125C1"/>
    <w:rsid w:val="00A1374A"/>
    <w:rsid w:val="00A147F8"/>
    <w:rsid w:val="00A155F1"/>
    <w:rsid w:val="00A15972"/>
    <w:rsid w:val="00A15B56"/>
    <w:rsid w:val="00A17073"/>
    <w:rsid w:val="00A201AA"/>
    <w:rsid w:val="00A20250"/>
    <w:rsid w:val="00A20D8D"/>
    <w:rsid w:val="00A21C65"/>
    <w:rsid w:val="00A21FDB"/>
    <w:rsid w:val="00A224B4"/>
    <w:rsid w:val="00A22FFE"/>
    <w:rsid w:val="00A230E3"/>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501"/>
    <w:rsid w:val="00A45E31"/>
    <w:rsid w:val="00A45F56"/>
    <w:rsid w:val="00A47403"/>
    <w:rsid w:val="00A47CE3"/>
    <w:rsid w:val="00A501A0"/>
    <w:rsid w:val="00A50A13"/>
    <w:rsid w:val="00A513B8"/>
    <w:rsid w:val="00A51727"/>
    <w:rsid w:val="00A517C2"/>
    <w:rsid w:val="00A52C9D"/>
    <w:rsid w:val="00A53286"/>
    <w:rsid w:val="00A53965"/>
    <w:rsid w:val="00A53A6E"/>
    <w:rsid w:val="00A53D0B"/>
    <w:rsid w:val="00A54B9E"/>
    <w:rsid w:val="00A552F9"/>
    <w:rsid w:val="00A55453"/>
    <w:rsid w:val="00A554FF"/>
    <w:rsid w:val="00A564FE"/>
    <w:rsid w:val="00A5651D"/>
    <w:rsid w:val="00A5657F"/>
    <w:rsid w:val="00A56918"/>
    <w:rsid w:val="00A574B6"/>
    <w:rsid w:val="00A57A7D"/>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1C3C"/>
    <w:rsid w:val="00A82381"/>
    <w:rsid w:val="00A82CF6"/>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6"/>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5C"/>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6F58"/>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1DA4"/>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5F29"/>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0537"/>
    <w:rsid w:val="00B22875"/>
    <w:rsid w:val="00B22C2A"/>
    <w:rsid w:val="00B22DBC"/>
    <w:rsid w:val="00B236E3"/>
    <w:rsid w:val="00B2392D"/>
    <w:rsid w:val="00B25057"/>
    <w:rsid w:val="00B25A93"/>
    <w:rsid w:val="00B25B87"/>
    <w:rsid w:val="00B2797B"/>
    <w:rsid w:val="00B27A0C"/>
    <w:rsid w:val="00B27C19"/>
    <w:rsid w:val="00B30386"/>
    <w:rsid w:val="00B3041F"/>
    <w:rsid w:val="00B304DC"/>
    <w:rsid w:val="00B31277"/>
    <w:rsid w:val="00B3135D"/>
    <w:rsid w:val="00B313E3"/>
    <w:rsid w:val="00B3157E"/>
    <w:rsid w:val="00B3226C"/>
    <w:rsid w:val="00B32CBB"/>
    <w:rsid w:val="00B332BD"/>
    <w:rsid w:val="00B344E3"/>
    <w:rsid w:val="00B35568"/>
    <w:rsid w:val="00B3570D"/>
    <w:rsid w:val="00B3598D"/>
    <w:rsid w:val="00B35BC5"/>
    <w:rsid w:val="00B35FC4"/>
    <w:rsid w:val="00B36093"/>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A1F"/>
    <w:rsid w:val="00B46B46"/>
    <w:rsid w:val="00B46BC2"/>
    <w:rsid w:val="00B46C5C"/>
    <w:rsid w:val="00B46EBE"/>
    <w:rsid w:val="00B471B7"/>
    <w:rsid w:val="00B478FC"/>
    <w:rsid w:val="00B47B55"/>
    <w:rsid w:val="00B51791"/>
    <w:rsid w:val="00B519CF"/>
    <w:rsid w:val="00B52B44"/>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0D20"/>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3E32"/>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373"/>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1EB"/>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2C63"/>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6D23"/>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C68"/>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4D79"/>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351"/>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EB"/>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074"/>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7FA"/>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34"/>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0B8"/>
    <w:rsid w:val="00D23256"/>
    <w:rsid w:val="00D23801"/>
    <w:rsid w:val="00D24B86"/>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5B86"/>
    <w:rsid w:val="00D45C1B"/>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B9F"/>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81F"/>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44B"/>
    <w:rsid w:val="00D8071D"/>
    <w:rsid w:val="00D80754"/>
    <w:rsid w:val="00D80888"/>
    <w:rsid w:val="00D80D35"/>
    <w:rsid w:val="00D81356"/>
    <w:rsid w:val="00D8158B"/>
    <w:rsid w:val="00D81D64"/>
    <w:rsid w:val="00D81F71"/>
    <w:rsid w:val="00D83019"/>
    <w:rsid w:val="00D83622"/>
    <w:rsid w:val="00D8395B"/>
    <w:rsid w:val="00D839D4"/>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6E51"/>
    <w:rsid w:val="00DB70ED"/>
    <w:rsid w:val="00DC06F4"/>
    <w:rsid w:val="00DC0874"/>
    <w:rsid w:val="00DC18FB"/>
    <w:rsid w:val="00DC1B14"/>
    <w:rsid w:val="00DC1BFA"/>
    <w:rsid w:val="00DC2766"/>
    <w:rsid w:val="00DC2B7C"/>
    <w:rsid w:val="00DC385F"/>
    <w:rsid w:val="00DC3D37"/>
    <w:rsid w:val="00DC3DE0"/>
    <w:rsid w:val="00DC4311"/>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E6FA9"/>
    <w:rsid w:val="00DF0004"/>
    <w:rsid w:val="00DF0036"/>
    <w:rsid w:val="00DF0893"/>
    <w:rsid w:val="00DF0956"/>
    <w:rsid w:val="00DF0E77"/>
    <w:rsid w:val="00DF1066"/>
    <w:rsid w:val="00DF1D81"/>
    <w:rsid w:val="00DF2613"/>
    <w:rsid w:val="00DF2C8C"/>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8BC"/>
    <w:rsid w:val="00E01DFF"/>
    <w:rsid w:val="00E024DE"/>
    <w:rsid w:val="00E025E8"/>
    <w:rsid w:val="00E02AE6"/>
    <w:rsid w:val="00E02F78"/>
    <w:rsid w:val="00E02FCC"/>
    <w:rsid w:val="00E0339D"/>
    <w:rsid w:val="00E03A94"/>
    <w:rsid w:val="00E03C02"/>
    <w:rsid w:val="00E03E52"/>
    <w:rsid w:val="00E04602"/>
    <w:rsid w:val="00E04CE4"/>
    <w:rsid w:val="00E04CF8"/>
    <w:rsid w:val="00E059F6"/>
    <w:rsid w:val="00E05E1B"/>
    <w:rsid w:val="00E06A29"/>
    <w:rsid w:val="00E06CC2"/>
    <w:rsid w:val="00E06E48"/>
    <w:rsid w:val="00E072B5"/>
    <w:rsid w:val="00E07614"/>
    <w:rsid w:val="00E1006F"/>
    <w:rsid w:val="00E1044E"/>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6B8F"/>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1406"/>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0E6"/>
    <w:rsid w:val="00E76293"/>
    <w:rsid w:val="00E763CC"/>
    <w:rsid w:val="00E765A0"/>
    <w:rsid w:val="00E76753"/>
    <w:rsid w:val="00E77344"/>
    <w:rsid w:val="00E77DA1"/>
    <w:rsid w:val="00E77DE5"/>
    <w:rsid w:val="00E8059B"/>
    <w:rsid w:val="00E807E1"/>
    <w:rsid w:val="00E80D30"/>
    <w:rsid w:val="00E80FB7"/>
    <w:rsid w:val="00E8128F"/>
    <w:rsid w:val="00E81ECC"/>
    <w:rsid w:val="00E82026"/>
    <w:rsid w:val="00E82220"/>
    <w:rsid w:val="00E82298"/>
    <w:rsid w:val="00E829D3"/>
    <w:rsid w:val="00E82B6D"/>
    <w:rsid w:val="00E83237"/>
    <w:rsid w:val="00E83A15"/>
    <w:rsid w:val="00E84052"/>
    <w:rsid w:val="00E847C1"/>
    <w:rsid w:val="00E84D07"/>
    <w:rsid w:val="00E855FD"/>
    <w:rsid w:val="00E86154"/>
    <w:rsid w:val="00E86543"/>
    <w:rsid w:val="00E8693A"/>
    <w:rsid w:val="00E87805"/>
    <w:rsid w:val="00E87AC5"/>
    <w:rsid w:val="00E90605"/>
    <w:rsid w:val="00E90ADF"/>
    <w:rsid w:val="00E90CE9"/>
    <w:rsid w:val="00E90DEF"/>
    <w:rsid w:val="00E92133"/>
    <w:rsid w:val="00E93C49"/>
    <w:rsid w:val="00E93FB3"/>
    <w:rsid w:val="00E94387"/>
    <w:rsid w:val="00E943FB"/>
    <w:rsid w:val="00E9444D"/>
    <w:rsid w:val="00E9613D"/>
    <w:rsid w:val="00E9619A"/>
    <w:rsid w:val="00E96821"/>
    <w:rsid w:val="00E96CB3"/>
    <w:rsid w:val="00E96CDD"/>
    <w:rsid w:val="00EA19D5"/>
    <w:rsid w:val="00EA1A7E"/>
    <w:rsid w:val="00EA2AC0"/>
    <w:rsid w:val="00EA2BC9"/>
    <w:rsid w:val="00EA329D"/>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C80"/>
    <w:rsid w:val="00EE1D90"/>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6E09"/>
    <w:rsid w:val="00EE7AFC"/>
    <w:rsid w:val="00EF039D"/>
    <w:rsid w:val="00EF08FB"/>
    <w:rsid w:val="00EF0D41"/>
    <w:rsid w:val="00EF1513"/>
    <w:rsid w:val="00EF16F8"/>
    <w:rsid w:val="00EF1EB1"/>
    <w:rsid w:val="00EF21E0"/>
    <w:rsid w:val="00EF2367"/>
    <w:rsid w:val="00EF26AB"/>
    <w:rsid w:val="00EF26D8"/>
    <w:rsid w:val="00EF2EFF"/>
    <w:rsid w:val="00EF3000"/>
    <w:rsid w:val="00EF3615"/>
    <w:rsid w:val="00EF3CE7"/>
    <w:rsid w:val="00EF41B2"/>
    <w:rsid w:val="00EF420F"/>
    <w:rsid w:val="00EF46FC"/>
    <w:rsid w:val="00EF4FD3"/>
    <w:rsid w:val="00EF571C"/>
    <w:rsid w:val="00EF5AE9"/>
    <w:rsid w:val="00EF5E7A"/>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3D9E"/>
    <w:rsid w:val="00F24A4B"/>
    <w:rsid w:val="00F24B41"/>
    <w:rsid w:val="00F24BB9"/>
    <w:rsid w:val="00F2610B"/>
    <w:rsid w:val="00F26AC2"/>
    <w:rsid w:val="00F26B92"/>
    <w:rsid w:val="00F27803"/>
    <w:rsid w:val="00F27842"/>
    <w:rsid w:val="00F3084E"/>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269"/>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1FB"/>
    <w:rsid w:val="00F72349"/>
    <w:rsid w:val="00F72F3B"/>
    <w:rsid w:val="00F72FDA"/>
    <w:rsid w:val="00F73A7E"/>
    <w:rsid w:val="00F73B24"/>
    <w:rsid w:val="00F744F6"/>
    <w:rsid w:val="00F7452E"/>
    <w:rsid w:val="00F748B1"/>
    <w:rsid w:val="00F74950"/>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4CDF"/>
    <w:rsid w:val="00F8521F"/>
    <w:rsid w:val="00F858E2"/>
    <w:rsid w:val="00F85DA3"/>
    <w:rsid w:val="00F866B3"/>
    <w:rsid w:val="00F867BA"/>
    <w:rsid w:val="00F870C7"/>
    <w:rsid w:val="00F90267"/>
    <w:rsid w:val="00F90343"/>
    <w:rsid w:val="00F906A1"/>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20FF"/>
    <w:rsid w:val="00FA3C90"/>
    <w:rsid w:val="00FA3FEB"/>
    <w:rsid w:val="00FA440D"/>
    <w:rsid w:val="00FA4B3A"/>
    <w:rsid w:val="00FA6F65"/>
    <w:rsid w:val="00FA702F"/>
    <w:rsid w:val="00FA7BA1"/>
    <w:rsid w:val="00FB05D2"/>
    <w:rsid w:val="00FB05F4"/>
    <w:rsid w:val="00FB0C89"/>
    <w:rsid w:val="00FB0F19"/>
    <w:rsid w:val="00FB115F"/>
    <w:rsid w:val="00FB27DD"/>
    <w:rsid w:val="00FB39C1"/>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232"/>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52A5"/>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943"/>
    <w:rsid w:val="00FE6D9E"/>
    <w:rsid w:val="00FE6E7B"/>
    <w:rsid w:val="00FE7A68"/>
    <w:rsid w:val="00FE7BBF"/>
    <w:rsid w:val="00FF095C"/>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5689705">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43295">
      <w:bodyDiv w:val="1"/>
      <w:marLeft w:val="0"/>
      <w:marRight w:val="0"/>
      <w:marTop w:val="0"/>
      <w:marBottom w:val="0"/>
      <w:divBdr>
        <w:top w:val="none" w:sz="0" w:space="0" w:color="auto"/>
        <w:left w:val="none" w:sz="0" w:space="0" w:color="auto"/>
        <w:bottom w:val="none" w:sz="0" w:space="0" w:color="auto"/>
        <w:right w:val="none" w:sz="0" w:space="0" w:color="auto"/>
      </w:divBdr>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chief/ap42/ch05/final/c05s01.pdf"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rapa.org/downloads/permits/207506_SFPP_RR_10-1-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FD70F-FD96-4626-9A08-CC516D3E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47438</Words>
  <Characters>255005</Characters>
  <Application>Microsoft Office Word</Application>
  <DocSecurity>0</DocSecurity>
  <Lines>2125</Lines>
  <Paragraphs>603</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301840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2015-01-15T19:52:00Z</cp:lastPrinted>
  <dcterms:created xsi:type="dcterms:W3CDTF">2015-01-15T21:10:00Z</dcterms:created>
  <dcterms:modified xsi:type="dcterms:W3CDTF">2015-01-15T21:10:00Z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