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sz w:val="22"/>
                <w:szCs w:val="22"/>
              </w:rPr>
            </w:pPr>
            <w:r w:rsidRPr="00196B94">
              <w:rPr>
                <w:sz w:val="22"/>
                <w:szCs w:val="22"/>
              </w:rPr>
              <w:t>Special Discussion of Greenhouse Gas (GHG) Rules</w:t>
            </w:r>
          </w:p>
          <w:p w:rsidR="00196B94" w:rsidRPr="00196B94" w:rsidRDefault="00196B94" w:rsidP="00196B94">
            <w:pPr>
              <w:rPr>
                <w:sz w:val="22"/>
                <w:szCs w:val="22"/>
              </w:rPr>
            </w:pPr>
          </w:p>
          <w:p w:rsidR="00185D71" w:rsidRPr="00185D71" w:rsidRDefault="00185D71" w:rsidP="00185D71">
            <w:pPr>
              <w:rPr>
                <w:sz w:val="22"/>
                <w:szCs w:val="22"/>
              </w:rPr>
            </w:pPr>
            <w:r w:rsidRPr="00185D71">
              <w:rPr>
                <w:sz w:val="22"/>
                <w:szCs w:val="22"/>
              </w:rPr>
              <w:t xml:space="preserve">In 2011, EQC adopted rules substantively identical to the federal greenhouse gas permitting rules. The 2014 Supreme Court decision invalidates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185D71" w:rsidRDefault="00185D71" w:rsidP="00185D71">
            <w:pPr>
              <w:rPr>
                <w:sz w:val="22"/>
                <w:szCs w:val="22"/>
              </w:rPr>
            </w:pPr>
          </w:p>
          <w:p w:rsidR="00185D71" w:rsidRPr="00185D71" w:rsidRDefault="00185D71" w:rsidP="00185D71">
            <w:pPr>
              <w:rPr>
                <w:sz w:val="22"/>
                <w:szCs w:val="22"/>
              </w:rPr>
            </w:pPr>
            <w:r w:rsidRPr="00185D71">
              <w:rPr>
                <w:sz w:val="22"/>
                <w:szCs w:val="22"/>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196B94" w:rsidRDefault="00196B94" w:rsidP="00196B94">
            <w:pPr>
              <w:rPr>
                <w:b/>
                <w:i/>
                <w:sz w:val="22"/>
                <w:szCs w:val="22"/>
              </w:rPr>
            </w:pPr>
            <w:r w:rsidRPr="00196B94">
              <w:rPr>
                <w:b/>
                <w:i/>
                <w:sz w:val="22"/>
                <w:szCs w:val="22"/>
              </w:rPr>
              <w:t>Is there a significant environmental benefit to retaining the provisions that make a source subject to Title V permitting and PSD for greenhouse gases alone?</w:t>
            </w:r>
          </w:p>
          <w:p w:rsidR="00196B94" w:rsidRPr="00196B94" w:rsidRDefault="00196B94" w:rsidP="00196B94">
            <w:pPr>
              <w:rPr>
                <w:sz w:val="22"/>
                <w:szCs w:val="22"/>
              </w:rPr>
            </w:pPr>
          </w:p>
          <w:p w:rsidR="00185D71" w:rsidRPr="009D16DC" w:rsidRDefault="00185D71" w:rsidP="00185D71">
            <w:pPr>
              <w:rPr>
                <w:sz w:val="22"/>
                <w:szCs w:val="22"/>
                <w:u w:val="single"/>
              </w:rPr>
            </w:pPr>
            <w:r w:rsidRPr="009D16DC">
              <w:rPr>
                <w:sz w:val="22"/>
                <w:szCs w:val="22"/>
                <w:u w:val="single"/>
              </w:rPr>
              <w:t>Title V</w:t>
            </w:r>
          </w:p>
          <w:p w:rsidR="00185D71" w:rsidRDefault="00185D71" w:rsidP="00185D71">
            <w:pPr>
              <w:rPr>
                <w:sz w:val="22"/>
                <w:szCs w:val="22"/>
              </w:rPr>
            </w:pPr>
            <w:r>
              <w:rPr>
                <w:sz w:val="22"/>
                <w:szCs w:val="22"/>
              </w:rPr>
              <w:t>Title V is a permitting program required by the Clean Air Act Amendments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185D71" w:rsidRDefault="00185D71" w:rsidP="00185D71">
            <w:pPr>
              <w:rPr>
                <w:sz w:val="22"/>
                <w:szCs w:val="22"/>
              </w:rPr>
            </w:pPr>
            <w:r>
              <w:rPr>
                <w:sz w:val="22"/>
                <w:szCs w:val="22"/>
              </w:rPr>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Pr>
                <w:sz w:val="22"/>
                <w:szCs w:val="22"/>
              </w:rPr>
              <w:t xml:space="preserve"> Two of the main </w:t>
            </w:r>
            <w:r>
              <w:rPr>
                <w:sz w:val="22"/>
                <w:szCs w:val="22"/>
              </w:rPr>
              <w:t>differences between</w:t>
            </w:r>
            <w:r w:rsidR="00CC2FEB">
              <w:rPr>
                <w:sz w:val="22"/>
                <w:szCs w:val="22"/>
              </w:rPr>
              <w:t xml:space="preserve"> Title V permits and ACDPs have to do with the sources they apply to and citizen lawsuit provisions, as described </w:t>
            </w:r>
            <w:r>
              <w:rPr>
                <w:sz w:val="22"/>
                <w:szCs w:val="22"/>
              </w:rPr>
              <w:t>below:</w:t>
            </w:r>
          </w:p>
          <w:p w:rsidR="00196B94" w:rsidRPr="00196B94" w:rsidRDefault="00196B94" w:rsidP="00196B94">
            <w:pPr>
              <w:rPr>
                <w:sz w:val="22"/>
                <w:szCs w:val="22"/>
              </w:rPr>
            </w:pPr>
          </w:p>
          <w:tbl>
            <w:tblPr>
              <w:tblStyle w:val="TableGrid"/>
              <w:tblW w:w="8640" w:type="dxa"/>
              <w:tblInd w:w="330" w:type="dxa"/>
              <w:tblLayout w:type="fixed"/>
              <w:tblLook w:val="04A0"/>
            </w:tblPr>
            <w:tblGrid>
              <w:gridCol w:w="4320"/>
              <w:gridCol w:w="4320"/>
            </w:tblGrid>
            <w:tr w:rsidR="00196B94" w:rsidRPr="00196B94" w:rsidTr="009310AA">
              <w:tc>
                <w:tcPr>
                  <w:tcW w:w="4320" w:type="dxa"/>
                </w:tcPr>
                <w:p w:rsidR="00196B94" w:rsidRPr="00196B94" w:rsidRDefault="00196B94" w:rsidP="00CC2FEB">
                  <w:pPr>
                    <w:jc w:val="center"/>
                    <w:rPr>
                      <w:rFonts w:ascii="Times New Roman" w:eastAsia="Times New Roman" w:hAnsi="Times New Roman" w:cs="Times New Roman"/>
                      <w:b/>
                    </w:rPr>
                  </w:pPr>
                  <w:r w:rsidRPr="00196B94">
                    <w:rPr>
                      <w:rFonts w:ascii="Times New Roman" w:eastAsia="Times New Roman" w:hAnsi="Times New Roman" w:cs="Times New Roman"/>
                      <w:b/>
                    </w:rPr>
                    <w:t>Title V</w:t>
                  </w:r>
                </w:p>
              </w:tc>
              <w:tc>
                <w:tcPr>
                  <w:tcW w:w="4320" w:type="dxa"/>
                </w:tcPr>
                <w:p w:rsidR="00196B94" w:rsidRPr="00196B94" w:rsidRDefault="00196B94" w:rsidP="00CC2FEB">
                  <w:pPr>
                    <w:jc w:val="center"/>
                    <w:rPr>
                      <w:rFonts w:ascii="Times New Roman" w:eastAsia="Times New Roman" w:hAnsi="Times New Roman" w:cs="Times New Roman"/>
                      <w:b/>
                    </w:rPr>
                  </w:pPr>
                  <w:r w:rsidRPr="00196B94">
                    <w:rPr>
                      <w:rFonts w:ascii="Times New Roman" w:eastAsia="Times New Roman" w:hAnsi="Times New Roman" w:cs="Times New Roman"/>
                      <w:b/>
                    </w:rPr>
                    <w:t>ACDP</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Title V has a citizen lawsuit provision which allows citizens to enforce Title V permits by filing a lawsuit if the permitting agency does not appropriately enforce the permit.</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There is no citizen lawsuit provision for ACDPs.</w:t>
                  </w:r>
                </w:p>
              </w:tc>
            </w:tr>
          </w:tbl>
          <w:p w:rsidR="00196B94" w:rsidRPr="00196B94" w:rsidRDefault="00196B94" w:rsidP="00196B94">
            <w:pPr>
              <w:rPr>
                <w:sz w:val="22"/>
                <w:szCs w:val="22"/>
              </w:rPr>
            </w:pPr>
          </w:p>
          <w:p w:rsidR="00414EB4" w:rsidRPr="00414EB4" w:rsidRDefault="00CC2FEB" w:rsidP="00414EB4">
            <w:pPr>
              <w:rPr>
                <w:sz w:val="22"/>
                <w:szCs w:val="22"/>
              </w:rPr>
            </w:pPr>
            <w:r>
              <w:rPr>
                <w:sz w:val="22"/>
                <w:szCs w:val="22"/>
              </w:rPr>
              <w:t>While there are certainly technical differences between Title V permits and ACDPs</w:t>
            </w:r>
            <w:r w:rsidR="00414EB4" w:rsidRPr="00414EB4">
              <w:rPr>
                <w:sz w:val="22"/>
                <w:szCs w:val="22"/>
              </w:rPr>
              <w:t>,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414EB4" w:rsidRDefault="00414EB4" w:rsidP="00414EB4">
            <w:pPr>
              <w:rPr>
                <w:sz w:val="22"/>
                <w:szCs w:val="22"/>
              </w:rPr>
            </w:pPr>
          </w:p>
          <w:p w:rsidR="00414EB4" w:rsidRPr="00414EB4" w:rsidRDefault="00414EB4" w:rsidP="00414EB4">
            <w:pPr>
              <w:rPr>
                <w:sz w:val="22"/>
                <w:szCs w:val="22"/>
                <w:u w:val="single"/>
              </w:rPr>
            </w:pPr>
            <w:r w:rsidRPr="00414EB4">
              <w:rPr>
                <w:sz w:val="22"/>
                <w:szCs w:val="22"/>
                <w:u w:val="single"/>
              </w:rPr>
              <w:t>Prevention of Significant Deterioration (PSD)</w:t>
            </w:r>
          </w:p>
          <w:p w:rsidR="00414EB4" w:rsidRPr="00414EB4" w:rsidRDefault="00414EB4" w:rsidP="00414EB4">
            <w:pPr>
              <w:rPr>
                <w:sz w:val="22"/>
                <w:szCs w:val="22"/>
              </w:rPr>
            </w:pPr>
            <w:r w:rsidRPr="00414EB4">
              <w:rPr>
                <w:sz w:val="22"/>
                <w:szCs w:val="22"/>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414EB4" w:rsidRDefault="00414EB4" w:rsidP="00414EB4">
            <w:pPr>
              <w:rPr>
                <w:sz w:val="22"/>
                <w:szCs w:val="22"/>
              </w:rPr>
            </w:pPr>
            <w:r w:rsidRPr="00414EB4">
              <w:rPr>
                <w:sz w:val="22"/>
                <w:szCs w:val="22"/>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414EB4" w:rsidRDefault="00414EB4" w:rsidP="00414EB4">
            <w:pPr>
              <w:rPr>
                <w:sz w:val="22"/>
                <w:szCs w:val="22"/>
              </w:rPr>
            </w:pPr>
            <w:r w:rsidRPr="00414EB4">
              <w:rPr>
                <w:sz w:val="22"/>
                <w:szCs w:val="22"/>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414EB4" w:rsidRDefault="00414EB4" w:rsidP="00414EB4">
            <w:pPr>
              <w:rPr>
                <w:sz w:val="22"/>
                <w:szCs w:val="22"/>
              </w:rPr>
            </w:pPr>
          </w:p>
          <w:p w:rsidR="00414EB4" w:rsidRPr="00414EB4" w:rsidRDefault="00414EB4" w:rsidP="00414EB4">
            <w:pPr>
              <w:rPr>
                <w:sz w:val="22"/>
                <w:szCs w:val="22"/>
              </w:rPr>
            </w:pPr>
            <w:r w:rsidRPr="00414EB4">
              <w:rPr>
                <w:sz w:val="22"/>
                <w:szCs w:val="22"/>
              </w:rPr>
              <w:t>The table below gives three scenarios for a new or modified facility that illustrate the differences between following or not following the Court’s ruling. The differences between the scenarios are noted in bold italic print.</w:t>
            </w:r>
          </w:p>
          <w:p w:rsidR="00196B94" w:rsidRPr="00196B94" w:rsidRDefault="00196B94" w:rsidP="00196B94">
            <w:pPr>
              <w:rPr>
                <w:sz w:val="22"/>
                <w:szCs w:val="22"/>
              </w:rPr>
            </w:pPr>
          </w:p>
          <w:tbl>
            <w:tblPr>
              <w:tblStyle w:val="TableGrid"/>
              <w:tblW w:w="8640" w:type="dxa"/>
              <w:tblLayout w:type="fixed"/>
              <w:tblLook w:val="04A0"/>
            </w:tblPr>
            <w:tblGrid>
              <w:gridCol w:w="2880"/>
              <w:gridCol w:w="2880"/>
              <w:gridCol w:w="2880"/>
            </w:tblGrid>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A</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B</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C</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does not follow</w:t>
                  </w:r>
                  <w:r w:rsidRPr="00196B94">
                    <w:rPr>
                      <w:rFonts w:ascii="Times New Roman" w:eastAsia="Times New Roman" w:hAnsi="Times New Roman" w:cs="Times New Roman"/>
                    </w:rPr>
                    <w:t xml:space="preserve"> the court’s ruling</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less than</w:t>
                  </w:r>
                  <w:r w:rsidRPr="00196B94">
                    <w:rPr>
                      <w:rFonts w:ascii="Times New Roman" w:eastAsia="Times New Roman" w:hAnsi="Times New Roman" w:cs="Times New Roman"/>
                    </w:rPr>
                    <w:t xml:space="preserve"> 100,000 tons per year CO2e</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has NOx emissions</w:t>
                  </w:r>
                  <w:r w:rsidRPr="00196B94">
                    <w:rPr>
                      <w:rFonts w:ascii="Times New Roman" w:eastAsia="Times New Roman" w:hAnsi="Times New Roman" w:cs="Times New Roman"/>
                    </w:rPr>
                    <w:t xml:space="preserve"> at or over 250 tons per year</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a federal major source.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triggered by the major modifications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required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r>
          </w:tbl>
          <w:p w:rsidR="00196B94" w:rsidRPr="00196B94" w:rsidRDefault="00196B94" w:rsidP="00196B94">
            <w:pPr>
              <w:rPr>
                <w:sz w:val="22"/>
                <w:szCs w:val="22"/>
              </w:rPr>
            </w:pPr>
          </w:p>
          <w:p w:rsidR="00AF5F29" w:rsidRPr="00AF5F29" w:rsidRDefault="00AF5F29" w:rsidP="00AF5F29">
            <w:pPr>
              <w:rPr>
                <w:sz w:val="22"/>
                <w:szCs w:val="22"/>
              </w:rPr>
            </w:pPr>
            <w:r w:rsidRPr="00AF5F29">
              <w:rPr>
                <w:sz w:val="22"/>
                <w:szCs w:val="22"/>
              </w:rPr>
              <w:t>Other scenarios are possible, but these three illustrate the essential differences between following and not following the Court’s ruling. Note in particular:</w:t>
            </w:r>
          </w:p>
          <w:p w:rsidR="00AF5F29" w:rsidRPr="00AF5F29" w:rsidRDefault="00AF5F29" w:rsidP="00AF5F29">
            <w:pPr>
              <w:numPr>
                <w:ilvl w:val="0"/>
                <w:numId w:val="30"/>
              </w:numPr>
              <w:rPr>
                <w:sz w:val="22"/>
                <w:szCs w:val="22"/>
              </w:rPr>
            </w:pPr>
            <w:r w:rsidRPr="00AF5F29">
              <w:rPr>
                <w:sz w:val="22"/>
                <w:szCs w:val="22"/>
              </w:rPr>
              <w:lastRenderedPageBreak/>
              <w:t>In all three scenarios, an air quality analysis for NOx is required. This analysis ensures that air quality will not exceed the ambient air quality standards or PSD Increments (defined in the rules).</w:t>
            </w:r>
          </w:p>
          <w:p w:rsidR="00AF5F29" w:rsidRPr="00AF5F29" w:rsidRDefault="00AF5F29" w:rsidP="00AF5F29">
            <w:pPr>
              <w:numPr>
                <w:ilvl w:val="0"/>
                <w:numId w:val="30"/>
              </w:numPr>
              <w:rPr>
                <w:sz w:val="22"/>
                <w:szCs w:val="22"/>
              </w:rPr>
            </w:pPr>
            <w:r w:rsidRPr="00AF5F29">
              <w:rPr>
                <w:sz w:val="22"/>
                <w:szCs w:val="22"/>
              </w:rPr>
              <w:t>In all three scenarios, an air quality analysis for GHGs is not required. There are no ambient air quality standards for GHGs to compare the results to.</w:t>
            </w:r>
          </w:p>
          <w:p w:rsidR="00AF5F29" w:rsidRPr="00AF5F29" w:rsidRDefault="00AF5F29" w:rsidP="00AF5F29">
            <w:pPr>
              <w:numPr>
                <w:ilvl w:val="0"/>
                <w:numId w:val="30"/>
              </w:numPr>
              <w:rPr>
                <w:sz w:val="22"/>
                <w:szCs w:val="22"/>
              </w:rPr>
            </w:pPr>
            <w:r w:rsidRPr="00AF5F29">
              <w:rPr>
                <w:sz w:val="22"/>
                <w:szCs w:val="22"/>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AF5F29" w:rsidRDefault="00AF5F29" w:rsidP="00AF5F29">
            <w:pPr>
              <w:rPr>
                <w:sz w:val="22"/>
                <w:szCs w:val="22"/>
              </w:rPr>
            </w:pPr>
          </w:p>
          <w:p w:rsidR="00AF5F29" w:rsidRPr="00AF5F29" w:rsidRDefault="00AF5F29" w:rsidP="00AF5F29">
            <w:pPr>
              <w:rPr>
                <w:sz w:val="22"/>
                <w:szCs w:val="22"/>
              </w:rPr>
            </w:pPr>
            <w:r w:rsidRPr="00AF5F29">
              <w:rPr>
                <w:sz w:val="22"/>
                <w:szCs w:val="22"/>
              </w:rPr>
              <w:t>The real difference above is that sources in Scenario B would not be required to perform a BACT analysis for any of the pollutants. The remainder of this discussion will examine what that means.</w:t>
            </w:r>
          </w:p>
          <w:p w:rsidR="00AF5F29" w:rsidRPr="00AF5F29" w:rsidRDefault="00AF5F29" w:rsidP="00AF5F29">
            <w:pPr>
              <w:rPr>
                <w:sz w:val="22"/>
                <w:szCs w:val="22"/>
              </w:rPr>
            </w:pPr>
          </w:p>
          <w:p w:rsidR="00AF5F29" w:rsidRPr="00AF5F29" w:rsidRDefault="00AF5F29" w:rsidP="00AF5F29">
            <w:pPr>
              <w:rPr>
                <w:sz w:val="22"/>
                <w:szCs w:val="22"/>
                <w:u w:val="single"/>
              </w:rPr>
            </w:pPr>
            <w:r w:rsidRPr="00AF5F29">
              <w:rPr>
                <w:sz w:val="22"/>
                <w:szCs w:val="22"/>
                <w:u w:val="single"/>
              </w:rPr>
              <w:t>Quantity of GHGs regulated</w:t>
            </w:r>
          </w:p>
          <w:p w:rsidR="00AF5F29" w:rsidRPr="00AF5F29" w:rsidRDefault="00AF5F29" w:rsidP="00AF5F29">
            <w:pPr>
              <w:rPr>
                <w:sz w:val="22"/>
                <w:szCs w:val="22"/>
              </w:rPr>
            </w:pPr>
            <w:r w:rsidRPr="00AF5F29">
              <w:rPr>
                <w:sz w:val="22"/>
                <w:szCs w:val="22"/>
              </w:rPr>
              <w:t>In June, 2014, the Supreme Court of the United States issued a ruling in the following case:</w:t>
            </w:r>
          </w:p>
          <w:p w:rsidR="00AF5F29" w:rsidRPr="00AF5F29" w:rsidRDefault="00AF5F29" w:rsidP="00AF5F29">
            <w:pPr>
              <w:rPr>
                <w:sz w:val="22"/>
                <w:szCs w:val="22"/>
              </w:rPr>
            </w:pPr>
            <w:r w:rsidRPr="00AF5F29">
              <w:rPr>
                <w:sz w:val="22"/>
                <w:szCs w:val="22"/>
              </w:rPr>
              <w:t xml:space="preserve">UTILITY AIR REGULATORY GROUP v. ENVIRONMENTAL PROTECTION AGENCY ET AL. </w:t>
            </w:r>
          </w:p>
          <w:p w:rsidR="00AF5F29" w:rsidRPr="00AF5F29" w:rsidRDefault="00AF5F29" w:rsidP="00AF5F29">
            <w:pPr>
              <w:rPr>
                <w:sz w:val="22"/>
                <w:szCs w:val="22"/>
              </w:rPr>
            </w:pPr>
            <w:r w:rsidRPr="00AF5F29">
              <w:rPr>
                <w:sz w:val="22"/>
                <w:szCs w:val="22"/>
              </w:rPr>
              <w:t xml:space="preserve">CERTIORARI TO THE UNITED STATES COURT OF APPEALS FOR THE DISTRICT OF COLUMBIA CIRCUIT </w:t>
            </w:r>
          </w:p>
          <w:p w:rsidR="00AF5F29" w:rsidRPr="00AF5F29" w:rsidRDefault="00AF5F29" w:rsidP="00AF5F29">
            <w:pPr>
              <w:rPr>
                <w:sz w:val="22"/>
                <w:szCs w:val="22"/>
              </w:rPr>
            </w:pPr>
            <w:r w:rsidRPr="00AF5F29">
              <w:rPr>
                <w:sz w:val="22"/>
                <w:szCs w:val="22"/>
              </w:rPr>
              <w:t>No. 12–1146. Argued February 24, 2014—Decided June 23, 2014</w:t>
            </w:r>
          </w:p>
          <w:p w:rsidR="00AF5F29" w:rsidRPr="00AF5F29" w:rsidRDefault="00AF5F29" w:rsidP="00AF5F29">
            <w:pPr>
              <w:rPr>
                <w:sz w:val="22"/>
                <w:szCs w:val="22"/>
              </w:rPr>
            </w:pPr>
            <w:r w:rsidRPr="00AF5F29">
              <w:rPr>
                <w:sz w:val="22"/>
                <w:szCs w:val="22"/>
              </w:rPr>
              <w:t>On pages 9 and 10, the Court’s document cited above states that EPA provided the following testimony during the trial:</w:t>
            </w:r>
          </w:p>
          <w:p w:rsidR="00196B94" w:rsidRPr="00196B94" w:rsidRDefault="00AF5F29" w:rsidP="00AF5F29">
            <w:pPr>
              <w:rPr>
                <w:sz w:val="22"/>
                <w:szCs w:val="22"/>
              </w:rPr>
            </w:pPr>
            <w:r w:rsidRPr="00AF5F29">
              <w:rPr>
                <w:sz w:val="22"/>
                <w:szCs w:val="22"/>
              </w:rPr>
              <w:t xml:space="preserve"> </w:t>
            </w:r>
            <w:r w:rsidR="00196B94" w:rsidRPr="00196B94">
              <w:rPr>
                <w:sz w:val="22"/>
                <w:szCs w:val="22"/>
              </w:rPr>
              <w:t>“…   “anyway” sources account for roughly 83% of American stationary-source greenhouse-gas emissions, compared to just 3% for the additional, non-“anyway” sources EPA sought to regulate ….”</w:t>
            </w:r>
          </w:p>
          <w:p w:rsidR="00196B94" w:rsidRPr="00196B94" w:rsidRDefault="00196B94" w:rsidP="00196B94">
            <w:pPr>
              <w:rPr>
                <w:sz w:val="22"/>
                <w:szCs w:val="22"/>
              </w:rPr>
            </w:pPr>
            <w:r w:rsidRPr="00196B94">
              <w:rPr>
                <w:sz w:val="22"/>
                <w:szCs w:val="22"/>
              </w:rPr>
              <w:t>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serve to indicate that the majority of GHG emissions could still be regulated under PSD regardless of whether Oregon follows the Court’s ruling or not.</w:t>
            </w:r>
          </w:p>
          <w:p w:rsidR="00196B94" w:rsidRPr="00196B94" w:rsidRDefault="00196B94" w:rsidP="00196B94">
            <w:pPr>
              <w:rPr>
                <w:sz w:val="22"/>
                <w:szCs w:val="22"/>
              </w:rPr>
            </w:pPr>
            <w:r w:rsidRPr="00196B94">
              <w:rPr>
                <w:sz w:val="22"/>
                <w:szCs w:val="22"/>
              </w:rPr>
              <w:t>Finally, DEQ wishes to point out that sources become subject to PSD infrequently. The percentages discussed in the preceding paragraph refer to the universe of sources that could, but won’t necessarily, become subject to PSD.</w:t>
            </w:r>
          </w:p>
          <w:p w:rsidR="00196B94" w:rsidRPr="00196B94" w:rsidRDefault="00196B94" w:rsidP="00196B94">
            <w:pPr>
              <w:rPr>
                <w:sz w:val="22"/>
                <w:szCs w:val="22"/>
              </w:rPr>
            </w:pPr>
          </w:p>
          <w:p w:rsidR="0026233B" w:rsidRPr="0026233B" w:rsidRDefault="0026233B" w:rsidP="0026233B">
            <w:pPr>
              <w:rPr>
                <w:sz w:val="22"/>
                <w:szCs w:val="22"/>
                <w:u w:val="single"/>
              </w:rPr>
            </w:pPr>
            <w:r w:rsidRPr="0026233B">
              <w:rPr>
                <w:sz w:val="22"/>
                <w:szCs w:val="22"/>
                <w:u w:val="single"/>
              </w:rPr>
              <w:t>GHG BACT determinations</w:t>
            </w:r>
          </w:p>
          <w:p w:rsidR="0026233B" w:rsidRPr="0026233B" w:rsidRDefault="0026233B" w:rsidP="0026233B">
            <w:pPr>
              <w:rPr>
                <w:sz w:val="22"/>
                <w:szCs w:val="22"/>
              </w:rPr>
            </w:pPr>
            <w:r w:rsidRPr="0026233B">
              <w:rPr>
                <w:sz w:val="22"/>
                <w:szCs w:val="22"/>
              </w:rPr>
              <w:t xml:space="preserve">In simple terms, a BACT analysis is an evaluation process that leads to conclusion. The purpose of a BACT analysis is to evaluate emission control options and to determine which, </w:t>
            </w:r>
            <w:r w:rsidRPr="0026233B">
              <w:rPr>
                <w:b/>
                <w:i/>
                <w:sz w:val="22"/>
                <w:szCs w:val="22"/>
              </w:rPr>
              <w:t>if any</w:t>
            </w:r>
            <w:r w:rsidRPr="0026233B">
              <w:rPr>
                <w:sz w:val="22"/>
                <w:szCs w:val="22"/>
              </w:rPr>
              <w:t xml:space="preserve">, must be used. BACT is often referred to as “top-down” BACT, and a BACT analysis consists of the following 5 step process: </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Step 1 – Identify all available control options</w:t>
            </w:r>
          </w:p>
          <w:p w:rsidR="0026233B" w:rsidRPr="0026233B" w:rsidRDefault="0026233B" w:rsidP="0026233B">
            <w:pPr>
              <w:rPr>
                <w:sz w:val="22"/>
                <w:szCs w:val="22"/>
              </w:rPr>
            </w:pPr>
            <w:r w:rsidRPr="0026233B">
              <w:rPr>
                <w:sz w:val="22"/>
                <w:szCs w:val="22"/>
              </w:rPr>
              <w:t>Step 2 – Eliminate technically infeasible options</w:t>
            </w:r>
          </w:p>
          <w:p w:rsidR="0026233B" w:rsidRPr="0026233B" w:rsidRDefault="0026233B" w:rsidP="0026233B">
            <w:pPr>
              <w:rPr>
                <w:sz w:val="22"/>
                <w:szCs w:val="22"/>
              </w:rPr>
            </w:pPr>
            <w:r w:rsidRPr="0026233B">
              <w:rPr>
                <w:sz w:val="22"/>
                <w:szCs w:val="22"/>
              </w:rPr>
              <w:t>Step 3 – Rank of controls</w:t>
            </w:r>
          </w:p>
          <w:p w:rsidR="0026233B" w:rsidRPr="0026233B" w:rsidRDefault="0026233B" w:rsidP="0026233B">
            <w:pPr>
              <w:rPr>
                <w:sz w:val="22"/>
                <w:szCs w:val="22"/>
              </w:rPr>
            </w:pPr>
            <w:r w:rsidRPr="0026233B">
              <w:rPr>
                <w:sz w:val="22"/>
                <w:szCs w:val="22"/>
              </w:rPr>
              <w:t>Step 4 – Evaluate economic, energy, and environmental impacts</w:t>
            </w:r>
          </w:p>
          <w:p w:rsidR="0026233B" w:rsidRPr="0026233B" w:rsidRDefault="0026233B" w:rsidP="0026233B">
            <w:pPr>
              <w:rPr>
                <w:sz w:val="22"/>
                <w:szCs w:val="22"/>
              </w:rPr>
            </w:pPr>
            <w:r w:rsidRPr="0026233B">
              <w:rPr>
                <w:sz w:val="22"/>
                <w:szCs w:val="22"/>
              </w:rPr>
              <w:t>Step 5 – Select BACT</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In Step 1, all available control options must be identified. The term available is important; in general, the control option has to exist and be commercially available.</w:t>
            </w:r>
          </w:p>
          <w:p w:rsidR="0026233B" w:rsidRPr="0026233B" w:rsidRDefault="0026233B" w:rsidP="0026233B">
            <w:pPr>
              <w:rPr>
                <w:sz w:val="22"/>
                <w:szCs w:val="22"/>
              </w:rPr>
            </w:pPr>
            <w:r w:rsidRPr="0026233B">
              <w:rPr>
                <w:sz w:val="22"/>
                <w:szCs w:val="22"/>
              </w:rPr>
              <w:lastRenderedPageBreak/>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26233B" w:rsidRDefault="0026233B" w:rsidP="0026233B">
            <w:pPr>
              <w:rPr>
                <w:sz w:val="22"/>
                <w:szCs w:val="22"/>
              </w:rPr>
            </w:pPr>
            <w:r w:rsidRPr="0026233B">
              <w:rPr>
                <w:sz w:val="22"/>
                <w:szCs w:val="22"/>
              </w:rPr>
              <w:t>In Step 3, all control options that are considered technically feasible (if any) are ranked by effectiveness, with the most effective ranked first, the next most effective ranked second, and so on to the least effective.</w:t>
            </w:r>
          </w:p>
          <w:p w:rsidR="0026233B" w:rsidRPr="0026233B" w:rsidRDefault="0026233B" w:rsidP="0026233B">
            <w:pPr>
              <w:rPr>
                <w:sz w:val="22"/>
                <w:szCs w:val="22"/>
              </w:rPr>
            </w:pPr>
            <w:r w:rsidRPr="0026233B">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26233B" w:rsidRDefault="0026233B" w:rsidP="0026233B">
            <w:pPr>
              <w:rPr>
                <w:sz w:val="22"/>
                <w:szCs w:val="22"/>
              </w:rPr>
            </w:pPr>
            <w:r w:rsidRPr="0026233B">
              <w:rPr>
                <w:sz w:val="22"/>
                <w:szCs w:val="22"/>
              </w:rPr>
              <w:t>In Step 5, BACT is determined to be the highest-ranking option reviewed in Step 4 that is not rejected because of economic, energy and environmental impacts. If all options are rejected, the BACT determination is no control.</w:t>
            </w:r>
          </w:p>
          <w:p w:rsidR="00196B94" w:rsidRPr="00196B94" w:rsidRDefault="00196B94" w:rsidP="00196B94">
            <w:pPr>
              <w:rPr>
                <w:sz w:val="22"/>
                <w:szCs w:val="22"/>
              </w:rPr>
            </w:pPr>
            <w:commentRangeStart w:id="0"/>
            <w:r w:rsidRPr="00196B94">
              <w:rPr>
                <w:sz w:val="22"/>
                <w:szCs w:val="22"/>
              </w:rPr>
              <w:t>START</w:t>
            </w:r>
            <w:commentRangeEnd w:id="0"/>
            <w:r w:rsidR="00753A48">
              <w:rPr>
                <w:rStyle w:val="CommentReference"/>
              </w:rPr>
              <w:commentReference w:id="0"/>
            </w:r>
          </w:p>
          <w:p w:rsidR="002259D9" w:rsidRPr="002259D9" w:rsidRDefault="002259D9" w:rsidP="002259D9">
            <w:pPr>
              <w:rPr>
                <w:sz w:val="22"/>
                <w:szCs w:val="22"/>
              </w:rPr>
            </w:pPr>
            <w:r w:rsidRPr="002259D9">
              <w:rPr>
                <w:sz w:val="22"/>
                <w:szCs w:val="22"/>
              </w:rPr>
              <w:t>The following</w:t>
            </w:r>
            <w:r w:rsidR="00751084">
              <w:rPr>
                <w:sz w:val="22"/>
                <w:szCs w:val="22"/>
              </w:rPr>
              <w:t xml:space="preserve"> review</w:t>
            </w:r>
            <w:r w:rsidRPr="002259D9">
              <w:rPr>
                <w:sz w:val="22"/>
                <w:szCs w:val="22"/>
              </w:rPr>
              <w:t xml:space="preserve"> is not a BACT analysis, but is </w:t>
            </w:r>
            <w:r w:rsidR="00751084">
              <w:rPr>
                <w:sz w:val="22"/>
                <w:szCs w:val="22"/>
              </w:rPr>
              <w:t>informed by DEQ’s</w:t>
            </w:r>
            <w:r w:rsidRPr="002259D9">
              <w:rPr>
                <w:sz w:val="22"/>
                <w:szCs w:val="22"/>
              </w:rPr>
              <w:t xml:space="preserve"> knowledge of the BACT process </w:t>
            </w:r>
            <w:r>
              <w:rPr>
                <w:sz w:val="22"/>
                <w:szCs w:val="22"/>
              </w:rPr>
              <w:t xml:space="preserve">and the GHG emission control </w:t>
            </w:r>
            <w:r w:rsidR="00751084">
              <w:rPr>
                <w:sz w:val="22"/>
                <w:szCs w:val="22"/>
              </w:rPr>
              <w:t>options that are currently available</w:t>
            </w:r>
            <w:r w:rsidRPr="002259D9">
              <w:rPr>
                <w:sz w:val="22"/>
                <w:szCs w:val="22"/>
              </w:rPr>
              <w:t>. GHG emissions can broadly be divided into two categories: combustion emissions and high global warming potential (GWP) gases.</w:t>
            </w:r>
          </w:p>
          <w:p w:rsidR="002259D9" w:rsidRPr="002259D9" w:rsidRDefault="002259D9" w:rsidP="002259D9">
            <w:pPr>
              <w:rPr>
                <w:sz w:val="22"/>
                <w:szCs w:val="22"/>
              </w:rPr>
            </w:pPr>
            <w:r w:rsidRPr="002259D9">
              <w:rPr>
                <w:sz w:val="22"/>
                <w:szCs w:val="22"/>
              </w:rPr>
              <w:t xml:space="preserve">Combustion </w:t>
            </w:r>
            <w:proofErr w:type="gramStart"/>
            <w:r w:rsidRPr="002259D9">
              <w:rPr>
                <w:sz w:val="22"/>
                <w:szCs w:val="22"/>
              </w:rPr>
              <w:t>emissions refers</w:t>
            </w:r>
            <w:proofErr w:type="gramEnd"/>
            <w:r w:rsidRPr="002259D9">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2259D9" w:rsidRDefault="002259D9" w:rsidP="002259D9">
            <w:pPr>
              <w:rPr>
                <w:sz w:val="22"/>
                <w:szCs w:val="22"/>
              </w:rPr>
            </w:pPr>
            <w:r w:rsidRPr="002259D9">
              <w:rPr>
                <w:sz w:val="22"/>
                <w:szCs w:val="22"/>
              </w:rPr>
              <w:t>High GWP gases are typically fluorine-containing gases, such as hydrofluorocarbons, perfluorocarbons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2259D9" w:rsidRDefault="002259D9" w:rsidP="002259D9">
            <w:pPr>
              <w:rPr>
                <w:sz w:val="22"/>
                <w:szCs w:val="22"/>
              </w:rPr>
            </w:pPr>
            <w:r w:rsidRPr="002259D9">
              <w:rPr>
                <w:sz w:val="22"/>
                <w:szCs w:val="22"/>
              </w:rPr>
              <w:t>According to an EPA website (http://epa.gov/climatechange/ghgemissions/gases/fgases.html) perfluorocarbons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96B94" w:rsidRPr="00196B94" w:rsidRDefault="00196B94" w:rsidP="00196B94">
            <w:pPr>
              <w:rPr>
                <w:sz w:val="22"/>
                <w:szCs w:val="22"/>
              </w:rPr>
            </w:pPr>
          </w:p>
          <w:p w:rsidR="001638AE" w:rsidRPr="00753A48" w:rsidRDefault="001638AE" w:rsidP="001638AE">
            <w:pPr>
              <w:rPr>
                <w:sz w:val="22"/>
                <w:szCs w:val="22"/>
                <w:u w:val="single"/>
              </w:rPr>
            </w:pPr>
            <w:r w:rsidRPr="00753A48">
              <w:rPr>
                <w:sz w:val="22"/>
                <w:szCs w:val="22"/>
                <w:u w:val="single"/>
              </w:rPr>
              <w:t>Combustion GHGs:</w:t>
            </w:r>
          </w:p>
          <w:p w:rsidR="001638AE" w:rsidRPr="001638AE" w:rsidRDefault="001638AE" w:rsidP="001638AE">
            <w:pPr>
              <w:rPr>
                <w:sz w:val="22"/>
                <w:szCs w:val="22"/>
              </w:rPr>
            </w:pPr>
            <w:r w:rsidRPr="001638AE">
              <w:rPr>
                <w:sz w:val="22"/>
                <w:szCs w:val="22"/>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1638AE" w:rsidRDefault="001638AE" w:rsidP="001638AE">
            <w:pPr>
              <w:rPr>
                <w:sz w:val="22"/>
                <w:szCs w:val="22"/>
              </w:rPr>
            </w:pPr>
            <w:r w:rsidRPr="001638AE">
              <w:rPr>
                <w:sz w:val="22"/>
                <w:szCs w:val="22"/>
              </w:rPr>
              <w:t xml:space="preserve">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w:t>
            </w:r>
            <w:r w:rsidRPr="001638AE">
              <w:rPr>
                <w:sz w:val="22"/>
                <w:szCs w:val="22"/>
              </w:rPr>
              <w:lastRenderedPageBreak/>
              <w:t>factors, such as economics, that</w:t>
            </w:r>
            <w:r w:rsidR="00B27A0C">
              <w:rPr>
                <w:sz w:val="22"/>
                <w:szCs w:val="22"/>
              </w:rPr>
              <w:t xml:space="preserve"> also</w:t>
            </w:r>
            <w:r w:rsidRPr="001638AE">
              <w:rPr>
                <w:sz w:val="22"/>
                <w:szCs w:val="22"/>
              </w:rPr>
              <w:t xml:space="preserve"> point to using energy-efficient equipment. For many industries, energy represents a </w:t>
            </w:r>
            <w:r w:rsidR="00050480">
              <w:rPr>
                <w:sz w:val="22"/>
                <w:szCs w:val="22"/>
              </w:rPr>
              <w:t>major on-going operating cost</w:t>
            </w:r>
            <w:r w:rsidRPr="001638AE">
              <w:rPr>
                <w:sz w:val="22"/>
                <w:szCs w:val="22"/>
              </w:rPr>
              <w:t xml:space="preserve"> </w:t>
            </w:r>
            <w:r w:rsidR="00050480">
              <w:rPr>
                <w:sz w:val="22"/>
                <w:szCs w:val="22"/>
              </w:rPr>
              <w:t>and a</w:t>
            </w:r>
            <w:r w:rsidRPr="001638AE">
              <w:rPr>
                <w:sz w:val="22"/>
                <w:szCs w:val="22"/>
              </w:rPr>
              <w:t>ny new non-“anyway” sources that would not be subject to PSD if Oregon follows the Court’s ruling would likely install energy-efficient equipment anyway.</w:t>
            </w:r>
          </w:p>
          <w:p w:rsidR="001638AE" w:rsidRPr="001638AE" w:rsidRDefault="001638AE" w:rsidP="001638AE">
            <w:pPr>
              <w:rPr>
                <w:sz w:val="22"/>
                <w:szCs w:val="22"/>
              </w:rPr>
            </w:pPr>
            <w:r w:rsidRPr="001638AE">
              <w:rPr>
                <w:sz w:val="22"/>
                <w:szCs w:val="22"/>
              </w:rPr>
              <w:t>In summary, there are limited BACT options to reduce combustion GHG emissions, and there are business factors that will tend to achieve the same end.</w:t>
            </w:r>
          </w:p>
          <w:p w:rsidR="00196B94" w:rsidRPr="00196B94" w:rsidRDefault="00196B94" w:rsidP="00196B94">
            <w:pPr>
              <w:rPr>
                <w:sz w:val="22"/>
                <w:szCs w:val="22"/>
              </w:rPr>
            </w:pPr>
          </w:p>
          <w:p w:rsidR="00E1044E" w:rsidRPr="00753A48" w:rsidRDefault="00E1044E" w:rsidP="00E1044E">
            <w:pPr>
              <w:rPr>
                <w:sz w:val="22"/>
                <w:szCs w:val="22"/>
                <w:u w:val="single"/>
              </w:rPr>
            </w:pPr>
            <w:r w:rsidRPr="00753A48">
              <w:rPr>
                <w:sz w:val="22"/>
                <w:szCs w:val="22"/>
                <w:u w:val="single"/>
              </w:rPr>
              <w:t>Non-combustion GHGs:</w:t>
            </w:r>
          </w:p>
          <w:p w:rsidR="00E1044E" w:rsidRDefault="00E1044E" w:rsidP="00E1044E">
            <w:pPr>
              <w:rPr>
                <w:sz w:val="22"/>
                <w:szCs w:val="22"/>
              </w:rPr>
            </w:pPr>
            <w:r>
              <w:rPr>
                <w:sz w:val="22"/>
                <w:szCs w:val="22"/>
              </w:rPr>
              <w:t>With respect to high GWP gases, the industry of greatest interest in Oregon is the semiconductor industry. Companies in this industry worked together and with EPA to reduce GHG emissions (this is also discussed in response 6.18 below). 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are cost-effective;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Default="00E1044E" w:rsidP="00E1044E">
            <w:pPr>
              <w:rPr>
                <w:sz w:val="22"/>
                <w:szCs w:val="22"/>
              </w:rPr>
            </w:pPr>
            <w:r>
              <w:rPr>
                <w:sz w:val="22"/>
                <w:szCs w:val="22"/>
              </w:rPr>
              <w:t xml:space="preserve">In summary, for the semiconductor industry, a </w:t>
            </w:r>
            <w:r w:rsidR="00512570">
              <w:rPr>
                <w:sz w:val="22"/>
                <w:szCs w:val="22"/>
              </w:rPr>
              <w:t xml:space="preserve">GHG </w:t>
            </w:r>
            <w:r>
              <w:rPr>
                <w:sz w:val="22"/>
                <w:szCs w:val="22"/>
              </w:rPr>
              <w:t xml:space="preserve">BACT analysis would likely result in no change from current </w:t>
            </w:r>
            <w:r w:rsidR="00512570">
              <w:rPr>
                <w:sz w:val="22"/>
                <w:szCs w:val="22"/>
              </w:rPr>
              <w:t xml:space="preserve">GHG emission control </w:t>
            </w:r>
            <w:r>
              <w:rPr>
                <w:sz w:val="22"/>
                <w:szCs w:val="22"/>
              </w:rPr>
              <w:t>practices.</w:t>
            </w:r>
          </w:p>
          <w:p w:rsidR="00196B94" w:rsidRPr="00196B94" w:rsidRDefault="00196B94" w:rsidP="00196B94">
            <w:pPr>
              <w:rPr>
                <w:sz w:val="22"/>
                <w:szCs w:val="22"/>
              </w:rPr>
            </w:pPr>
          </w:p>
          <w:p w:rsidR="00386BFA" w:rsidRPr="006E46B8" w:rsidRDefault="00386BFA" w:rsidP="00386BFA">
            <w:pPr>
              <w:rPr>
                <w:sz w:val="22"/>
                <w:szCs w:val="22"/>
                <w:u w:val="single"/>
              </w:rPr>
            </w:pPr>
            <w:r w:rsidRPr="006E46B8">
              <w:rPr>
                <w:sz w:val="22"/>
                <w:szCs w:val="22"/>
                <w:u w:val="single"/>
              </w:rPr>
              <w:t>Non-GHG BACT determinations</w:t>
            </w:r>
          </w:p>
          <w:p w:rsidR="00386BFA" w:rsidRDefault="00386BFA" w:rsidP="00386BFA">
            <w:pPr>
              <w:rPr>
                <w:sz w:val="22"/>
                <w:szCs w:val="22"/>
              </w:rPr>
            </w:pPr>
            <w:r>
              <w:rPr>
                <w:sz w:val="22"/>
                <w:szCs w:val="22"/>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Default="00386BFA" w:rsidP="00386BFA">
            <w:pPr>
              <w:rPr>
                <w:sz w:val="22"/>
                <w:szCs w:val="22"/>
              </w:rPr>
            </w:pPr>
          </w:p>
          <w:p w:rsidR="00386BFA" w:rsidRDefault="00386BFA" w:rsidP="00386BFA">
            <w:pPr>
              <w:rPr>
                <w:sz w:val="22"/>
                <w:szCs w:val="22"/>
              </w:rPr>
            </w:pPr>
            <w:r>
              <w:rPr>
                <w:sz w:val="22"/>
                <w:szCs w:val="22"/>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w:t>
            </w:r>
            <w:r w:rsidRPr="00841FD6">
              <w:rPr>
                <w:sz w:val="22"/>
                <w:szCs w:val="22"/>
              </w:rPr>
              <w:t xml:space="preserve">Since </w:t>
            </w:r>
            <w:r w:rsidR="00663DED">
              <w:rPr>
                <w:sz w:val="22"/>
                <w:szCs w:val="22"/>
              </w:rPr>
              <w:t>then,</w:t>
            </w:r>
            <w:r w:rsidRPr="00841FD6">
              <w:rPr>
                <w:sz w:val="22"/>
                <w:szCs w:val="22"/>
              </w:rPr>
              <w:t xml:space="preserve"> </w:t>
            </w:r>
            <w:r w:rsidR="00663DED">
              <w:rPr>
                <w:sz w:val="22"/>
                <w:szCs w:val="22"/>
              </w:rPr>
              <w:t>six</w:t>
            </w:r>
            <w:r w:rsidRPr="00841FD6">
              <w:rPr>
                <w:sz w:val="22"/>
                <w:szCs w:val="22"/>
              </w:rPr>
              <w:t xml:space="preserve"> sour</w:t>
            </w:r>
            <w:r w:rsidR="00663DED">
              <w:rPr>
                <w:sz w:val="22"/>
                <w:szCs w:val="22"/>
              </w:rPr>
              <w:t>ces have triggered PSD for GHGs; of these,</w:t>
            </w:r>
            <w:r>
              <w:rPr>
                <w:sz w:val="22"/>
                <w:szCs w:val="22"/>
              </w:rPr>
              <w:t xml:space="preserve"> </w:t>
            </w:r>
            <w:r w:rsidR="00663DED">
              <w:rPr>
                <w:sz w:val="22"/>
                <w:szCs w:val="22"/>
              </w:rPr>
              <w:t>four</w:t>
            </w:r>
            <w:r w:rsidRPr="00841FD6">
              <w:rPr>
                <w:sz w:val="22"/>
                <w:szCs w:val="22"/>
              </w:rPr>
              <w:t xml:space="preserve"> were </w:t>
            </w:r>
            <w:r w:rsidR="00663DED">
              <w:rPr>
                <w:sz w:val="22"/>
                <w:szCs w:val="22"/>
              </w:rPr>
              <w:t>“</w:t>
            </w:r>
            <w:r w:rsidRPr="00841FD6">
              <w:rPr>
                <w:sz w:val="22"/>
                <w:szCs w:val="22"/>
              </w:rPr>
              <w:t>anyway</w:t>
            </w:r>
            <w:r w:rsidR="00663DED">
              <w:rPr>
                <w:sz w:val="22"/>
                <w:szCs w:val="22"/>
              </w:rPr>
              <w:t>”</w:t>
            </w:r>
            <w:r w:rsidRPr="00841FD6">
              <w:rPr>
                <w:sz w:val="22"/>
                <w:szCs w:val="22"/>
              </w:rPr>
              <w:t xml:space="preserve"> source</w:t>
            </w:r>
            <w:r w:rsidR="00663DED">
              <w:rPr>
                <w:sz w:val="22"/>
                <w:szCs w:val="22"/>
              </w:rPr>
              <w:t>s and two were non-“anyway” sources.</w:t>
            </w:r>
          </w:p>
          <w:p w:rsidR="00386BFA" w:rsidRDefault="00386BFA" w:rsidP="00386BFA">
            <w:pPr>
              <w:rPr>
                <w:sz w:val="22"/>
                <w:szCs w:val="22"/>
              </w:rPr>
            </w:pPr>
            <w:r>
              <w:rPr>
                <w:sz w:val="22"/>
                <w:szCs w:val="22"/>
              </w:rPr>
              <w:t>Second, an air quality analysis</w:t>
            </w:r>
            <w:r>
              <w:rPr>
                <w:rStyle w:val="FootnoteReference"/>
                <w:sz w:val="22"/>
                <w:szCs w:val="22"/>
              </w:rPr>
              <w:footnoteReference w:id="1"/>
            </w:r>
            <w:r>
              <w:rPr>
                <w:sz w:val="22"/>
                <w:szCs w:val="22"/>
              </w:rPr>
              <w:t xml:space="preserve"> is required for all emission increases of a Significant Emission Rate</w:t>
            </w:r>
            <w:r>
              <w:rPr>
                <w:rStyle w:val="FootnoteReference"/>
                <w:sz w:val="22"/>
                <w:szCs w:val="22"/>
              </w:rPr>
              <w:footnoteReference w:id="2"/>
            </w:r>
            <w:r>
              <w:rPr>
                <w:sz w:val="22"/>
                <w:szCs w:val="22"/>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w:t>
            </w:r>
            <w:r>
              <w:rPr>
                <w:sz w:val="22"/>
                <w:szCs w:val="22"/>
              </w:rPr>
              <w:lastRenderedPageBreak/>
              <w:t>If a source’s impacts are over the allowed levels, then the source could install emission control equipment to reduce the air quality impact.</w:t>
            </w:r>
          </w:p>
          <w:p w:rsidR="00386BFA" w:rsidRDefault="00386BFA" w:rsidP="00386BFA">
            <w:pPr>
              <w:rPr>
                <w:sz w:val="22"/>
                <w:szCs w:val="22"/>
              </w:rPr>
            </w:pPr>
            <w:r>
              <w:rPr>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Default="00386BFA" w:rsidP="00386BFA">
            <w:pPr>
              <w:rPr>
                <w:sz w:val="22"/>
                <w:szCs w:val="22"/>
              </w:rPr>
            </w:pPr>
            <w:r>
              <w:rPr>
                <w:sz w:val="22"/>
                <w:szCs w:val="22"/>
              </w:rPr>
              <w:t xml:space="preserve">In </w:t>
            </w:r>
            <w:proofErr w:type="gramStart"/>
            <w:r>
              <w:rPr>
                <w:sz w:val="22"/>
                <w:szCs w:val="22"/>
              </w:rPr>
              <w:t>summary,</w:t>
            </w:r>
            <w:proofErr w:type="gramEnd"/>
            <w:r>
              <w:rPr>
                <w:sz w:val="22"/>
                <w:szCs w:val="22"/>
              </w:rPr>
              <w:t xml:space="preserve">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196B94" w:rsidRPr="00196B94" w:rsidRDefault="00196B94" w:rsidP="00196B94">
            <w:pPr>
              <w:rPr>
                <w:sz w:val="22"/>
                <w:szCs w:val="22"/>
              </w:rPr>
            </w:pPr>
          </w:p>
          <w:p w:rsidR="00A0337D" w:rsidRPr="00A0337D" w:rsidRDefault="00A0337D" w:rsidP="00A0337D">
            <w:pPr>
              <w:rPr>
                <w:sz w:val="22"/>
                <w:szCs w:val="22"/>
                <w:u w:val="single"/>
              </w:rPr>
            </w:pPr>
            <w:r w:rsidRPr="00A0337D">
              <w:rPr>
                <w:sz w:val="22"/>
                <w:szCs w:val="22"/>
                <w:u w:val="single"/>
              </w:rPr>
              <w:t>Conclusion</w:t>
            </w:r>
          </w:p>
          <w:p w:rsidR="00A0337D" w:rsidRPr="00A0337D" w:rsidRDefault="00A0337D" w:rsidP="00A0337D">
            <w:pPr>
              <w:rPr>
                <w:sz w:val="22"/>
                <w:szCs w:val="22"/>
              </w:rPr>
            </w:pPr>
            <w:r w:rsidRPr="00A0337D">
              <w:rPr>
                <w:sz w:val="22"/>
                <w:szCs w:val="22"/>
              </w:rPr>
              <w:t>Based on t</w:t>
            </w:r>
            <w:r w:rsidR="00985DC0">
              <w:rPr>
                <w:sz w:val="22"/>
                <w:szCs w:val="22"/>
              </w:rPr>
              <w:t>he discussion above, DEQ conclude</w:t>
            </w:r>
            <w:r w:rsidRPr="00A0337D">
              <w:rPr>
                <w:sz w:val="22"/>
                <w:szCs w:val="22"/>
              </w:rPr>
              <w:t>s there is little environmental benefit to be gained by making non-“anyway” sources subject to PSD for GHGs. DEQ therefore recommends that the EQC adopt the proposed rule amendments in Attachment A as part of chapter 340 of the Oregon Administrative Rules to be effective upon filing with the Secretary of State.</w:t>
            </w:r>
          </w:p>
          <w:p w:rsidR="00196B94" w:rsidRPr="00196B94" w:rsidRDefault="00196B94" w:rsidP="00196B94">
            <w:pPr>
              <w:rPr>
                <w:sz w:val="22"/>
                <w:szCs w:val="22"/>
              </w:rPr>
            </w:pPr>
          </w:p>
        </w:tc>
      </w:tr>
      <w:tr w:rsidR="000854A4" w:rsidRPr="00EB3D0B" w:rsidTr="000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854A4" w:rsidRPr="00EB3D0B" w:rsidRDefault="000854A4" w:rsidP="000854A4">
            <w:pPr>
              <w:ind w:right="-115"/>
              <w:rPr>
                <w:bCs/>
              </w:rPr>
            </w:pPr>
            <w:r>
              <w:rPr>
                <w:bCs/>
              </w:rPr>
              <w:lastRenderedPageBreak/>
              <w:t>0.2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0854A4" w:rsidRDefault="000854A4" w:rsidP="000854A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0854A4" w:rsidRDefault="000854A4" w:rsidP="000854A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0854A4" w:rsidRDefault="000854A4" w:rsidP="000854A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0854A4" w:rsidRPr="00E115BB" w:rsidRDefault="000854A4" w:rsidP="000854A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0854A4" w:rsidRPr="00E115BB" w:rsidRDefault="000854A4" w:rsidP="000854A4">
            <w:pPr>
              <w:spacing w:before="240" w:after="120"/>
              <w:rPr>
                <w:i/>
              </w:rPr>
            </w:pPr>
            <w:r>
              <w:rPr>
                <w:rFonts w:ascii="Arial" w:hAnsi="Arial"/>
                <w:sz w:val="22"/>
              </w:rPr>
              <w:t>Response:</w:t>
            </w:r>
            <w:r w:rsidRPr="00E115BB">
              <w:rPr>
                <w:i/>
              </w:rPr>
              <w:t xml:space="preserve"> </w:t>
            </w:r>
          </w:p>
          <w:p w:rsidR="000854A4" w:rsidRPr="00E115BB" w:rsidRDefault="000854A4" w:rsidP="000854A4">
            <w:pPr>
              <w:spacing w:after="120"/>
              <w:rPr>
                <w:i/>
              </w:rPr>
            </w:pPr>
            <w:r w:rsidRPr="00E115BB">
              <w:rPr>
                <w:i/>
              </w:rPr>
              <w:t>In Utility Air Regulatory Group vs. EPA, the Supreme Court came to the following conclusions in regard to permitting greenhouse gas emissions:</w:t>
            </w:r>
          </w:p>
          <w:p w:rsidR="000854A4" w:rsidRPr="00E115BB" w:rsidRDefault="000854A4" w:rsidP="000854A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0854A4" w:rsidRPr="00E115BB" w:rsidRDefault="000854A4" w:rsidP="000854A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0854A4" w:rsidRPr="00E115BB" w:rsidRDefault="000854A4" w:rsidP="000854A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0854A4" w:rsidRPr="00E115BB" w:rsidRDefault="000854A4" w:rsidP="000854A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xml:space="preserve"> for conventional air pollutants to </w:t>
            </w:r>
            <w:r w:rsidRPr="00E115BB">
              <w:rPr>
                <w:i/>
              </w:rPr>
              <w:lastRenderedPageBreak/>
              <w:t>comply with “best available control technology” standards for greenhouse gases.</w:t>
            </w:r>
          </w:p>
          <w:p w:rsidR="000854A4" w:rsidRPr="00E115BB" w:rsidRDefault="000854A4" w:rsidP="000854A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0854A4" w:rsidRPr="00E115BB" w:rsidRDefault="000854A4" w:rsidP="000854A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0854A4" w:rsidRPr="00E115BB" w:rsidRDefault="000854A4" w:rsidP="000854A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0854A4" w:rsidRPr="00E115BB" w:rsidTr="000854A4">
              <w:trPr>
                <w:tblHeader/>
                <w:jc w:val="center"/>
              </w:trPr>
              <w:tc>
                <w:tcPr>
                  <w:tcW w:w="202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0854A4" w:rsidRPr="00E115BB" w:rsidRDefault="000854A4" w:rsidP="000854A4">
            <w:pPr>
              <w:spacing w:after="120" w:line="276" w:lineRule="auto"/>
              <w:ind w:left="1482"/>
              <w:contextualSpacing/>
              <w:rPr>
                <w:i/>
              </w:rPr>
            </w:pPr>
          </w:p>
          <w:p w:rsidR="000854A4" w:rsidRPr="00E115BB" w:rsidRDefault="000854A4" w:rsidP="000854A4">
            <w:pPr>
              <w:spacing w:after="120"/>
              <w:rPr>
                <w:i/>
              </w:rPr>
            </w:pPr>
            <w:r w:rsidRPr="00E115BB">
              <w:rPr>
                <w:i/>
              </w:rPr>
              <w:t xml:space="preserve">DEQ has decided to </w:t>
            </w:r>
            <w:r>
              <w:rPr>
                <w:i/>
              </w:rPr>
              <w:t>propose</w:t>
            </w:r>
            <w:r w:rsidRPr="00E115BB">
              <w:rPr>
                <w:i/>
              </w:rPr>
              <w:t xml:space="preserve"> rules to align with the Supreme Court decision for the following reasons: </w:t>
            </w:r>
          </w:p>
          <w:p w:rsidR="000854A4" w:rsidRPr="00A92526" w:rsidRDefault="000854A4" w:rsidP="000854A4">
            <w:pPr>
              <w:spacing w:after="120"/>
              <w:rPr>
                <w:i/>
                <w:u w:val="single"/>
              </w:rPr>
            </w:pPr>
            <w:r w:rsidRPr="00A92526">
              <w:rPr>
                <w:i/>
                <w:u w:val="single"/>
              </w:rPr>
              <w:t>Title V permits will not reduce emissions:</w:t>
            </w:r>
          </w:p>
          <w:p w:rsidR="000854A4" w:rsidRPr="00E115BB" w:rsidRDefault="000854A4" w:rsidP="000854A4">
            <w:pPr>
              <w:spacing w:after="120"/>
              <w:rPr>
                <w:i/>
              </w:rPr>
            </w:pPr>
            <w:r w:rsidRPr="00E115BB">
              <w:rPr>
                <w:i/>
              </w:rPr>
              <w:t xml:space="preserve">In 1990, Congress established an innovative program under Title V of the Clean Air Act Amendments. The operating permit program streamlines the way federal, state, tribal, and local </w:t>
            </w:r>
            <w:r w:rsidRPr="00E115BB">
              <w:rPr>
                <w:i/>
              </w:rPr>
              <w:lastRenderedPageBreak/>
              <w:t xml:space="preserve">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0854A4" w:rsidRPr="00A92526" w:rsidRDefault="000854A4" w:rsidP="000854A4">
            <w:pPr>
              <w:spacing w:after="120"/>
              <w:rPr>
                <w:i/>
                <w:u w:val="single"/>
              </w:rPr>
            </w:pPr>
            <w:r w:rsidRPr="00A92526">
              <w:rPr>
                <w:i/>
                <w:u w:val="single"/>
              </w:rPr>
              <w:t>Only one of the above sources has triggered, and is therefore currently subject to, Prevention of Deterioration for Greenhouse Gases:</w:t>
            </w:r>
          </w:p>
          <w:p w:rsidR="000854A4" w:rsidRPr="00E115BB" w:rsidRDefault="000854A4" w:rsidP="000854A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0854A4" w:rsidRDefault="000854A4" w:rsidP="000854A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Pr>
                <w:i/>
              </w:rPr>
              <w:t xml:space="preserve"> (PFCs)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w:t>
            </w:r>
            <w:r>
              <w:rPr>
                <w:i/>
              </w:rPr>
              <w:t>FC</w:t>
            </w:r>
            <w:r w:rsidRPr="009F217E">
              <w:rPr>
                <w:i/>
              </w:rPr>
              <w:t>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0854A4" w:rsidRDefault="000854A4" w:rsidP="000854A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0854A4" w:rsidRDefault="000854A4" w:rsidP="000854A4">
            <w:pPr>
              <w:spacing w:after="120"/>
              <w:rPr>
                <w:i/>
              </w:rPr>
            </w:pPr>
            <w:r w:rsidRPr="00E115BB">
              <w:rPr>
                <w:i/>
              </w:rPr>
              <w:t xml:space="preserve">DEQ </w:t>
            </w:r>
            <w:r>
              <w:rPr>
                <w:i/>
              </w:rPr>
              <w:t xml:space="preserve">has concluded </w:t>
            </w:r>
            <w:r w:rsidRPr="00E115BB">
              <w:rPr>
                <w:i/>
              </w:rPr>
              <w:t xml:space="preserve">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0854A4" w:rsidRPr="00E115BB" w:rsidRDefault="000854A4" w:rsidP="000854A4">
            <w:pPr>
              <w:spacing w:after="120"/>
              <w:rPr>
                <w:i/>
              </w:rPr>
            </w:pPr>
            <w:r>
              <w:rPr>
                <w:i/>
              </w:rPr>
              <w:lastRenderedPageBreak/>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0854A4" w:rsidRDefault="000854A4" w:rsidP="000854A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0854A4" w:rsidRPr="00E115BB" w:rsidRDefault="000854A4" w:rsidP="000854A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1" w:name="_GoBack"/>
            <w:bookmarkEnd w:id="1"/>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r w:rsidR="00B478FC">
              <w:rPr>
                <w:i/>
              </w:rPr>
              <w:t xml:space="preserve"> definitions</w:t>
            </w:r>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sidR="00817F8A">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17F8A" w:rsidRDefault="008223F9" w:rsidP="00817F8A">
            <w:pPr>
              <w:spacing w:after="120"/>
              <w:rPr>
                <w:ins w:id="2" w:author="jinahar" w:date="2015-01-14T17:15:00Z"/>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ins w:id="3" w:author="jinahar" w:date="2015-01-14T17:15:00Z">
              <w:r w:rsidR="00817F8A" w:rsidRPr="00817F8A">
                <w:rPr>
                  <w:i/>
                </w:rPr>
                <w:t xml:space="preserve"> When DEQ revised the nuisance control rules, OAR 340-208-0300 and 340-208-0450 in 2001, a request was received to repeal the 250 micron rule altogether.  DEQ’s response was:</w:t>
              </w:r>
            </w:ins>
          </w:p>
          <w:p w:rsidR="00817F8A" w:rsidRPr="00817F8A" w:rsidRDefault="00817F8A" w:rsidP="00817F8A">
            <w:pPr>
              <w:spacing w:after="120"/>
              <w:ind w:left="720"/>
              <w:rPr>
                <w:ins w:id="4" w:author="jinahar" w:date="2015-01-14T17:15:00Z"/>
                <w:i/>
              </w:rPr>
            </w:pPr>
            <w:ins w:id="5" w:author="jinahar" w:date="2015-01-14T17:15:00Z">
              <w:r w:rsidRPr="00817F8A">
                <w:rPr>
                  <w:i/>
                </w:rPr>
                <w:t xml:space="preserve">“This rule has been enforced in the populous counties of the Willamette Valley since the </w:t>
              </w:r>
              <w:proofErr w:type="spellStart"/>
              <w:r w:rsidRPr="00817F8A">
                <w:rPr>
                  <w:i/>
                </w:rPr>
                <w:t>lae</w:t>
              </w:r>
              <w:proofErr w:type="spellEnd"/>
              <w:r w:rsidRPr="00817F8A">
                <w:rPr>
                  <w:i/>
                </w:rPr>
                <w:t xml:space="preserve"> 1960s, and permitted </w:t>
              </w:r>
              <w:proofErr w:type="spellStart"/>
              <w:r w:rsidRPr="00817F8A">
                <w:rPr>
                  <w:i/>
                </w:rPr>
                <w:t>soruces</w:t>
              </w:r>
              <w:proofErr w:type="spellEnd"/>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proofErr w:type="spellStart"/>
              <w:r w:rsidRPr="00817F8A">
                <w:rPr>
                  <w:i/>
                </w:rPr>
                <w:t>praicles</w:t>
              </w:r>
              <w:proofErr w:type="spellEnd"/>
              <w:r w:rsidRPr="00817F8A">
                <w:rPr>
                  <w:i/>
                </w:rPr>
                <w:t xml:space="preserve"> greater than 250 microns at the property line indicates a </w:t>
              </w:r>
              <w:proofErr w:type="spellStart"/>
              <w:r w:rsidRPr="00817F8A">
                <w:rPr>
                  <w:i/>
                </w:rPr>
                <w:t>filure</w:t>
              </w:r>
              <w:proofErr w:type="spellEnd"/>
              <w:r w:rsidRPr="00817F8A">
                <w:rPr>
                  <w:i/>
                </w:rPr>
                <w:t xml:space="preserve"> of equipment or processes to adequately manage their discharge. Materials that commonly trigger this standard include sawdust and paint overspray.</w:t>
              </w:r>
            </w:ins>
          </w:p>
          <w:p w:rsidR="00817F8A" w:rsidRPr="00817F8A" w:rsidRDefault="00817F8A" w:rsidP="00817F8A">
            <w:pPr>
              <w:spacing w:after="120"/>
              <w:ind w:left="720"/>
              <w:rPr>
                <w:ins w:id="6" w:author="jinahar" w:date="2015-01-14T17:15:00Z"/>
                <w:i/>
              </w:rPr>
            </w:pPr>
            <w:ins w:id="7" w:author="jinahar" w:date="2015-01-14T17:15:00Z">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proofErr w:type="spellStart"/>
              <w:r w:rsidRPr="00817F8A">
                <w:rPr>
                  <w:i/>
                </w:rPr>
                <w:t>incorpiorate</w:t>
              </w:r>
              <w:proofErr w:type="spellEnd"/>
              <w:r w:rsidRPr="00817F8A">
                <w:rPr>
                  <w:i/>
                </w:rPr>
                <w:t xml:space="preserve"> enforcement </w:t>
              </w:r>
              <w:proofErr w:type="spellStart"/>
              <w:r w:rsidRPr="00817F8A">
                <w:rPr>
                  <w:i/>
                </w:rPr>
                <w:t>judgement</w:t>
              </w:r>
              <w:proofErr w:type="spellEnd"/>
              <w:r w:rsidRPr="00817F8A">
                <w:rPr>
                  <w:i/>
                </w:rPr>
                <w:t xml:space="preserve"> by staff as the standard for a violation.”</w:t>
              </w:r>
            </w:ins>
          </w:p>
          <w:p w:rsidR="00817F8A" w:rsidRPr="00817F8A" w:rsidRDefault="00817F8A" w:rsidP="00817F8A">
            <w:pPr>
              <w:spacing w:after="120"/>
              <w:rPr>
                <w:ins w:id="8" w:author="jinahar" w:date="2015-01-14T17:15:00Z"/>
                <w:i/>
              </w:rPr>
            </w:pPr>
            <w:ins w:id="9" w:author="jinahar" w:date="2015-01-14T17:15:00Z">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w:t>
              </w:r>
              <w:commentRangeStart w:id="10"/>
              <w:r w:rsidRPr="00817F8A">
                <w:rPr>
                  <w:i/>
                </w:rPr>
                <w:t xml:space="preserve">Without that phrase, the rule could be interpreted to mean a single woodchip would be considered deposition since it is observable, which is not the intent of the rule. </w:t>
              </w:r>
            </w:ins>
            <w:commentRangeEnd w:id="10"/>
            <w:ins w:id="11" w:author="jinahar" w:date="2015-01-14T17:16:00Z">
              <w:r>
                <w:rPr>
                  <w:rStyle w:val="CommentReference"/>
                </w:rPr>
                <w:commentReference w:id="10"/>
              </w:r>
            </w:ins>
            <w:ins w:id="12" w:author="jinahar" w:date="2015-01-14T17:15:00Z">
              <w:r w:rsidRPr="00817F8A">
                <w:rPr>
                  <w:i/>
                </w:rPr>
                <w:t xml:space="preserve">DEQ would take into consideration both duration and quantity when determining whether to take enforcement action.    </w:t>
              </w:r>
            </w:ins>
          </w:p>
          <w:p w:rsidR="00DC4311" w:rsidRDefault="00817F8A" w:rsidP="00817F8A">
            <w:pPr>
              <w:spacing w:after="120"/>
              <w:rPr>
                <w:i/>
              </w:rPr>
            </w:pPr>
            <w:ins w:id="13" w:author="jinahar" w:date="2015-01-14T17:15:00Z">
              <w:r w:rsidRPr="00817F8A">
                <w:rPr>
                  <w:i/>
                </w:rPr>
                <w:t xml:space="preserve">DEQ </w:t>
              </w:r>
              <w:r w:rsidRPr="00817F8A">
                <w:rPr>
                  <w:bCs/>
                  <w:i/>
                </w:rPr>
                <w:t>agrees with some of the commenters and changed the proposed rules in response to this comment.</w:t>
              </w:r>
            </w:ins>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lastRenderedPageBreak/>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 xml:space="preserve">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w:t>
            </w:r>
            <w:r w:rsidRPr="009B7E64">
              <w:rPr>
                <w:rFonts w:eastAsia="MS Mincho"/>
                <w:i/>
              </w:rPr>
              <w:lastRenderedPageBreak/>
              <w:t>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w:t>
            </w:r>
            <w:r w:rsidRPr="00E059F6">
              <w:rPr>
                <w:i/>
              </w:rPr>
              <w:lastRenderedPageBreak/>
              <w:t>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lastRenderedPageBreak/>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r w:rsidR="0023068A">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lastRenderedPageBreak/>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w:t>
            </w:r>
            <w:r w:rsidRPr="00EB3D0B">
              <w:rPr>
                <w:i/>
              </w:rPr>
              <w:lastRenderedPageBreak/>
              <w:t xml:space="preserve">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817F8A" w:rsidRPr="00817F8A" w:rsidRDefault="00817F8A" w:rsidP="00817F8A">
            <w:pPr>
              <w:autoSpaceDE w:val="0"/>
              <w:autoSpaceDN w:val="0"/>
              <w:adjustRightInd w:val="0"/>
              <w:spacing w:after="120"/>
              <w:ind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1C742D" w:rsidRDefault="00817F8A" w:rsidP="00817F8A">
            <w:pPr>
              <w:autoSpaceDE w:val="0"/>
              <w:autoSpaceDN w:val="0"/>
              <w:adjustRightInd w:val="0"/>
              <w:spacing w:after="120"/>
              <w:ind w:left="720" w:right="487"/>
              <w:rPr>
                <w:i/>
              </w:rPr>
            </w:pPr>
            <w:r w:rsidRPr="00817F8A">
              <w:rPr>
                <w:i/>
              </w:rPr>
              <w:t xml:space="preserve"> </w:t>
            </w:r>
            <w:r w:rsidR="001E02D5"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lastRenderedPageBreak/>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lastRenderedPageBreak/>
              <w:t>rules have been added for the new sustainment and reattainment areas; and</w:t>
            </w:r>
          </w:p>
          <w:p w:rsidR="008D1050" w:rsidRPr="008D1050" w:rsidRDefault="008D1050" w:rsidP="008D1050">
            <w:pPr>
              <w:numPr>
                <w:ilvl w:val="0"/>
                <w:numId w:val="19"/>
              </w:numPr>
              <w:spacing w:after="120"/>
              <w:rPr>
                <w:rFonts w:cs="Arial"/>
                <w:i/>
              </w:rPr>
            </w:pPr>
            <w:r w:rsidRPr="008D1050">
              <w:rPr>
                <w:rFonts w:cs="Arial"/>
                <w:i/>
              </w:rPr>
              <w:t>offset and net air quality benefit requirements have been revised and in some cases are 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major modification triggers Type A State New Source Review (formerly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rFonts w:cs="Arial"/>
                <w:i/>
              </w:rPr>
            </w:pPr>
            <w:r>
              <w:rPr>
                <w:rFonts w:cs="Arial"/>
                <w:i/>
              </w:rPr>
              <w:t>DEQ has clarified the requirements with respect to greenhouse gases in OAR 340-222-0041 as well as OAR 340-224-0010.</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w:t>
            </w:r>
            <w:r w:rsidRPr="00BD6A1F">
              <w:rPr>
                <w:i/>
              </w:rPr>
              <w:lastRenderedPageBreak/>
              <w:t xml:space="preserve">applicant must: </w:t>
            </w:r>
          </w:p>
          <w:p w:rsidR="00264B10" w:rsidRDefault="00BD6A1F" w:rsidP="00264B10">
            <w:pPr>
              <w:spacing w:after="120"/>
              <w:ind w:left="720"/>
              <w:rPr>
                <w:i/>
              </w:rPr>
            </w:pPr>
            <w:r w:rsidRPr="00BD6A1F">
              <w:rPr>
                <w:i/>
              </w:rPr>
              <w:t xml:space="preserve">(a) Demonstrate that the requested increase over the netting basis is less than the SER; 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 xml:space="preserve">Notwithstanding any other provisions contained in any applicable requirement, any credible evidence may be used for the purpose of establishing whether a person has </w:t>
            </w:r>
            <w:r w:rsidRPr="001A5E77">
              <w:rPr>
                <w:i/>
              </w:rPr>
              <w:lastRenderedPageBreak/>
              <w:t>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 xml:space="preserve">The proposed </w:t>
            </w:r>
            <w:r w:rsidR="004465E1">
              <w:rPr>
                <w:i/>
              </w:rPr>
              <w:lastRenderedPageBreak/>
              <w:t>rule language is not a new requirement.</w:t>
            </w:r>
            <w:r w:rsidR="00413A28">
              <w:rPr>
                <w:i/>
              </w:rPr>
              <w:t xml:space="preserve"> If a particular emissions unit is problematic in this regard, the affected facility should work with their permit writer to develop the best 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lastRenderedPageBreak/>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lastRenderedPageBreak/>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r w:rsidR="00B344E3">
              <w:rPr>
                <w:i/>
                <w:iCs/>
              </w:rPr>
              <w:t>to</w:t>
            </w:r>
            <w:r w:rsidR="00B344E3" w:rsidRPr="006711C9">
              <w:rPr>
                <w:i/>
                <w:iCs/>
              </w:rPr>
              <w:t xml:space="preserve"> </w:t>
            </w:r>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lastRenderedPageBreak/>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r w:rsidR="00B344E3">
              <w:rPr>
                <w:i/>
                <w:iCs/>
              </w:rPr>
              <w:t>“</w:t>
            </w:r>
            <w:r>
              <w:rPr>
                <w:i/>
                <w:iCs/>
              </w:rPr>
              <w:t>significant impairment</w:t>
            </w:r>
            <w:r w:rsidR="00B344E3">
              <w:rPr>
                <w:i/>
                <w:iCs/>
              </w:rPr>
              <w:t>”</w:t>
            </w:r>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w:t>
            </w:r>
            <w:r w:rsidR="00984B11" w:rsidRPr="00984B11">
              <w:rPr>
                <w:i/>
                <w:iCs/>
              </w:rPr>
              <w:lastRenderedPageBreak/>
              <w:t xml:space="preserve">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lastRenderedPageBreak/>
              <w:t>Response:</w:t>
            </w:r>
          </w:p>
          <w:p w:rsidR="008D1050" w:rsidRPr="008D1050" w:rsidRDefault="008D1050" w:rsidP="008D1050">
            <w:pPr>
              <w:autoSpaceDE w:val="0"/>
              <w:autoSpaceDN w:val="0"/>
              <w:adjustRightInd w:val="0"/>
              <w:spacing w:after="120"/>
              <w:ind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 xml:space="preserve">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w:t>
            </w:r>
            <w:r w:rsidRPr="00270584">
              <w:lastRenderedPageBreak/>
              <w:t>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rFonts w:ascii="Arial" w:hAnsi="Arial"/>
                <w:sz w:val="22"/>
              </w:rPr>
            </w:pPr>
            <w:r>
              <w:rPr>
                <w:rFonts w:ascii="Arial" w:hAnsi="Arial"/>
                <w:sz w:val="22"/>
              </w:rPr>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lastRenderedPageBreak/>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lastRenderedPageBreak/>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lastRenderedPageBreak/>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rFonts w:ascii="Tahoma" w:hAnsi="Tahoma" w:cs="Tahoma"/>
                <w:sz w:val="16"/>
                <w:szCs w:val="16"/>
              </w:rP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CE407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CE4074" w:rsidRPr="00EB3D0B" w:rsidRDefault="00CE4074" w:rsidP="00CE4074">
            <w:pPr>
              <w:spacing w:after="120"/>
              <w:jc w:val="center"/>
              <w:rPr>
                <w:b/>
              </w:rPr>
            </w:pPr>
            <w:r w:rsidRPr="00EB3D0B">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Pr="00264B10" w:rsidRDefault="00533EB4" w:rsidP="00264B10">
            <w:pPr>
              <w:spacing w:after="120"/>
              <w:ind w:right="-115"/>
              <w:jc w:val="center"/>
              <w:rPr>
                <w:bCs/>
              </w:rPr>
            </w:pPr>
            <w:r>
              <w:rPr>
                <w:bCs/>
              </w:rPr>
              <w:t xml:space="preserve">Category 2: </w:t>
            </w:r>
            <w:r w:rsidRPr="0000079D">
              <w:rPr>
                <w:bCs/>
              </w:rPr>
              <w:t>Update particulate matter emission standards</w:t>
            </w:r>
          </w:p>
        </w:tc>
      </w:tr>
      <w:tr w:rsidR="00CE407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CE4074" w:rsidRPr="00CE4074" w:rsidRDefault="00CE4074" w:rsidP="00CE4074">
            <w:pPr>
              <w:ind w:right="-115"/>
              <w:rPr>
                <w:bCs/>
              </w:rPr>
            </w:pPr>
            <w:r>
              <w:rPr>
                <w:bCs/>
              </w:rPr>
              <w:t>2.1</w:t>
            </w:r>
          </w:p>
          <w:p w:rsidR="00CE4074" w:rsidRPr="00EB3D0B" w:rsidRDefault="00CE407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CE4074" w:rsidRDefault="00CE407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CE4074" w:rsidRPr="00AA0A6F" w:rsidRDefault="00CE407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Default="00CE407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CE4074" w:rsidRPr="00EB3D0B" w:rsidRDefault="00CE4074" w:rsidP="00533EB4">
            <w:pPr>
              <w:spacing w:after="120"/>
              <w:rPr>
                <w:i/>
              </w:rPr>
            </w:pPr>
            <w:r w:rsidRPr="00EF26AB">
              <w:rPr>
                <w:i/>
              </w:rPr>
              <w:t>DEQ agrees with the commenter and changed the proposed rules in response to this comment.</w:t>
            </w:r>
          </w:p>
        </w:tc>
      </w:tr>
      <w:tr w:rsidR="00CE4074" w:rsidRPr="00EB3D0B" w:rsidTr="000D4B5F">
        <w:trPr>
          <w:trHeight w:val="110"/>
        </w:trPr>
        <w:tc>
          <w:tcPr>
            <w:tcW w:w="810" w:type="dxa"/>
            <w:tcBorders>
              <w:left w:val="single" w:sz="4" w:space="0" w:color="999999"/>
              <w:bottom w:val="single" w:sz="4" w:space="0" w:color="auto"/>
              <w:right w:val="single" w:sz="4" w:space="0" w:color="999999"/>
            </w:tcBorders>
            <w:shd w:val="clear" w:color="auto" w:fill="auto"/>
          </w:tcPr>
          <w:p w:rsidR="00CE4074" w:rsidRPr="00EB3D0B" w:rsidRDefault="00CE407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CE4074" w:rsidRPr="00EB3D0B" w:rsidRDefault="00CE407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Pr="00EB3D0B" w:rsidRDefault="00CE4074" w:rsidP="00533EB4">
            <w:pPr>
              <w:spacing w:after="120"/>
              <w:rPr>
                <w:i/>
              </w:rPr>
            </w:pPr>
            <w:r>
              <w:rPr>
                <w:i/>
              </w:rPr>
              <w:t xml:space="preserve">As stated in the Invitation to Comment, </w:t>
            </w:r>
            <w:r w:rsidRPr="00EB3D0B">
              <w:rPr>
                <w:i/>
              </w:rPr>
              <w:t>DEQ is proposing the changes for the following reasons:</w:t>
            </w:r>
          </w:p>
          <w:p w:rsidR="00CE4074" w:rsidRPr="00EB3D0B" w:rsidRDefault="00CE407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CE4074" w:rsidRPr="00EB3D0B" w:rsidRDefault="00CE4074" w:rsidP="00533EB4">
            <w:pPr>
              <w:numPr>
                <w:ilvl w:val="0"/>
                <w:numId w:val="3"/>
              </w:numPr>
              <w:spacing w:after="120"/>
              <w:rPr>
                <w:i/>
              </w:rPr>
            </w:pPr>
            <w:r w:rsidRPr="00EB3D0B">
              <w:rPr>
                <w:i/>
              </w:rPr>
              <w:t>More and more areas of the state are special control areas due to population increases.</w:t>
            </w:r>
          </w:p>
          <w:p w:rsidR="00CE4074" w:rsidRPr="00EB3D0B" w:rsidRDefault="00CE407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CE4074" w:rsidRPr="00EB3D0B" w:rsidTr="00DF4E3E">
              <w:trPr>
                <w:trHeight w:val="359"/>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 Background</w:t>
                  </w:r>
                </w:p>
              </w:tc>
            </w:tr>
            <w:tr w:rsidR="00CE4074" w:rsidRPr="00EB3D0B" w:rsidTr="001248C2">
              <w:trPr>
                <w:trHeight w:val="485"/>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CE4074" w:rsidRPr="00EB3D0B" w:rsidTr="001248C2">
              <w:trPr>
                <w:trHeight w:val="476"/>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CE4074" w:rsidRPr="00EB3D0B" w:rsidRDefault="00CE407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CE4074" w:rsidRPr="00EB3D0B" w:rsidRDefault="00CE407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CE4074" w:rsidRDefault="00CE407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CE4074" w:rsidRPr="00EB3D0B" w:rsidRDefault="00CE407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w:t>
            </w:r>
            <w:r w:rsidR="00CE4074">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w:t>
            </w:r>
            <w:r w:rsidR="00CE4074">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4"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4"/>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15" w:name="_Ref385678117"/>
            <w:bookmarkStart w:id="16"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5"/>
            <w:r w:rsidRPr="00791301">
              <w:rPr>
                <w:i/>
              </w:rPr>
              <w:t xml:space="preserve">  [OAR 340-218-0050(3)(a)]</w:t>
            </w:r>
            <w:bookmarkEnd w:id="16"/>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17" w:name="_Ref385922892"/>
            <w:r w:rsidRPr="00791301">
              <w:rPr>
                <w:i/>
              </w:rPr>
              <w:t>The permittee must maintain records of the fugitive emissions surveys, corrective actions (if necessary), and/or the results of any modified EPA Method 9 tests.</w:t>
            </w:r>
            <w:bookmarkEnd w:id="17"/>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3.1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(bbb)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4"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4.1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w:t>
            </w:r>
            <w:r w:rsidR="000666AE"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0666AE" w:rsidRPr="000666AE" w:rsidRDefault="000666AE" w:rsidP="000666AE">
            <w:pPr>
              <w:spacing w:after="120"/>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0666AE" w:rsidRPr="004A2341" w:rsidRDefault="000666AE" w:rsidP="00533EB4">
            <w:pPr>
              <w:spacing w:after="120"/>
              <w:rPr>
                <w:i/>
              </w:rPr>
            </w:pP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w:t>
            </w:r>
            <w:r w:rsidRPr="004A2341">
              <w:rPr>
                <w:i/>
              </w:rPr>
              <w:lastRenderedPageBreak/>
              <w:t xml:space="preserve">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 xml:space="preserve">To remove the permitting roadblock for sources subject to State New Source Review, DEQ essentially blended the requirements for attainment and nonattainment areas to allow sources a </w:t>
            </w:r>
            <w:r w:rsidRPr="00F80AD1">
              <w:rPr>
                <w:i/>
              </w:rPr>
              <w:lastRenderedPageBreak/>
              <w:t>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5.1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6.1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r w:rsidR="008F19FD">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
              </w:rPr>
            </w:pPr>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r w:rsidR="005F258E">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533EB4" w:rsidRPr="004A6A28" w:rsidRDefault="00533EB4" w:rsidP="00533EB4">
            <w:pPr>
              <w:spacing w:after="120"/>
            </w:pPr>
            <w:r w:rsidRPr="00EF26AB">
              <w:rPr>
                <w:bCs/>
                <w:i/>
              </w:rPr>
              <w:t>DEQ agrees with some of the commenters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533EB4" w:rsidRPr="001C6348" w:rsidRDefault="00533EB4" w:rsidP="00533EB4">
            <w:pPr>
              <w:spacing w:after="12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sidR="005F258E">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533EB4" w:rsidRPr="001C6348" w:rsidRDefault="00533EB4" w:rsidP="00533EB4">
            <w:pPr>
              <w:spacing w:after="120"/>
              <w:rPr>
                <w:i/>
              </w:rPr>
            </w:pPr>
            <w:r w:rsidRPr="001C6348">
              <w:rPr>
                <w:i/>
              </w:rPr>
              <w:t xml:space="preserve">Based on this guidance, DEQ has changed the proposed language on extensions and mirrors the EPA guidance. DEQ also changed the </w:t>
            </w:r>
            <w:r w:rsidR="009D0A98">
              <w:rPr>
                <w:i/>
              </w:rPr>
              <w:t>fee</w:t>
            </w:r>
            <w:r w:rsidRPr="001C6348">
              <w:rPr>
                <w:i/>
              </w:rPr>
              <w:t xml:space="preserve"> requirement to a simple technical permit modification fee for the first extension period since there is no air quality analysis involved. </w:t>
            </w:r>
          </w:p>
          <w:p w:rsidR="00533EB4" w:rsidRPr="001B794D" w:rsidRDefault="00533EB4" w:rsidP="00533EB4">
            <w:pPr>
              <w:spacing w:after="120"/>
            </w:pPr>
            <w:r w:rsidRPr="001C6348">
              <w:rPr>
                <w:i/>
              </w:rPr>
              <w:t>DEQ agrees with some of the commenters and changed the proposed rule as some of the commenters suggested.</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t xml:space="preserve">Region 10 staff informed DEQ that the rule must be clear on how emissions increases are </w:t>
            </w:r>
            <w:r w:rsidRPr="00D71820">
              <w:rPr>
                <w:i/>
              </w:rPr>
              <w:lastRenderedPageBreak/>
              <w:t>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To help answer this question, DEQ notes the following from DEQ’s and EPA’s 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696580" w:rsidRPr="00696580" w:rsidRDefault="00696580" w:rsidP="00696580">
            <w:pPr>
              <w:spacing w:after="120"/>
              <w:rPr>
                <w:i/>
              </w:rPr>
            </w:pPr>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0854A4">
              <w:rPr>
                <w:i/>
                <w:u w:val="single"/>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w:t>
            </w:r>
            <w:r w:rsidRPr="00654843">
              <w:rPr>
                <w:i/>
              </w:rPr>
              <w:lastRenderedPageBreak/>
              <w:t>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sidR="003325E6">
              <w:rPr>
                <w:i/>
              </w:rPr>
              <w:t>s</w:t>
            </w:r>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w:t>
            </w:r>
            <w:r w:rsidRPr="00EB3D0B">
              <w:lastRenderedPageBreak/>
              <w:t xml:space="preserve">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lastRenderedPageBreak/>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r w:rsidR="004117B7">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lastRenderedPageBreak/>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263A02"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r w:rsidR="00FD52A5">
              <w:rPr>
                <w:i/>
              </w:rPr>
              <w:t xml:space="preserve">a </w:t>
            </w:r>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 xml:space="preserve">Plant Site Emission </w:t>
            </w:r>
            <w:r w:rsidRPr="001C45D4">
              <w:rPr>
                <w:i/>
              </w:rPr>
              <w:lastRenderedPageBreak/>
              <w:t>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w:t>
            </w:r>
            <w:r w:rsidR="00263A02">
              <w:rPr>
                <w:bCs/>
              </w:rPr>
              <w:t>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w:t>
            </w:r>
            <w:r w:rsidRPr="00EB3D0B">
              <w:rPr>
                <w:i/>
              </w:rPr>
              <w:lastRenderedPageBreak/>
              <w:t xml:space="preserve">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w:t>
            </w:r>
            <w:r w:rsidR="00263A02">
              <w:t>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Default="00583462" w:rsidP="00583462">
            <w:pPr>
              <w:spacing w:after="120"/>
              <w:jc w:val="center"/>
              <w:rPr>
                <w:b/>
              </w:rPr>
            </w:pPr>
            <w:r>
              <w:rPr>
                <w:b/>
              </w:rPr>
              <w:lastRenderedPageBreak/>
              <w:t>S</w:t>
            </w:r>
            <w:r w:rsidRPr="00670B52">
              <w:rPr>
                <w:b/>
              </w:rPr>
              <w:t>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7.1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670B52" w:rsidRDefault="00583462" w:rsidP="00583462">
            <w:pPr>
              <w:spacing w:after="120"/>
              <w:jc w:val="center"/>
              <w:rPr>
                <w:b/>
              </w:rPr>
            </w:pPr>
            <w:r w:rsidRPr="00670B52">
              <w:rPr>
                <w:b/>
              </w:rPr>
              <w:lastRenderedPageBreak/>
              <w:t>Summary of Comments and DEQ Responses</w:t>
            </w:r>
          </w:p>
        </w:tc>
      </w:tr>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C3107E" w:rsidP="00583462">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8.1</w:t>
            </w: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1F34D6">
        <w:trPr>
          <w:trHeight w:val="110"/>
          <w:tblHeader/>
        </w:trPr>
        <w:tc>
          <w:tcPr>
            <w:tcW w:w="10530" w:type="dxa"/>
            <w:gridSpan w:val="2"/>
            <w:tcBorders>
              <w:top w:val="nil"/>
              <w:left w:val="nil"/>
              <w:bottom w:val="single" w:sz="4" w:space="0" w:color="auto"/>
              <w:right w:val="nil"/>
            </w:tcBorders>
            <w:shd w:val="clear" w:color="auto" w:fill="auto"/>
          </w:tcPr>
          <w:p w:rsidR="00583462" w:rsidRPr="005E7A80" w:rsidRDefault="001F34D6" w:rsidP="001F34D6">
            <w:pPr>
              <w:spacing w:after="120"/>
              <w:rPr>
                <w:b/>
              </w:rPr>
            </w:pPr>
            <w:r>
              <w:rPr>
                <w:rStyle w:val="CommentReference"/>
              </w:rPr>
              <w:lastRenderedPageBreak/>
              <w:commentReference w:id="18"/>
            </w:r>
          </w:p>
        </w:tc>
      </w:tr>
      <w:tr w:rsidR="00583462"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5E7A80" w:rsidRDefault="00583462" w:rsidP="00583462">
            <w:pPr>
              <w:spacing w:after="120"/>
              <w:jc w:val="center"/>
              <w:rPr>
                <w:b/>
              </w:rPr>
            </w:pPr>
            <w:r w:rsidRPr="005E7A80">
              <w:rPr>
                <w:b/>
              </w:rPr>
              <w:t>Summary of Comments and DEQ Responses</w:t>
            </w:r>
          </w:p>
        </w:tc>
      </w:tr>
      <w:tr w:rsidR="009D1028"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9.1</w:t>
            </w: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D17D3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D17D34" w:rsidRPr="00670B52" w:rsidRDefault="00D17D34" w:rsidP="00D17D34">
            <w:pPr>
              <w:spacing w:after="120"/>
              <w:jc w:val="center"/>
              <w:rPr>
                <w:b/>
              </w:rPr>
            </w:pPr>
            <w:r w:rsidRPr="00670B52">
              <w:rPr>
                <w:b/>
              </w:rPr>
              <w:lastRenderedPageBreak/>
              <w:t>Summary of Comments and DEQ Responses</w:t>
            </w:r>
          </w:p>
        </w:tc>
      </w:tr>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0854A4" w:rsidRDefault="000854A4" w:rsidP="000854A4">
            <w:pPr>
              <w:ind w:right="-115"/>
              <w:rPr>
                <w:bCs/>
              </w:rPr>
            </w:pPr>
            <w:r>
              <w:rPr>
                <w:bCs/>
              </w:rPr>
              <w:t>10.1</w:t>
            </w: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0854A4" w:rsidRDefault="000854A4" w:rsidP="000854A4">
            <w:pPr>
              <w:pStyle w:val="ListParagraph"/>
              <w:spacing w:after="120"/>
              <w:ind w:left="360"/>
              <w:contextualSpacing w:val="0"/>
              <w:jc w:val="center"/>
              <w:rPr>
                <w:b/>
              </w:rPr>
            </w:pPr>
            <w:r w:rsidRPr="008F2B66">
              <w:rPr>
                <w:b/>
              </w:rPr>
              <w:lastRenderedPageBreak/>
              <w:t>Summary of Comments and DEQ Responses</w:t>
            </w:r>
          </w:p>
        </w:tc>
      </w:tr>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0854A4" w:rsidRDefault="000854A4" w:rsidP="000854A4">
            <w:pPr>
              <w:ind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r w:rsidRPr="006248B1">
              <w:rPr>
                <w:rFonts w:ascii="Arial" w:hAnsi="Arial"/>
                <w:sz w:val="22"/>
              </w:rPr>
              <w:t>Response:</w:t>
            </w:r>
            <w:r w:rsidRPr="006248B1">
              <w:rPr>
                <w:i/>
              </w:rPr>
              <w:t xml:space="preserve"> </w:t>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084377" w:rsidRPr="00084377" w:rsidRDefault="00084377" w:rsidP="00084377">
            <w:pPr>
              <w:spacing w:after="12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proofErr w:type="gramStart"/>
            <w:r w:rsidRPr="00084377">
              <w:t>Stricter regulations on air pollutants is</w:t>
            </w:r>
            <w:proofErr w:type="gramEnd"/>
            <w:r w:rsidRPr="00084377">
              <w:t xml:space="preserv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
              </w:rPr>
            </w:pPr>
            <w:r w:rsidRPr="009F5AA5">
              <w:rPr>
                <w:i/>
              </w:rPr>
              <w:t xml:space="preserve">DEQ is aware that asthma is a significant health problem for many Oregonians. We </w:t>
            </w:r>
            <w:r w:rsidRPr="009F5AA5">
              <w:rPr>
                <w:i/>
              </w:rPr>
              <w:lastRenderedPageBreak/>
              <w:t>understand that there are multiple causes, triggers and aggravators of asthma, including genetic factors, allergens,</w:t>
            </w:r>
            <w:r w:rsidR="00FC0232">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sidR="00084377">
              <w:rPr>
                <w:i/>
              </w:rPr>
              <w:t xml:space="preserve">to encourage households to </w:t>
            </w:r>
            <w:r w:rsidRPr="009F5AA5">
              <w:rPr>
                <w:i/>
              </w:rPr>
              <w:t>reduce wood-burning during winter months to prevent unhealthy levels of particulate.</w:t>
            </w:r>
          </w:p>
          <w:p w:rsidR="00533EB4" w:rsidRDefault="00533EB4" w:rsidP="00533EB4">
            <w:pPr>
              <w:spacing w:after="120"/>
            </w:pPr>
            <w:r w:rsidRPr="009F5A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w:t>
            </w:r>
            <w:r w:rsidRPr="00161098">
              <w:rPr>
                <w:i/>
              </w:rPr>
              <w:lastRenderedPageBreak/>
              <w:t xml:space="preserve">automobile emissions. DEQ is working to reduce risks from air toxics in those categories. </w:t>
            </w:r>
          </w:p>
          <w:p w:rsidR="00533EB4" w:rsidRDefault="00533EB4" w:rsidP="00344F8B">
            <w:pPr>
              <w:spacing w:after="12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w:t>
            </w:r>
            <w:r w:rsidRPr="001C4B2F">
              <w:rPr>
                <w:i/>
              </w:rPr>
              <w:lastRenderedPageBreak/>
              <w:t>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rsidR="006972D3">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w:t>
            </w:r>
            <w:commentRangeStart w:id="19"/>
            <w:r w:rsidRPr="00BA0E03">
              <w:t xml:space="preserve">Silica particulate emission should be very </w:t>
            </w:r>
            <w:r w:rsidRPr="00BA0E03">
              <w:lastRenderedPageBreak/>
              <w:t xml:space="preserve">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w:t>
            </w:r>
            <w:commentRangeEnd w:id="19"/>
            <w:r w:rsidR="005C3A1A">
              <w:rPr>
                <w:rStyle w:val="CommentReference"/>
              </w:rPr>
              <w:commentReference w:id="19"/>
            </w:r>
            <w:r w:rsidRPr="00BA0E03">
              <w:t xml:space="preserve">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rFonts w:ascii="Arial" w:hAnsi="Arial" w:cs="Arial"/>
                <w:sz w:val="22"/>
                <w:szCs w:val="22"/>
              </w:rPr>
            </w:pPr>
            <w:r w:rsidRPr="00BA0E03">
              <w:rPr>
                <w:rFonts w:ascii="Arial" w:hAnsi="Arial" w:cs="Arial"/>
                <w:sz w:val="22"/>
                <w:szCs w:val="22"/>
              </w:rPr>
              <w:t>Response:</w:t>
            </w:r>
          </w:p>
          <w:p w:rsidR="00D45B86" w:rsidRPr="00BA0E03" w:rsidRDefault="00D45B86" w:rsidP="00D45B86">
            <w:pPr>
              <w:spacing w:after="120"/>
              <w:rPr>
                <w:i/>
              </w:rPr>
            </w:pPr>
            <w:r w:rsidRPr="00BA0E03">
              <w:rPr>
                <w:i/>
              </w:rPr>
              <w:t xml:space="preserve">DEQ does not agree with the proposed change. 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p>
          <w:p w:rsidR="00D45B86" w:rsidRPr="00BA0E03" w:rsidRDefault="00D45B86" w:rsidP="00D45B86">
            <w:pPr>
              <w:spacing w:after="120"/>
              <w:rPr>
                <w:i/>
              </w:rPr>
            </w:pPr>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D45B86" w:rsidRPr="00BA0E03" w:rsidRDefault="00D45B86" w:rsidP="00D45B86">
            <w:pPr>
              <w:spacing w:after="120"/>
              <w:rPr>
                <w:i/>
              </w:rPr>
            </w:pPr>
            <w:r w:rsidRPr="00BA0E03">
              <w:rPr>
                <w:i/>
              </w:rPr>
              <w:t xml:space="preserve">The semiconductor industry continues to employ a hierarchy in development of PFC emission reduction technology structured around the pollution prevention concepts of reduction, </w:t>
            </w:r>
            <w:r w:rsidRPr="00BA0E03">
              <w:rPr>
                <w:i/>
              </w:rPr>
              <w:lastRenderedPageBreak/>
              <w:t xml:space="preserve">replacement, re-use/recycle, and abatement. These development areas are as follows: </w:t>
            </w:r>
          </w:p>
          <w:p w:rsidR="00D45B86" w:rsidRDefault="00D45B86" w:rsidP="00D45B86">
            <w:pPr>
              <w:spacing w:after="120"/>
              <w:ind w:left="720"/>
              <w:rPr>
                <w:i/>
              </w:rPr>
            </w:pPr>
            <w:r w:rsidRPr="00BA0E03">
              <w:rPr>
                <w:i/>
              </w:rPr>
              <w:t xml:space="preserve">1. Process optimization/alternative processing—reduces the amount of PFCs that are used and emitted </w:t>
            </w:r>
          </w:p>
          <w:p w:rsidR="00D45B86" w:rsidRDefault="00D45B86" w:rsidP="00D45B86">
            <w:pPr>
              <w:spacing w:after="120"/>
              <w:ind w:left="720"/>
              <w:rPr>
                <w:i/>
              </w:rPr>
            </w:pPr>
            <w:r w:rsidRPr="00BA0E03">
              <w:rPr>
                <w:i/>
              </w:rPr>
              <w:t xml:space="preserve">2. Alternative chemistries—reduces or eliminates emissions </w:t>
            </w:r>
          </w:p>
          <w:p w:rsidR="00D45B86" w:rsidRDefault="00D45B86" w:rsidP="00D45B86">
            <w:pPr>
              <w:spacing w:after="120"/>
              <w:ind w:left="720"/>
              <w:rPr>
                <w:i/>
              </w:rPr>
            </w:pPr>
            <w:r w:rsidRPr="00BA0E03">
              <w:rPr>
                <w:i/>
              </w:rPr>
              <w:t xml:space="preserve">3. Capture/recovery—re-uses or recycles PFCs </w:t>
            </w:r>
          </w:p>
          <w:p w:rsidR="00D45B86" w:rsidRDefault="00D45B86" w:rsidP="00D45B86">
            <w:pPr>
              <w:spacing w:after="120"/>
              <w:ind w:left="720"/>
              <w:rPr>
                <w:i/>
              </w:rPr>
            </w:pPr>
            <w:r w:rsidRPr="00BA0E03">
              <w:rPr>
                <w:i/>
              </w:rPr>
              <w:t xml:space="preserve">4. Abatement—destroys, reduces, or eliminates PFC emissions so they are not emitted </w:t>
            </w:r>
          </w:p>
          <w:p w:rsidR="00D45B86" w:rsidRPr="00BA0E03" w:rsidRDefault="00D45B86" w:rsidP="00D45B86">
            <w:pPr>
              <w:spacing w:after="120"/>
              <w:rPr>
                <w:i/>
              </w:rPr>
            </w:pPr>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D45B86" w:rsidRPr="00BA0E03" w:rsidRDefault="00D45B86" w:rsidP="00D45B86">
            <w:pPr>
              <w:spacing w:after="120"/>
              <w:rPr>
                <w:i/>
              </w:rPr>
            </w:pPr>
            <w:r w:rsidRPr="00BA0E0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w:t>
            </w:r>
            <w:r>
              <w:rPr>
                <w:i/>
              </w:rPr>
              <w:t>ricator</w:t>
            </w:r>
            <w:r w:rsidRPr="00BA0E03">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0065796A">
              <w:rPr>
                <w:i/>
                <w:vertAlign w:val="superscript"/>
              </w:rPr>
              <w:t>4</w:t>
            </w:r>
          </w:p>
          <w:p w:rsidR="00D45B86" w:rsidRPr="002D760C" w:rsidRDefault="00D45B86" w:rsidP="00D45B86">
            <w:pPr>
              <w:spacing w:after="120"/>
              <w:rPr>
                <w:i/>
                <w:vertAlign w:val="superscript"/>
              </w:rPr>
            </w:pPr>
            <w:r>
              <w:rPr>
                <w:i/>
              </w:rPr>
              <w:t xml:space="preserve">DEQ </w:t>
            </w:r>
            <w:proofErr w:type="gramStart"/>
            <w:r>
              <w:rPr>
                <w:i/>
              </w:rPr>
              <w:t xml:space="preserve">determined </w:t>
            </w:r>
            <w:r w:rsidRPr="00BA0E03">
              <w:rPr>
                <w:i/>
              </w:rPr>
              <w:t xml:space="preserve"> Intel</w:t>
            </w:r>
            <w:proofErr w:type="gramEnd"/>
            <w:r w:rsidRPr="00BA0E03">
              <w:rPr>
                <w:i/>
              </w:rPr>
              <w:t xml:space="preserve"> already operates emission control systems that would very likely be considered Best Available Control Technology, so there is nothing to be gained from making the proposed change.</w:t>
            </w:r>
            <w:r w:rsidR="00444C81" w:rsidRPr="00BA0E03">
              <w:rPr>
                <w:i/>
              </w:rPr>
              <w:t xml:space="preserve"> Therefore, adopting rules to align with the Supreme Court decision not to require Prevention of Significant Deterioration permits on the basis of greenhouse gas emissions alone will not have an effect on greenhouse gas emissions</w:t>
            </w:r>
            <w:r w:rsidR="0065796A">
              <w:rPr>
                <w:i/>
              </w:rPr>
              <w:t xml:space="preserve"> from Intel</w:t>
            </w:r>
            <w:r w:rsidR="00444C81" w:rsidRPr="00BA0E03">
              <w:rPr>
                <w:i/>
              </w:rPr>
              <w:t>.</w:t>
            </w:r>
          </w:p>
          <w:p w:rsidR="00D45B86" w:rsidRDefault="00D45B86" w:rsidP="00D45B86">
            <w:pPr>
              <w:rPr>
                <w:i/>
              </w:rPr>
            </w:pPr>
          </w:p>
          <w:p w:rsidR="00742B34" w:rsidRDefault="00742B34" w:rsidP="00D45B86">
            <w:pPr>
              <w:rPr>
                <w:i/>
              </w:rPr>
            </w:pPr>
            <w:r>
              <w:rPr>
                <w:i/>
              </w:rPr>
              <w:t>PUT SILICA HERE</w:t>
            </w:r>
          </w:p>
          <w:p w:rsidR="00742B34" w:rsidRDefault="00742B34" w:rsidP="00D45B86">
            <w:pPr>
              <w:rPr>
                <w:i/>
              </w:rPr>
            </w:pPr>
          </w:p>
          <w:p w:rsidR="00EE1C80" w:rsidRPr="00EE1C80" w:rsidRDefault="00EE1C80" w:rsidP="00D45B86">
            <w:pPr>
              <w:rPr>
                <w:i/>
              </w:rPr>
            </w:pPr>
            <w:r w:rsidRPr="00EE1C80">
              <w:rPr>
                <w:i/>
              </w:rPr>
              <w:t>DEQ does not agree with the comments. The proposed change to list semiconductor manufacturers to the list of facility types list in section (e) of the definition of “federal major source” would make it more likely (but would not guarantee) that Intel would trigger Prevention of Significant Deterioration in the future. However, being classified as a federal major source does not make a facility subject to more stringent air quality regulations.</w:t>
            </w:r>
          </w:p>
          <w:p w:rsidR="00EE1C80" w:rsidRPr="00EE1C80" w:rsidRDefault="00EE1C80" w:rsidP="00753A48">
            <w:pPr>
              <w:spacing w:after="120"/>
              <w:rPr>
                <w:i/>
              </w:rPr>
            </w:pPr>
            <w:r w:rsidRPr="00EE1C80">
              <w:rPr>
                <w:i/>
              </w:rPr>
              <w:t xml:space="preserve">DEQ also does not agree with the comment to retain rules that would make sources subject to PSD for greenhouse gases alone, </w:t>
            </w:r>
            <w:r w:rsidRPr="00753A48">
              <w:rPr>
                <w:i/>
              </w:rPr>
              <w:t xml:space="preserve">as discussed in response </w:t>
            </w:r>
            <w:r w:rsidR="00753A48">
              <w:rPr>
                <w:i/>
              </w:rPr>
              <w:t>0.2.</w:t>
            </w:r>
          </w:p>
          <w:p w:rsidR="00EE1C80" w:rsidRPr="00EE1C80" w:rsidRDefault="00EE1C80" w:rsidP="00753A48">
            <w:pPr>
              <w:spacing w:after="120"/>
              <w:rPr>
                <w:i/>
              </w:rPr>
            </w:pPr>
            <w:r w:rsidRPr="00EE1C80">
              <w:rPr>
                <w:i/>
              </w:rPr>
              <w:t>With respect to Intel, 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EE1C80" w:rsidRPr="00EE1C80" w:rsidRDefault="00EE1C80" w:rsidP="00EE1C80">
            <w:pPr>
              <w:rPr>
                <w:i/>
              </w:rPr>
            </w:pPr>
            <w:r w:rsidRPr="00EE1C80">
              <w:rPr>
                <w:i/>
              </w:rPr>
              <w:lastRenderedPageBreak/>
              <w:t>The permit application is for a maintenance area New Source Review (NSR) permit. The differences between the NSR application and a PSD permit application are shown below:</w:t>
            </w:r>
          </w:p>
          <w:p w:rsidR="00EE1C80" w:rsidRPr="00EE1C80" w:rsidRDefault="00EE1C80" w:rsidP="00EE1C80">
            <w:pPr>
              <w:rPr>
                <w:i/>
              </w:rPr>
            </w:pPr>
          </w:p>
          <w:tbl>
            <w:tblPr>
              <w:tblStyle w:val="TableGrid"/>
              <w:tblW w:w="0" w:type="auto"/>
              <w:tblInd w:w="738" w:type="dxa"/>
              <w:tblLayout w:type="fixed"/>
              <w:tblLook w:val="04A0"/>
            </w:tblPr>
            <w:tblGrid>
              <w:gridCol w:w="4050"/>
              <w:gridCol w:w="2115"/>
              <w:gridCol w:w="2115"/>
            </w:tblGrid>
            <w:tr w:rsidR="00EE1C80" w:rsidRPr="00EE1C80" w:rsidTr="002B473A">
              <w:trPr>
                <w:cantSplit/>
                <w:tblHeader/>
              </w:trPr>
              <w:tc>
                <w:tcPr>
                  <w:tcW w:w="4050" w:type="dxa"/>
                </w:tcPr>
                <w:p w:rsidR="00EE1C80" w:rsidRPr="00EE1C80" w:rsidRDefault="00EE1C80" w:rsidP="002B473A">
                  <w:pPr>
                    <w:jc w:val="center"/>
                    <w:rPr>
                      <w:b/>
                      <w:i/>
                    </w:rPr>
                  </w:pPr>
                  <w:r w:rsidRPr="00EE1C80">
                    <w:rPr>
                      <w:b/>
                      <w:i/>
                    </w:rPr>
                    <w:t>Type of analysis</w:t>
                  </w:r>
                </w:p>
              </w:tc>
              <w:tc>
                <w:tcPr>
                  <w:tcW w:w="2115" w:type="dxa"/>
                </w:tcPr>
                <w:p w:rsidR="00EE1C80" w:rsidRPr="00EE1C80" w:rsidRDefault="00EE1C80" w:rsidP="002B473A">
                  <w:pPr>
                    <w:jc w:val="center"/>
                    <w:rPr>
                      <w:b/>
                      <w:i/>
                    </w:rPr>
                  </w:pPr>
                  <w:r w:rsidRPr="00EE1C80">
                    <w:rPr>
                      <w:b/>
                      <w:i/>
                    </w:rPr>
                    <w:t>PSD</w:t>
                  </w:r>
                </w:p>
              </w:tc>
              <w:tc>
                <w:tcPr>
                  <w:tcW w:w="2115" w:type="dxa"/>
                </w:tcPr>
                <w:p w:rsidR="00EE1C80" w:rsidRPr="00EE1C80" w:rsidRDefault="00EE1C80" w:rsidP="002B473A">
                  <w:pPr>
                    <w:jc w:val="center"/>
                    <w:rPr>
                      <w:b/>
                      <w:i/>
                    </w:rPr>
                  </w:pPr>
                  <w:r w:rsidRPr="00EE1C80">
                    <w:rPr>
                      <w:b/>
                      <w:i/>
                    </w:rPr>
                    <w:t>NSR</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PM10, PM2.5, NO2 and CO</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Required</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fluorides</w:t>
                  </w:r>
                </w:p>
              </w:tc>
              <w:tc>
                <w:tcPr>
                  <w:tcW w:w="2115" w:type="dxa"/>
                </w:tcPr>
                <w:p w:rsidR="00EE1C80" w:rsidRPr="00EE1C80" w:rsidRDefault="00EE1C80" w:rsidP="002B473A">
                  <w:pPr>
                    <w:rPr>
                      <w:i/>
                    </w:rPr>
                  </w:pPr>
                  <w:r w:rsidRPr="00EE1C80">
                    <w:rPr>
                      <w:i/>
                    </w:rPr>
                    <w:t>Not Required *</w:t>
                  </w:r>
                </w:p>
              </w:tc>
              <w:tc>
                <w:tcPr>
                  <w:tcW w:w="2115" w:type="dxa"/>
                </w:tcPr>
                <w:p w:rsidR="00EE1C80" w:rsidRPr="00EE1C80" w:rsidRDefault="00EE1C80" w:rsidP="002B473A">
                  <w:pPr>
                    <w:rPr>
                      <w:i/>
                    </w:rPr>
                  </w:pPr>
                  <w:r w:rsidRPr="00EE1C80">
                    <w:rPr>
                      <w:i/>
                    </w:rPr>
                    <w:t>Not required *</w:t>
                  </w:r>
                </w:p>
                <w:p w:rsidR="00EE1C80" w:rsidRPr="00EE1C80" w:rsidRDefault="00EE1C80" w:rsidP="002B473A">
                  <w:pPr>
                    <w:rPr>
                      <w:i/>
                    </w:rPr>
                  </w:pPr>
                  <w:r w:rsidRPr="00EE1C80">
                    <w:rPr>
                      <w:i/>
                    </w:rPr>
                    <w:t>See Note 1 below</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greenhouse gases</w:t>
                  </w:r>
                </w:p>
              </w:tc>
              <w:tc>
                <w:tcPr>
                  <w:tcW w:w="2115" w:type="dxa"/>
                </w:tcPr>
                <w:p w:rsidR="00EE1C80" w:rsidRPr="00EE1C80" w:rsidRDefault="00EE1C80" w:rsidP="002B473A">
                  <w:pPr>
                    <w:rPr>
                      <w:i/>
                    </w:rPr>
                  </w:pPr>
                  <w:r w:rsidRPr="00EE1C80">
                    <w:rPr>
                      <w:i/>
                    </w:rPr>
                    <w:t>Not required *</w:t>
                  </w:r>
                </w:p>
              </w:tc>
              <w:tc>
                <w:tcPr>
                  <w:tcW w:w="2115" w:type="dxa"/>
                </w:tcPr>
                <w:p w:rsidR="00EE1C80" w:rsidRPr="00EE1C80" w:rsidRDefault="00EE1C80" w:rsidP="002B473A">
                  <w:pPr>
                    <w:rPr>
                      <w:i/>
                    </w:rPr>
                  </w:pPr>
                  <w:r w:rsidRPr="00EE1C80">
                    <w:rPr>
                      <w:i/>
                    </w:rPr>
                    <w:t>Not required *</w:t>
                  </w:r>
                </w:p>
              </w:tc>
            </w:tr>
            <w:tr w:rsidR="00EE1C80" w:rsidRPr="00EE1C80" w:rsidTr="002B473A">
              <w:trPr>
                <w:cantSplit/>
              </w:trPr>
              <w:tc>
                <w:tcPr>
                  <w:tcW w:w="4050" w:type="dxa"/>
                </w:tcPr>
                <w:p w:rsidR="00EE1C80" w:rsidRPr="00EE1C80" w:rsidRDefault="00EE1C80" w:rsidP="002B473A">
                  <w:pPr>
                    <w:rPr>
                      <w:i/>
                    </w:rPr>
                  </w:pPr>
                  <w:r w:rsidRPr="00EE1C80">
                    <w:rPr>
                      <w:i/>
                    </w:rPr>
                    <w:t>BACT ** analysis for NOx and CO</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Required</w:t>
                  </w:r>
                </w:p>
              </w:tc>
            </w:tr>
            <w:tr w:rsidR="00EE1C80" w:rsidRPr="00EE1C80" w:rsidTr="002B473A">
              <w:trPr>
                <w:cantSplit/>
              </w:trPr>
              <w:tc>
                <w:tcPr>
                  <w:tcW w:w="4050" w:type="dxa"/>
                </w:tcPr>
                <w:p w:rsidR="00EE1C80" w:rsidRPr="00EE1C80" w:rsidRDefault="00EE1C80" w:rsidP="002B473A">
                  <w:pPr>
                    <w:rPr>
                      <w:i/>
                    </w:rPr>
                  </w:pPr>
                  <w:r w:rsidRPr="00EE1C80">
                    <w:rPr>
                      <w:i/>
                    </w:rPr>
                    <w:t>BACT analysis for greenhouse gases (GHG)</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Not required</w:t>
                  </w:r>
                </w:p>
                <w:p w:rsidR="00EE1C80" w:rsidRPr="00EE1C80" w:rsidRDefault="00EE1C80" w:rsidP="002B473A">
                  <w:pPr>
                    <w:rPr>
                      <w:i/>
                    </w:rPr>
                  </w:pPr>
                  <w:r w:rsidRPr="00EE1C80">
                    <w:rPr>
                      <w:i/>
                    </w:rPr>
                    <w:t>See Note 2 below</w:t>
                  </w:r>
                </w:p>
              </w:tc>
            </w:tr>
            <w:tr w:rsidR="00EE1C80" w:rsidRPr="00EE1C80" w:rsidTr="002B473A">
              <w:trPr>
                <w:cantSplit/>
              </w:trPr>
              <w:tc>
                <w:tcPr>
                  <w:tcW w:w="4050" w:type="dxa"/>
                </w:tcPr>
                <w:p w:rsidR="00EE1C80" w:rsidRPr="00EE1C80" w:rsidRDefault="00EE1C80" w:rsidP="002B473A">
                  <w:pPr>
                    <w:rPr>
                      <w:i/>
                    </w:rPr>
                  </w:pPr>
                  <w:r w:rsidRPr="00EE1C80">
                    <w:rPr>
                      <w:i/>
                    </w:rPr>
                    <w:t>BACT analysis for fluorides</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Not required</w:t>
                  </w:r>
                </w:p>
                <w:p w:rsidR="00EE1C80" w:rsidRPr="00EE1C80" w:rsidRDefault="00EE1C80" w:rsidP="002B473A">
                  <w:pPr>
                    <w:rPr>
                      <w:i/>
                    </w:rPr>
                  </w:pPr>
                  <w:r w:rsidRPr="00EE1C80">
                    <w:rPr>
                      <w:i/>
                    </w:rPr>
                    <w:t>See Note 3 below</w:t>
                  </w:r>
                </w:p>
              </w:tc>
            </w:tr>
          </w:tbl>
          <w:p w:rsidR="00EE1C80" w:rsidRPr="00EE1C80" w:rsidRDefault="00EE1C80" w:rsidP="00EE1C80">
            <w:pPr>
              <w:rPr>
                <w:i/>
              </w:rPr>
            </w:pPr>
            <w:r w:rsidRPr="00EE1C80">
              <w:rPr>
                <w:i/>
              </w:rPr>
              <w:t xml:space="preserve">* An air quality analysis is only required for pollutants for which an Ambient Air Quality Standard exists. There are no Ambient Air Quality Standards for fluorides </w:t>
            </w:r>
            <w:r w:rsidR="00753A48">
              <w:rPr>
                <w:i/>
              </w:rPr>
              <w:t>or</w:t>
            </w:r>
            <w:r w:rsidRPr="00EE1C80">
              <w:rPr>
                <w:i/>
              </w:rPr>
              <w:t xml:space="preserve"> greenhouse gases.</w:t>
            </w:r>
          </w:p>
          <w:p w:rsidR="00EE1C80" w:rsidRPr="00EE1C80" w:rsidRDefault="00EE1C80" w:rsidP="00EE1C80">
            <w:pPr>
              <w:rPr>
                <w:i/>
              </w:rPr>
            </w:pPr>
            <w:r w:rsidRPr="00EE1C80">
              <w:rPr>
                <w:i/>
              </w:rPr>
              <w:t xml:space="preserve">** BACT is described </w:t>
            </w:r>
            <w:r w:rsidRPr="00753A48">
              <w:rPr>
                <w:i/>
              </w:rPr>
              <w:t xml:space="preserve">in response </w:t>
            </w:r>
            <w:r w:rsidR="00753A48">
              <w:rPr>
                <w:i/>
              </w:rPr>
              <w:t>0.1.</w:t>
            </w:r>
          </w:p>
          <w:p w:rsidR="00EE1C80" w:rsidRPr="00EE1C80" w:rsidRDefault="00EE1C80" w:rsidP="00EE1C80">
            <w:pPr>
              <w:rPr>
                <w:i/>
              </w:rPr>
            </w:pPr>
          </w:p>
          <w:p w:rsidR="00EE1C80" w:rsidRPr="00EE1C80" w:rsidRDefault="00EE1C80" w:rsidP="00EE1C80">
            <w:pPr>
              <w:rPr>
                <w:i/>
                <w:u w:val="single"/>
              </w:rPr>
            </w:pPr>
            <w:r w:rsidRPr="00EE1C80">
              <w:rPr>
                <w:i/>
                <w:u w:val="single"/>
              </w:rPr>
              <w:t>Note 1</w:t>
            </w:r>
          </w:p>
          <w:p w:rsidR="00EE1C80" w:rsidRPr="00EE1C80" w:rsidRDefault="00EE1C80" w:rsidP="00EE1C80">
            <w:pPr>
              <w:rPr>
                <w:i/>
              </w:rPr>
            </w:pPr>
            <w:r w:rsidRPr="00EE1C80">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EE1C80" w:rsidRPr="00EE1C80" w:rsidRDefault="00EE1C80" w:rsidP="00EE1C80">
            <w:pPr>
              <w:rPr>
                <w:i/>
              </w:rPr>
            </w:pPr>
            <w:r w:rsidRPr="00EE1C80">
              <w:rPr>
                <w:i/>
              </w:rPr>
              <w:t xml:space="preserve">Annual average hydrogen fluoride concentration:  0.50 </w:t>
            </w:r>
            <w:proofErr w:type="spellStart"/>
            <w:r w:rsidRPr="00EE1C80">
              <w:rPr>
                <w:i/>
              </w:rPr>
              <w:t>μg</w:t>
            </w:r>
            <w:proofErr w:type="spellEnd"/>
            <w:r w:rsidRPr="00EE1C80">
              <w:rPr>
                <w:i/>
              </w:rPr>
              <w:t>/m</w:t>
            </w:r>
            <w:r w:rsidRPr="00EE1C80">
              <w:rPr>
                <w:i/>
                <w:vertAlign w:val="superscript"/>
              </w:rPr>
              <w:t>3</w:t>
            </w:r>
            <w:r w:rsidRPr="00EE1C80">
              <w:rPr>
                <w:i/>
              </w:rPr>
              <w:t xml:space="preserve"> ; and</w:t>
            </w:r>
          </w:p>
          <w:p w:rsidR="00EE1C80" w:rsidRPr="00EE1C80" w:rsidRDefault="00EE1C80" w:rsidP="00EE1C80">
            <w:pPr>
              <w:rPr>
                <w:i/>
              </w:rPr>
            </w:pPr>
            <w:r w:rsidRPr="00EE1C80">
              <w:rPr>
                <w:i/>
              </w:rPr>
              <w:t xml:space="preserve">Annual average fluorides concentration:  </w:t>
            </w:r>
            <w:proofErr w:type="gramStart"/>
            <w:r w:rsidRPr="00EE1C80">
              <w:rPr>
                <w:i/>
              </w:rPr>
              <w:t xml:space="preserve">0.38 </w:t>
            </w:r>
            <w:proofErr w:type="spellStart"/>
            <w:r w:rsidRPr="00EE1C80">
              <w:rPr>
                <w:i/>
              </w:rPr>
              <w:t>μg</w:t>
            </w:r>
            <w:proofErr w:type="spellEnd"/>
            <w:r w:rsidRPr="00EE1C80">
              <w:rPr>
                <w:i/>
              </w:rPr>
              <w:t>/m</w:t>
            </w:r>
            <w:r w:rsidRPr="00EE1C80">
              <w:rPr>
                <w:i/>
                <w:vertAlign w:val="superscript"/>
              </w:rPr>
              <w:t>3</w:t>
            </w:r>
            <w:proofErr w:type="gramEnd"/>
            <w:r w:rsidRPr="00EE1C80">
              <w:rPr>
                <w:i/>
              </w:rPr>
              <w:t>.</w:t>
            </w:r>
          </w:p>
          <w:p w:rsidR="00EE1C80" w:rsidRPr="00EE1C80" w:rsidRDefault="00EE1C80" w:rsidP="00EE1C80">
            <w:pPr>
              <w:rPr>
                <w:i/>
              </w:rPr>
            </w:pPr>
            <w:r w:rsidRPr="00EE1C80">
              <w:rPr>
                <w:i/>
              </w:rPr>
              <w:t xml:space="preserve">The hydrogen fluoride result is below the Oregon benchmark concentration </w:t>
            </w:r>
            <w:proofErr w:type="gramStart"/>
            <w:r w:rsidRPr="00EE1C80">
              <w:rPr>
                <w:i/>
              </w:rPr>
              <w:t xml:space="preserve">of 14 </w:t>
            </w:r>
            <w:proofErr w:type="spellStart"/>
            <w:r w:rsidRPr="00EE1C80">
              <w:rPr>
                <w:i/>
              </w:rPr>
              <w:t>μg</w:t>
            </w:r>
            <w:proofErr w:type="spellEnd"/>
            <w:r w:rsidRPr="00EE1C80">
              <w:rPr>
                <w:i/>
              </w:rPr>
              <w:t>/m</w:t>
            </w:r>
            <w:r w:rsidRPr="00EE1C80">
              <w:rPr>
                <w:i/>
                <w:vertAlign w:val="superscript"/>
              </w:rPr>
              <w:t>3</w:t>
            </w:r>
            <w:proofErr w:type="gramEnd"/>
            <w:r w:rsidRPr="00EE1C80">
              <w:rPr>
                <w:i/>
              </w:rPr>
              <w:t xml:space="preserve">. Oregon does not have an ambient standard or benchmark for fluorides, but some other states do have ambient air limits, guidelines or reference values. The values range from 6 to 27 </w:t>
            </w:r>
            <w:proofErr w:type="spellStart"/>
            <w:proofErr w:type="gramStart"/>
            <w:r w:rsidRPr="00EE1C80">
              <w:rPr>
                <w:i/>
              </w:rPr>
              <w:t>μg</w:t>
            </w:r>
            <w:proofErr w:type="spellEnd"/>
            <w:r w:rsidRPr="00EE1C80">
              <w:rPr>
                <w:i/>
              </w:rPr>
              <w:t>/m</w:t>
            </w:r>
            <w:r w:rsidRPr="00EE1C80">
              <w:rPr>
                <w:i/>
                <w:vertAlign w:val="superscript"/>
              </w:rPr>
              <w:t>3</w:t>
            </w:r>
            <w:r w:rsidRPr="00EE1C80">
              <w:rPr>
                <w:i/>
              </w:rPr>
              <w:t>,</w:t>
            </w:r>
            <w:proofErr w:type="gramEnd"/>
            <w:r w:rsidRPr="00EE1C80">
              <w:rPr>
                <w:i/>
              </w:rPr>
              <w:t xml:space="preserve"> and the model result is below all of them.</w:t>
            </w:r>
          </w:p>
          <w:p w:rsidR="00EE1C80" w:rsidRPr="00EE1C80" w:rsidRDefault="00EE1C80" w:rsidP="00EE1C80">
            <w:pPr>
              <w:rPr>
                <w:i/>
                <w:u w:val="single"/>
              </w:rPr>
            </w:pPr>
            <w:r w:rsidRPr="00EE1C80">
              <w:rPr>
                <w:i/>
                <w:u w:val="single"/>
              </w:rPr>
              <w:t>Note 2</w:t>
            </w:r>
          </w:p>
          <w:p w:rsidR="00EE1C80" w:rsidRPr="00EE1C80" w:rsidRDefault="00EE1C80" w:rsidP="00EE1C80">
            <w:pPr>
              <w:rPr>
                <w:i/>
              </w:rPr>
            </w:pPr>
            <w:r w:rsidRPr="00EE1C80">
              <w:rPr>
                <w:i/>
              </w:rPr>
              <w:t xml:space="preserve">Intel currently operates emission control devices known as point of use control </w:t>
            </w:r>
            <w:proofErr w:type="gramStart"/>
            <w:r w:rsidRPr="00EE1C80">
              <w:rPr>
                <w:i/>
              </w:rPr>
              <w:t>systems,</w:t>
            </w:r>
            <w:proofErr w:type="gramEnd"/>
            <w:r w:rsidRPr="00EE1C80">
              <w:rPr>
                <w:i/>
              </w:rPr>
              <w:t xml:space="preserve"> or POUs. As indicate</w:t>
            </w:r>
            <w:r w:rsidR="00753A48">
              <w:rPr>
                <w:i/>
              </w:rPr>
              <w:t>d in response 0.1,</w:t>
            </w:r>
            <w:r w:rsidRPr="00EE1C80">
              <w:rPr>
                <w:i/>
              </w:rPr>
              <w:t xml:space="preserve"> DEQ believes that little or nothing would be gained by conducting a BACT analysis for greenhouse gases. Furthermore, it should be noted that the POU devices break down fluorine-containing greenhouse gases, which results in increased generation of fluorides and hydrogen fluoride; thus, there could even be an adverse environmental effect from requiring more POUs.</w:t>
            </w:r>
          </w:p>
          <w:p w:rsidR="00EE1C80" w:rsidRPr="00EE1C80" w:rsidRDefault="00EE1C80" w:rsidP="00EE1C80">
            <w:pPr>
              <w:rPr>
                <w:i/>
                <w:u w:val="single"/>
              </w:rPr>
            </w:pPr>
            <w:r w:rsidRPr="00EE1C80">
              <w:rPr>
                <w:i/>
                <w:u w:val="single"/>
              </w:rPr>
              <w:t>Note 3</w:t>
            </w:r>
          </w:p>
          <w:p w:rsidR="00EE1C80" w:rsidRDefault="00EE1C80" w:rsidP="00EE1C80">
            <w:pPr>
              <w:rPr>
                <w:i/>
              </w:rPr>
            </w:pPr>
            <w:r w:rsidRPr="00EE1C80">
              <w:rPr>
                <w:i/>
              </w:rPr>
              <w:t>As part of the MAO, Intel was required to conduct an emission control technology review for fluorides. The control technology review is not considered to be a BACT analysis; however, the procedure for conducting a BACT analysis was followed. The conclusion of the analysis was that Intel’s existing emission control system for fluorides is the best available for a semiconductor manufacturing facility.</w:t>
            </w:r>
          </w:p>
          <w:p w:rsidR="00753A48" w:rsidRPr="00EE1C80" w:rsidRDefault="00753A48" w:rsidP="00EE1C80">
            <w:pPr>
              <w:rPr>
                <w:i/>
              </w:rPr>
            </w:pPr>
          </w:p>
          <w:p w:rsidR="00EE1C80" w:rsidRPr="00EE1C80" w:rsidRDefault="00EE1C80" w:rsidP="00EE1C80">
            <w:pPr>
              <w:rPr>
                <w:i/>
              </w:rPr>
            </w:pPr>
            <w:r w:rsidRPr="00EE1C80">
              <w:rPr>
                <w:i/>
              </w:rPr>
              <w:t>DEQ did not change the proposed rule in response to this comment.</w:t>
            </w:r>
          </w:p>
          <w:p w:rsidR="00533EB4" w:rsidRPr="002D760C" w:rsidRDefault="00D45B86" w:rsidP="00D45B86">
            <w:pPr>
              <w:spacing w:after="120"/>
              <w:rPr>
                <w:i/>
              </w:rPr>
            </w:pPr>
            <w:r w:rsidRPr="00D45B86">
              <w:rPr>
                <w:i/>
                <w:vertAlign w:val="superscript"/>
              </w:rPr>
              <w:lastRenderedPageBreak/>
              <w:t>4</w:t>
            </w:r>
            <w:r w:rsidRPr="00D45B86">
              <w:rPr>
                <w:i/>
              </w:rPr>
              <w:t>http://www.epa.gov/semiconductor-pfc/index.html</w:t>
            </w:r>
          </w:p>
        </w:tc>
      </w:tr>
    </w:tbl>
    <w:p w:rsidR="00822C43" w:rsidRDefault="00822C43" w:rsidP="00D02ACC">
      <w:pPr>
        <w:rPr>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w:t>
            </w:r>
            <w:r w:rsidR="005165A1">
              <w:rPr>
                <w:sz w:val="22"/>
                <w:szCs w:val="22"/>
              </w:rPr>
              <w:t xml:space="preserve">2.4, </w:t>
            </w:r>
            <w:r w:rsidR="00584A4D">
              <w:rPr>
                <w:sz w:val="22"/>
                <w:szCs w:val="22"/>
              </w:rPr>
              <w:t xml:space="preserve">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w:t>
            </w:r>
            <w:r w:rsidR="000B6D9A">
              <w:rPr>
                <w:sz w:val="22"/>
                <w:szCs w:val="22"/>
              </w:rPr>
              <w:t>6.1</w:t>
            </w:r>
            <w:r w:rsidR="00263A02">
              <w:rPr>
                <w:sz w:val="22"/>
                <w:szCs w:val="22"/>
              </w:rPr>
              <w:t>8</w:t>
            </w:r>
            <w:r w:rsidR="000B6D9A">
              <w:rPr>
                <w:sz w:val="22"/>
                <w:szCs w:val="22"/>
              </w:rPr>
              <w:t>, 6.</w:t>
            </w:r>
            <w:r w:rsidR="00263A02">
              <w:rPr>
                <w:sz w:val="22"/>
                <w:szCs w:val="22"/>
              </w:rPr>
              <w:t>19</w:t>
            </w:r>
            <w:r w:rsidR="000B6D9A">
              <w:rPr>
                <w:sz w:val="22"/>
                <w:szCs w:val="22"/>
              </w:rPr>
              <w:t xml:space="preserve">,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 xml:space="preserve">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xml:space="preserve">,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w:t>
            </w:r>
            <w:r w:rsidR="006502D7">
              <w:rPr>
                <w:sz w:val="22"/>
                <w:szCs w:val="22"/>
              </w:rPr>
              <w:t xml:space="preserve"> 1.13, </w:t>
            </w:r>
            <w:r w:rsidR="006502D7" w:rsidRPr="0086412A">
              <w:rPr>
                <w:sz w:val="22"/>
                <w:szCs w:val="22"/>
              </w:rPr>
              <w:t>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 xml:space="preserve">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Pr>
                <w:sz w:val="22"/>
                <w:szCs w:val="22"/>
              </w:rPr>
              <w:t xml:space="preserve">2.1,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w:t>
            </w:r>
            <w:r w:rsidR="006502D7" w:rsidRPr="00AC7FCA">
              <w:rPr>
                <w:sz w:val="22"/>
                <w:szCs w:val="22"/>
              </w:rPr>
              <w:lastRenderedPageBreak/>
              <w:t>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w:t>
            </w:r>
            <w:r w:rsidR="006502D7">
              <w:rPr>
                <w:sz w:val="22"/>
                <w:szCs w:val="22"/>
              </w:rPr>
              <w:t xml:space="preserve"> 6.2</w:t>
            </w:r>
            <w:r w:rsidR="00263A02">
              <w:rPr>
                <w:sz w:val="22"/>
                <w:szCs w:val="22"/>
              </w:rPr>
              <w:t>0</w:t>
            </w:r>
            <w:r w:rsidR="006502D7">
              <w:rPr>
                <w:sz w:val="22"/>
                <w:szCs w:val="22"/>
              </w:rPr>
              <w:t>,</w:t>
            </w:r>
            <w:r w:rsidR="006502D7" w:rsidRPr="000B6D9A">
              <w:rPr>
                <w:sz w:val="22"/>
                <w:szCs w:val="22"/>
              </w:rPr>
              <w:t xml:space="preserve"> 9.6, </w:t>
            </w:r>
            <w:r w:rsidR="006502D7" w:rsidRPr="00033B63">
              <w:rPr>
                <w:sz w:val="22"/>
                <w:szCs w:val="22"/>
              </w:rPr>
              <w:t>10.1</w:t>
            </w:r>
            <w:r w:rsidR="006502D7" w:rsidRPr="000372DE">
              <w:rPr>
                <w:sz w:val="22"/>
                <w:szCs w:val="22"/>
              </w:rPr>
              <w:t xml:space="preserve"> </w:t>
            </w:r>
            <w:r w:rsidR="006502D7" w:rsidRPr="00AC7FCA">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0.2,</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263A02">
            <w:pPr>
              <w:rPr>
                <w:sz w:val="22"/>
                <w:szCs w:val="22"/>
              </w:rPr>
            </w:pPr>
            <w:r>
              <w:rPr>
                <w:sz w:val="22"/>
                <w:szCs w:val="22"/>
              </w:rPr>
              <w:t>1.1, 3.1, 3.3, 4.1, 4.3, 6.2, 6.10, 6.</w:t>
            </w:r>
            <w:r w:rsidR="00263A02">
              <w:rPr>
                <w:sz w:val="22"/>
                <w:szCs w:val="22"/>
              </w:rPr>
              <w:t>19</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1.12, 1.13, 1.14, 1.15,</w:t>
            </w:r>
            <w:r w:rsidR="006502D7" w:rsidRPr="00C9118F">
              <w:rPr>
                <w:sz w:val="22"/>
                <w:szCs w:val="22"/>
              </w:rPr>
              <w:t xml:space="preserve"> 1.17, 1.18, 1.19,</w:t>
            </w:r>
            <w:r w:rsidR="006502D7" w:rsidRPr="00BE0247">
              <w:rPr>
                <w:sz w:val="22"/>
                <w:szCs w:val="22"/>
              </w:rPr>
              <w:t xml:space="preserve"> 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DD214F">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 xml:space="preserve">Lane Regional Air Pollution </w:t>
            </w:r>
            <w:r w:rsidRPr="00654843">
              <w:rPr>
                <w:sz w:val="22"/>
                <w:szCs w:val="22"/>
              </w:rPr>
              <w:lastRenderedPageBreak/>
              <w:t>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w:t>
            </w:r>
            <w:r w:rsidR="006502D7" w:rsidRPr="000372DE">
              <w:rPr>
                <w:sz w:val="22"/>
                <w:szCs w:val="22"/>
              </w:rPr>
              <w:t xml:space="preserve"> 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3A6000">
              <w:rPr>
                <w:sz w:val="22"/>
                <w:szCs w:val="22"/>
              </w:rPr>
              <w:t xml:space="preserve"> </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1.1,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w:t>
            </w:r>
            <w:r w:rsidR="006502D7" w:rsidRPr="00AC7FCA">
              <w:rPr>
                <w:sz w:val="22"/>
                <w:szCs w:val="22"/>
              </w:rPr>
              <w:lastRenderedPageBreak/>
              <w:t>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1.39</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w:t>
            </w:r>
            <w:r w:rsidR="006502D7" w:rsidRPr="00584A4D">
              <w:rPr>
                <w:sz w:val="22"/>
                <w:szCs w:val="22"/>
              </w:rPr>
              <w:t xml:space="preserve"> 2.2, 2.3, </w:t>
            </w:r>
            <w:r w:rsidR="005165A1">
              <w:rPr>
                <w:sz w:val="22"/>
                <w:szCs w:val="22"/>
              </w:rPr>
              <w:t xml:space="preserve">2.4, </w:t>
            </w:r>
            <w:r w:rsidR="006502D7" w:rsidRPr="00584A4D">
              <w:rPr>
                <w:sz w:val="22"/>
                <w:szCs w:val="22"/>
              </w:rPr>
              <w:t>3.1,</w:t>
            </w:r>
            <w:r w:rsidR="006502D7" w:rsidRPr="00AC7FCA">
              <w:rPr>
                <w:sz w:val="22"/>
                <w:szCs w:val="22"/>
              </w:rPr>
              <w:t xml:space="preserve"> 3.2, 3.3,</w:t>
            </w:r>
            <w:r w:rsidR="006502D7" w:rsidRPr="0045780A">
              <w:rPr>
                <w:sz w:val="22"/>
                <w:szCs w:val="22"/>
              </w:rPr>
              <w:t xml:space="preserve"> 6.2, 6.3, 6.4, 6.5,</w:t>
            </w:r>
            <w:r w:rsidR="006502D7" w:rsidRPr="000372DE">
              <w:rPr>
                <w:sz w:val="22"/>
                <w:szCs w:val="22"/>
              </w:rPr>
              <w:t xml:space="preserve"> 6.6, 6.7, 6.8, 6.9, 6.10, </w:t>
            </w:r>
            <w:r w:rsidR="006502D7">
              <w:rPr>
                <w:sz w:val="22"/>
                <w:szCs w:val="22"/>
              </w:rPr>
              <w:t xml:space="preserve">6.11, </w:t>
            </w:r>
            <w:r w:rsidR="006502D7" w:rsidRPr="000372DE">
              <w:rPr>
                <w:sz w:val="22"/>
                <w:szCs w:val="22"/>
              </w:rPr>
              <w:t>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9.6,</w:t>
            </w:r>
            <w:r w:rsidR="006502D7">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0B6D9A">
              <w:rPr>
                <w:sz w:val="22"/>
                <w:szCs w:val="22"/>
              </w:rPr>
              <w:t>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1.16, 1.23, 1.37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w:t>
            </w:r>
            <w:r w:rsidR="006502D7" w:rsidRPr="009D41F6">
              <w:rPr>
                <w:sz w:val="22"/>
                <w:szCs w:val="22"/>
              </w:rPr>
              <w:t xml:space="preserve"> 1.14, 1.15,</w:t>
            </w:r>
            <w:r w:rsidR="006502D7" w:rsidRPr="00C9118F">
              <w:rPr>
                <w:sz w:val="22"/>
                <w:szCs w:val="22"/>
              </w:rPr>
              <w:t xml:space="preserve"> 1.17, 1.18, 1.19,</w:t>
            </w:r>
            <w:r w:rsidR="006502D7" w:rsidRPr="00BE0247">
              <w:rPr>
                <w:sz w:val="22"/>
                <w:szCs w:val="22"/>
              </w:rPr>
              <w:t xml:space="preserve"> </w:t>
            </w:r>
            <w:r w:rsidR="006502D7" w:rsidRPr="00BE0247">
              <w:rPr>
                <w:sz w:val="22"/>
                <w:szCs w:val="22"/>
              </w:rPr>
              <w:lastRenderedPageBreak/>
              <w:t xml:space="preserve">1.20, 1.21, 1.22, </w:t>
            </w:r>
            <w:r w:rsidR="006502D7" w:rsidRPr="00B07AC4">
              <w:rPr>
                <w:sz w:val="22"/>
                <w:szCs w:val="22"/>
              </w:rPr>
              <w:t xml:space="preserve">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0B6D9A">
              <w:rPr>
                <w:sz w:val="22"/>
                <w:szCs w:val="22"/>
              </w:rPr>
              <w:t xml:space="preserve"> 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lastRenderedPageBreak/>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5-01-14T18:25:00Z" w:initials="j">
    <w:p w:rsidR="00EA329D" w:rsidRDefault="00EA329D">
      <w:pPr>
        <w:pStyle w:val="CommentText"/>
      </w:pPr>
      <w:r>
        <w:rPr>
          <w:rStyle w:val="CommentReference"/>
        </w:rPr>
        <w:annotationRef/>
      </w:r>
      <w:r>
        <w:t>This looks weird</w:t>
      </w:r>
    </w:p>
  </w:comment>
  <w:comment w:id="10" w:author="jinahar" w:date="2015-01-14T17:20:00Z" w:initials="j">
    <w:p w:rsidR="00EA329D" w:rsidRDefault="00EA329D">
      <w:pPr>
        <w:pStyle w:val="CommentText"/>
      </w:pPr>
      <w:r>
        <w:rPr>
          <w:rStyle w:val="CommentReference"/>
        </w:rPr>
        <w:annotationRef/>
      </w:r>
      <w:r>
        <w:t>Do we want to say this?</w:t>
      </w:r>
    </w:p>
  </w:comment>
  <w:comment w:id="18" w:author="jinahar" w:date="2015-01-14T17:47:00Z" w:initials="j">
    <w:p w:rsidR="00EA329D" w:rsidRDefault="00EA329D">
      <w:pPr>
        <w:pStyle w:val="CommentText"/>
      </w:pPr>
      <w:r>
        <w:rPr>
          <w:rStyle w:val="CommentReference"/>
        </w:rPr>
        <w:annotationRef/>
      </w:r>
      <w:r>
        <w:t xml:space="preserve">Can’t get </w:t>
      </w:r>
      <w:proofErr w:type="spellStart"/>
      <w:r>
        <w:t>ridof</w:t>
      </w:r>
      <w:proofErr w:type="spellEnd"/>
      <w:r>
        <w:t xml:space="preserve"> this blank row in the header for section 9.  Help Andrea!</w:t>
      </w:r>
    </w:p>
  </w:comment>
  <w:comment w:id="19" w:author="jinahar" w:date="2015-01-14T18:39:00Z" w:initials="j">
    <w:p w:rsidR="00EA329D" w:rsidRPr="005C3A1A" w:rsidRDefault="00EA329D" w:rsidP="005C3A1A">
      <w:pPr>
        <w:pStyle w:val="CommentText"/>
      </w:pPr>
      <w:r>
        <w:rPr>
          <w:rStyle w:val="CommentReference"/>
        </w:rPr>
        <w:annotationRef/>
      </w:r>
      <w:proofErr w:type="spellStart"/>
      <w:r w:rsidRPr="005C3A1A">
        <w:t>PaulG</w:t>
      </w:r>
      <w:proofErr w:type="spellEnd"/>
      <w:r w:rsidRPr="005C3A1A">
        <w:t xml:space="preserve"> comment</w:t>
      </w:r>
    </w:p>
    <w:p w:rsidR="00EA329D" w:rsidRPr="005C3A1A" w:rsidRDefault="00EA329D" w:rsidP="005C3A1A">
      <w:pPr>
        <w:pStyle w:val="CommentText"/>
      </w:pPr>
    </w:p>
    <w:p w:rsidR="00EA329D" w:rsidRDefault="00EA329D" w:rsidP="005C3A1A">
      <w:pPr>
        <w:pStyle w:val="CommentText"/>
      </w:pPr>
      <w:r w:rsidRPr="005C3A1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29D" w:rsidRDefault="00EA329D">
      <w:r>
        <w:separator/>
      </w:r>
    </w:p>
  </w:endnote>
  <w:endnote w:type="continuationSeparator" w:id="0">
    <w:p w:rsidR="00EA329D" w:rsidRDefault="00EA32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EA329D" w:rsidRDefault="00EA329D">
        <w:pPr>
          <w:pStyle w:val="Footer"/>
          <w:jc w:val="right"/>
        </w:pPr>
        <w:fldSimple w:instr=" PAGE   \* MERGEFORMAT ">
          <w:r w:rsidR="00D6681F">
            <w:rPr>
              <w:noProof/>
            </w:rPr>
            <w:t>4</w:t>
          </w:r>
        </w:fldSimple>
      </w:p>
    </w:sdtContent>
  </w:sdt>
  <w:p w:rsidR="00EA329D" w:rsidRDefault="00EA3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EA329D" w:rsidRDefault="00EA329D">
        <w:pPr>
          <w:pStyle w:val="Footer"/>
          <w:jc w:val="right"/>
        </w:pPr>
        <w:fldSimple w:instr=" PAGE   \* MERGEFORMAT ">
          <w:r w:rsidR="00D6681F">
            <w:rPr>
              <w:noProof/>
            </w:rPr>
            <w:t>86</w:t>
          </w:r>
        </w:fldSimple>
      </w:p>
    </w:sdtContent>
  </w:sdt>
  <w:p w:rsidR="00EA329D" w:rsidRDefault="00EA3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29D" w:rsidRDefault="00EA329D">
      <w:r>
        <w:separator/>
      </w:r>
    </w:p>
  </w:footnote>
  <w:footnote w:type="continuationSeparator" w:id="0">
    <w:p w:rsidR="00EA329D" w:rsidRDefault="00EA329D">
      <w:r>
        <w:continuationSeparator/>
      </w:r>
    </w:p>
  </w:footnote>
  <w:footnote w:id="1">
    <w:p w:rsidR="00EA329D" w:rsidRDefault="00EA329D"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EA329D" w:rsidRDefault="00EA329D"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12993"/>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6AE"/>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377"/>
    <w:rsid w:val="00084467"/>
    <w:rsid w:val="000854A4"/>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4D6"/>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0A4"/>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3A02"/>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B9"/>
    <w:rsid w:val="002C3696"/>
    <w:rsid w:val="002C4A9B"/>
    <w:rsid w:val="002C50B1"/>
    <w:rsid w:val="002C58F9"/>
    <w:rsid w:val="002C5DBD"/>
    <w:rsid w:val="002C6833"/>
    <w:rsid w:val="002C6AF7"/>
    <w:rsid w:val="002C7540"/>
    <w:rsid w:val="002C7920"/>
    <w:rsid w:val="002C7F50"/>
    <w:rsid w:val="002D0003"/>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C81"/>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5A1"/>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1227"/>
    <w:rsid w:val="005816C5"/>
    <w:rsid w:val="005818FB"/>
    <w:rsid w:val="0058191F"/>
    <w:rsid w:val="00581D7B"/>
    <w:rsid w:val="00581FDE"/>
    <w:rsid w:val="005825DD"/>
    <w:rsid w:val="00582C8F"/>
    <w:rsid w:val="00583462"/>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3A1A"/>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5796A"/>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2D3"/>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B34"/>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A48"/>
    <w:rsid w:val="00753B4F"/>
    <w:rsid w:val="00755AEB"/>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17F8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5FC2"/>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074"/>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7FA"/>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34"/>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B86"/>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81F"/>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329D"/>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9C1"/>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A6793EEF-E82A-4D45-A314-8191E977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111</Pages>
  <Words>47867</Words>
  <Characters>257693</Characters>
  <Application>Microsoft Office Word</Application>
  <DocSecurity>0</DocSecurity>
  <Lines>2147</Lines>
  <Paragraphs>609</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18</cp:revision>
  <cp:lastPrinted>2015-01-15T03:00:00Z</cp:lastPrinted>
  <dcterms:created xsi:type="dcterms:W3CDTF">2015-01-15T00:51:00Z</dcterms:created>
  <dcterms:modified xsi:type="dcterms:W3CDTF">2015-01-15T03:05:00Z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