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6"/>
        <w:gridCol w:w="8220"/>
      </w:tblGrid>
      <w:tr w:rsidR="00CA268A" w:rsidRPr="00CA268A" w:rsidTr="00C20DEC">
        <w:trPr>
          <w:trHeight w:val="810"/>
        </w:trPr>
        <w:tc>
          <w:tcPr>
            <w:tcW w:w="1356" w:type="dxa"/>
            <w:vMerge w:val="restart"/>
          </w:tcPr>
          <w:p w:rsidR="00CA268A" w:rsidRPr="00CA268A" w:rsidRDefault="00CA268A" w:rsidP="00CA268A">
            <w:pPr>
              <w:rPr>
                <w:rFonts w:ascii="Times New Roman" w:hAnsi="Times New Roman" w:cs="Times New Roman"/>
                <w:b/>
              </w:rPr>
            </w:pPr>
            <w:r w:rsidRPr="00CA268A">
              <w:rPr>
                <w:rFonts w:ascii="Times New Roman" w:hAnsi="Times New Roman" w:cs="Times New Roman"/>
                <w:b/>
                <w:noProof/>
              </w:rPr>
              <w:drawing>
                <wp:inline distT="0" distB="0" distL="0" distR="0">
                  <wp:extent cx="696987" cy="1585708"/>
                  <wp:effectExtent l="19050" t="0" r="7863" b="0"/>
                  <wp:docPr id="3"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696987" cy="1585708"/>
                          </a:xfrm>
                          <a:prstGeom prst="rect">
                            <a:avLst/>
                          </a:prstGeom>
                        </pic:spPr>
                      </pic:pic>
                    </a:graphicData>
                  </a:graphic>
                </wp:inline>
              </w:drawing>
            </w:r>
          </w:p>
        </w:tc>
        <w:tc>
          <w:tcPr>
            <w:tcW w:w="8220" w:type="dxa"/>
          </w:tcPr>
          <w:p w:rsidR="00CA268A" w:rsidRPr="00CA268A" w:rsidRDefault="00CA268A" w:rsidP="00CA268A">
            <w:pPr>
              <w:rPr>
                <w:rFonts w:ascii="Arial" w:hAnsi="Arial" w:cs="Arial"/>
                <w:b/>
                <w:sz w:val="28"/>
                <w:szCs w:val="28"/>
              </w:rPr>
            </w:pPr>
          </w:p>
          <w:p w:rsidR="00CA268A" w:rsidRPr="00CA268A" w:rsidRDefault="00CA268A" w:rsidP="00CA268A">
            <w:pPr>
              <w:rPr>
                <w:rFonts w:ascii="Arial" w:hAnsi="Arial" w:cs="Arial"/>
                <w:b/>
                <w:sz w:val="28"/>
                <w:szCs w:val="28"/>
              </w:rPr>
            </w:pPr>
            <w:r w:rsidRPr="00CA268A">
              <w:rPr>
                <w:rFonts w:ascii="Arial" w:hAnsi="Arial" w:cs="Arial"/>
                <w:b/>
                <w:sz w:val="28"/>
                <w:szCs w:val="28"/>
              </w:rPr>
              <w:t>New Source Review Program Supplemental Discussion</w:t>
            </w:r>
          </w:p>
        </w:tc>
      </w:tr>
      <w:tr w:rsidR="00CA268A" w:rsidRPr="00CA268A" w:rsidTr="00C20DEC">
        <w:trPr>
          <w:trHeight w:val="116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CA268A">
            <w:pPr>
              <w:rPr>
                <w:rFonts w:ascii="Arial" w:hAnsi="Arial" w:cs="Arial"/>
                <w:b/>
                <w:sz w:val="28"/>
                <w:szCs w:val="28"/>
              </w:rPr>
            </w:pPr>
            <w:r w:rsidRPr="00CA268A">
              <w:rPr>
                <w:rFonts w:ascii="Arial" w:hAnsi="Arial" w:cs="Arial"/>
                <w:b/>
                <w:sz w:val="28"/>
                <w:szCs w:val="28"/>
              </w:rPr>
              <w:t>Oregon Department of Environmental Quality</w:t>
            </w:r>
          </w:p>
          <w:p w:rsidR="00CA268A" w:rsidRPr="00CA268A" w:rsidRDefault="00CA268A" w:rsidP="00CA268A">
            <w:pPr>
              <w:rPr>
                <w:rFonts w:ascii="Arial" w:hAnsi="Arial" w:cs="Arial"/>
                <w:b/>
                <w:sz w:val="28"/>
                <w:szCs w:val="28"/>
              </w:rPr>
            </w:pPr>
            <w:r w:rsidRPr="00CA268A">
              <w:rPr>
                <w:rFonts w:ascii="Arial" w:hAnsi="Arial" w:cs="Arial"/>
                <w:b/>
                <w:sz w:val="28"/>
                <w:szCs w:val="28"/>
              </w:rPr>
              <w:t>811 SW 6</w:t>
            </w:r>
            <w:r w:rsidRPr="00CA268A">
              <w:rPr>
                <w:rFonts w:ascii="Arial" w:hAnsi="Arial" w:cs="Arial"/>
                <w:b/>
                <w:sz w:val="28"/>
                <w:szCs w:val="28"/>
                <w:vertAlign w:val="superscript"/>
              </w:rPr>
              <w:t>th</w:t>
            </w:r>
            <w:r w:rsidRPr="00CA268A">
              <w:rPr>
                <w:rFonts w:ascii="Arial" w:hAnsi="Arial" w:cs="Arial"/>
                <w:b/>
                <w:sz w:val="28"/>
                <w:szCs w:val="28"/>
              </w:rPr>
              <w:t xml:space="preserve"> Avenue</w:t>
            </w:r>
          </w:p>
          <w:p w:rsidR="00CA268A" w:rsidRPr="00CA268A" w:rsidRDefault="00CA268A" w:rsidP="00CA268A">
            <w:pPr>
              <w:rPr>
                <w:rFonts w:ascii="Arial" w:hAnsi="Arial" w:cs="Arial"/>
                <w:b/>
                <w:sz w:val="28"/>
                <w:szCs w:val="28"/>
              </w:rPr>
            </w:pPr>
            <w:r w:rsidRPr="00CA268A">
              <w:rPr>
                <w:rFonts w:ascii="Arial" w:hAnsi="Arial" w:cs="Arial"/>
                <w:b/>
                <w:sz w:val="28"/>
                <w:szCs w:val="28"/>
              </w:rPr>
              <w:t>Portland OR 97204</w:t>
            </w:r>
          </w:p>
        </w:tc>
      </w:tr>
      <w:tr w:rsidR="00CA268A" w:rsidRPr="00CA268A" w:rsidTr="00C20DEC">
        <w:trPr>
          <w:trHeight w:val="45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E3210D">
            <w:pPr>
              <w:rPr>
                <w:rFonts w:ascii="Arial" w:hAnsi="Arial" w:cs="Arial"/>
                <w:b/>
                <w:sz w:val="28"/>
                <w:szCs w:val="28"/>
              </w:rPr>
            </w:pPr>
            <w:r w:rsidRPr="00CA268A">
              <w:rPr>
                <w:rFonts w:ascii="Arial" w:hAnsi="Arial" w:cs="Arial"/>
                <w:b/>
                <w:sz w:val="28"/>
                <w:szCs w:val="28"/>
              </w:rPr>
              <w:t xml:space="preserve">Contact: </w:t>
            </w:r>
            <w:r w:rsidR="00E3210D">
              <w:rPr>
                <w:rFonts w:ascii="Arial" w:hAnsi="Arial" w:cs="Arial"/>
                <w:b/>
                <w:sz w:val="28"/>
                <w:szCs w:val="28"/>
              </w:rPr>
              <w:t>George Davis</w:t>
            </w:r>
          </w:p>
        </w:tc>
      </w:tr>
      <w:tr w:rsidR="00CA268A" w:rsidRPr="00CA268A" w:rsidTr="00C20DEC">
        <w:trPr>
          <w:gridAfter w:val="1"/>
          <w:wAfter w:w="8220" w:type="dxa"/>
          <w:trHeight w:val="322"/>
        </w:trPr>
        <w:tc>
          <w:tcPr>
            <w:tcW w:w="1356" w:type="dxa"/>
            <w:vMerge/>
          </w:tcPr>
          <w:p w:rsidR="00CA268A" w:rsidRPr="00CA268A" w:rsidRDefault="00CA268A" w:rsidP="00CA268A">
            <w:pPr>
              <w:rPr>
                <w:rFonts w:ascii="Times New Roman" w:hAnsi="Times New Roman" w:cs="Times New Roman"/>
                <w:b/>
              </w:rPr>
            </w:pPr>
          </w:p>
        </w:tc>
      </w:tr>
    </w:tbl>
    <w:p w:rsidR="007901ED" w:rsidRPr="00CA268A" w:rsidRDefault="007901ED" w:rsidP="007E3A69">
      <w:pPr>
        <w:spacing w:after="0" w:line="240" w:lineRule="auto"/>
        <w:rPr>
          <w:rFonts w:ascii="Times New Roman" w:hAnsi="Times New Roman" w:cs="Times New Roman"/>
          <w:b/>
        </w:rPr>
      </w:pPr>
    </w:p>
    <w:p w:rsidR="00D11B60"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Introduction</w:t>
      </w:r>
    </w:p>
    <w:p w:rsidR="00165889"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DEQ proposes </w:t>
      </w:r>
      <w:r w:rsidR="00906BE4" w:rsidRPr="00CA268A">
        <w:rPr>
          <w:rFonts w:ascii="Times New Roman" w:hAnsi="Times New Roman" w:cs="Times New Roman"/>
        </w:rPr>
        <w:t>mostly</w:t>
      </w:r>
      <w:r w:rsidRPr="00CA268A">
        <w:rPr>
          <w:rFonts w:ascii="Times New Roman" w:hAnsi="Times New Roman" w:cs="Times New Roman"/>
        </w:rPr>
        <w:t xml:space="preserve"> minor changes to the rules that implement the </w:t>
      </w:r>
      <w:r w:rsidR="002C0E3A" w:rsidRPr="00CA268A">
        <w:rPr>
          <w:rFonts w:ascii="Times New Roman" w:hAnsi="Times New Roman" w:cs="Times New Roman"/>
        </w:rPr>
        <w:t>New Source Review</w:t>
      </w:r>
      <w:r w:rsidR="00104607" w:rsidRPr="00CA268A">
        <w:rPr>
          <w:rStyle w:val="FootnoteReference"/>
          <w:rFonts w:ascii="Times New Roman" w:hAnsi="Times New Roman" w:cs="Times New Roman"/>
        </w:rPr>
        <w:footnoteReference w:id="1"/>
      </w:r>
      <w:r w:rsidR="00C8254A" w:rsidRPr="00CA268A">
        <w:rPr>
          <w:rFonts w:ascii="Times New Roman" w:hAnsi="Times New Roman" w:cs="Times New Roman"/>
        </w:rPr>
        <w:t xml:space="preserve"> </w:t>
      </w:r>
      <w:r w:rsidRPr="00CA268A">
        <w:rPr>
          <w:rFonts w:ascii="Times New Roman" w:hAnsi="Times New Roman" w:cs="Times New Roman"/>
        </w:rPr>
        <w:t>program in Oregon</w:t>
      </w:r>
      <w:r w:rsidR="00906BE4" w:rsidRPr="00CA268A">
        <w:rPr>
          <w:rFonts w:ascii="Times New Roman" w:hAnsi="Times New Roman" w:cs="Times New Roman"/>
        </w:rPr>
        <w:t xml:space="preserve">, but the proposed rules also include a </w:t>
      </w:r>
      <w:r w:rsidR="0044298E" w:rsidRPr="00CA268A">
        <w:rPr>
          <w:rFonts w:ascii="Times New Roman" w:hAnsi="Times New Roman" w:cs="Times New Roman"/>
        </w:rPr>
        <w:t>few</w:t>
      </w:r>
      <w:r w:rsidR="00906BE4" w:rsidRPr="00CA268A">
        <w:rPr>
          <w:rFonts w:ascii="Times New Roman" w:hAnsi="Times New Roman" w:cs="Times New Roman"/>
        </w:rPr>
        <w:t xml:space="preserve"> significant changes</w:t>
      </w:r>
      <w:r w:rsidR="00C038E4" w:rsidRPr="00CA268A">
        <w:rPr>
          <w:rFonts w:ascii="Times New Roman" w:hAnsi="Times New Roman" w:cs="Times New Roman"/>
        </w:rPr>
        <w:t xml:space="preserve">. </w:t>
      </w:r>
      <w:r w:rsidRPr="00CA268A">
        <w:rPr>
          <w:rFonts w:ascii="Times New Roman" w:hAnsi="Times New Roman" w:cs="Times New Roman"/>
        </w:rPr>
        <w:t>The minor changes include reorganizing the rules so that elements of the program are grouped together, as well as providing clarification for some of the provisions</w:t>
      </w:r>
      <w:r w:rsidR="00C038E4" w:rsidRPr="00CA268A">
        <w:rPr>
          <w:rFonts w:ascii="Times New Roman" w:hAnsi="Times New Roman" w:cs="Times New Roman"/>
        </w:rPr>
        <w:t xml:space="preserve">. </w:t>
      </w:r>
      <w:r w:rsidR="005246F4" w:rsidRPr="00CA268A">
        <w:rPr>
          <w:rFonts w:ascii="Times New Roman" w:hAnsi="Times New Roman" w:cs="Times New Roman"/>
        </w:rPr>
        <w:t>The</w:t>
      </w:r>
      <w:r w:rsidRPr="00CA268A">
        <w:rPr>
          <w:rFonts w:ascii="Times New Roman" w:hAnsi="Times New Roman" w:cs="Times New Roman"/>
        </w:rPr>
        <w:t xml:space="preserve"> two significant changes </w:t>
      </w:r>
      <w:r w:rsidR="005246F4" w:rsidRPr="00CA268A">
        <w:rPr>
          <w:rFonts w:ascii="Times New Roman" w:hAnsi="Times New Roman" w:cs="Times New Roman"/>
        </w:rPr>
        <w:t>include</w:t>
      </w:r>
      <w:r w:rsidR="0044298E" w:rsidRPr="00CA268A">
        <w:rPr>
          <w:rFonts w:ascii="Times New Roman" w:hAnsi="Times New Roman" w:cs="Times New Roman"/>
        </w:rPr>
        <w:t xml:space="preserve">: </w:t>
      </w:r>
      <w:r w:rsidRPr="00CA268A">
        <w:rPr>
          <w:rFonts w:ascii="Times New Roman" w:hAnsi="Times New Roman" w:cs="Times New Roman"/>
        </w:rPr>
        <w:t xml:space="preserve"> 1) </w:t>
      </w:r>
      <w:r w:rsidR="0048523B" w:rsidRPr="00CA268A">
        <w:rPr>
          <w:rFonts w:ascii="Times New Roman" w:hAnsi="Times New Roman" w:cs="Times New Roman"/>
        </w:rPr>
        <w:t xml:space="preserve">replacing the current definition of a </w:t>
      </w:r>
      <w:r w:rsidRPr="00CA268A">
        <w:rPr>
          <w:rFonts w:ascii="Times New Roman" w:hAnsi="Times New Roman" w:cs="Times New Roman"/>
        </w:rPr>
        <w:t>major source</w:t>
      </w:r>
      <w:r w:rsidR="0048523B" w:rsidRPr="00CA268A">
        <w:rPr>
          <w:rFonts w:ascii="Times New Roman" w:hAnsi="Times New Roman" w:cs="Times New Roman"/>
        </w:rPr>
        <w:t xml:space="preserve"> in nonattainment areas with the federal definition (this change would also apply to maintenance areas)</w:t>
      </w:r>
      <w:r w:rsidR="005246F4" w:rsidRPr="00CA268A">
        <w:rPr>
          <w:rFonts w:ascii="Times New Roman" w:hAnsi="Times New Roman" w:cs="Times New Roman"/>
        </w:rPr>
        <w:t>; and 2)</w:t>
      </w:r>
      <w:r w:rsidRPr="00CA268A">
        <w:rPr>
          <w:rFonts w:ascii="Times New Roman" w:hAnsi="Times New Roman" w:cs="Times New Roman"/>
        </w:rPr>
        <w:t xml:space="preserve"> </w:t>
      </w:r>
      <w:r w:rsidR="0048523B" w:rsidRPr="00CA268A">
        <w:rPr>
          <w:rFonts w:ascii="Times New Roman" w:hAnsi="Times New Roman" w:cs="Times New Roman"/>
        </w:rPr>
        <w:t xml:space="preserve">revising the procedures for demonstrating </w:t>
      </w:r>
      <w:r w:rsidRPr="00CA268A">
        <w:rPr>
          <w:rFonts w:ascii="Times New Roman" w:hAnsi="Times New Roman" w:cs="Times New Roman"/>
        </w:rPr>
        <w:t>“net air quality benefit” when offsets are required for NSR actions in nonattainment and maintenance areas</w:t>
      </w:r>
      <w:r w:rsidR="00C038E4" w:rsidRPr="00CA268A">
        <w:rPr>
          <w:rFonts w:ascii="Times New Roman" w:hAnsi="Times New Roman" w:cs="Times New Roman"/>
        </w:rPr>
        <w:t xml:space="preserve">. </w:t>
      </w:r>
    </w:p>
    <w:p w:rsidR="00D11B60" w:rsidRPr="00CA268A" w:rsidRDefault="00D11B60" w:rsidP="007E3A69">
      <w:pPr>
        <w:spacing w:after="0" w:line="240" w:lineRule="auto"/>
        <w:rPr>
          <w:rFonts w:ascii="Times New Roman" w:hAnsi="Times New Roman" w:cs="Times New Roman"/>
        </w:rPr>
      </w:pPr>
    </w:p>
    <w:p w:rsidR="007B161B"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In addition to the changes identified above, DEQ proposes establishing two new designations </w:t>
      </w:r>
      <w:r w:rsidR="001F66C7" w:rsidRPr="00CA268A">
        <w:rPr>
          <w:rFonts w:ascii="Times New Roman" w:hAnsi="Times New Roman" w:cs="Times New Roman"/>
        </w:rPr>
        <w:t xml:space="preserve">for the air quality in </w:t>
      </w:r>
      <w:r w:rsidR="00571832" w:rsidRPr="00CA268A">
        <w:rPr>
          <w:rFonts w:ascii="Times New Roman" w:hAnsi="Times New Roman" w:cs="Times New Roman"/>
        </w:rPr>
        <w:t xml:space="preserve">a </w:t>
      </w:r>
      <w:r w:rsidR="001F66C7" w:rsidRPr="00CA268A">
        <w:rPr>
          <w:rFonts w:ascii="Times New Roman" w:hAnsi="Times New Roman" w:cs="Times New Roman"/>
        </w:rPr>
        <w:t>localized area</w:t>
      </w:r>
      <w:r w:rsidR="00C038E4" w:rsidRPr="00CA268A">
        <w:rPr>
          <w:rFonts w:ascii="Times New Roman" w:hAnsi="Times New Roman" w:cs="Times New Roman"/>
        </w:rPr>
        <w:t xml:space="preserve">. </w:t>
      </w:r>
      <w:r w:rsidR="001F66C7" w:rsidRPr="00CA268A">
        <w:rPr>
          <w:rFonts w:ascii="Times New Roman" w:hAnsi="Times New Roman" w:cs="Times New Roman"/>
        </w:rPr>
        <w:t>Currently, there are three designations used in the Oregon rules</w:t>
      </w:r>
      <w:r w:rsidR="00C038E4" w:rsidRPr="00CA268A">
        <w:rPr>
          <w:rFonts w:ascii="Times New Roman" w:hAnsi="Times New Roman" w:cs="Times New Roman"/>
        </w:rPr>
        <w:t xml:space="preserve">. </w:t>
      </w:r>
      <w:r w:rsidR="002C0E3A" w:rsidRPr="00CA268A">
        <w:rPr>
          <w:rFonts w:ascii="Times New Roman" w:hAnsi="Times New Roman" w:cs="Times New Roman"/>
          <w:i/>
        </w:rPr>
        <w:t xml:space="preserve">Attainment </w:t>
      </w:r>
      <w:r w:rsidR="001F66C7" w:rsidRPr="00CA268A">
        <w:rPr>
          <w:rFonts w:ascii="Times New Roman" w:hAnsi="Times New Roman" w:cs="Times New Roman"/>
          <w:i/>
        </w:rPr>
        <w:t>or unclassified areas</w:t>
      </w:r>
      <w:r w:rsidR="001F66C7" w:rsidRPr="00CA268A">
        <w:rPr>
          <w:rFonts w:ascii="Times New Roman" w:hAnsi="Times New Roman" w:cs="Times New Roman"/>
        </w:rPr>
        <w:t xml:space="preserve"> are areas where the air quality is below</w:t>
      </w:r>
      <w:r w:rsidR="00CE15D9" w:rsidRPr="00CA268A">
        <w:rPr>
          <w:rFonts w:ascii="Times New Roman" w:hAnsi="Times New Roman" w:cs="Times New Roman"/>
        </w:rPr>
        <w:t>, or is presumed to be below,</w:t>
      </w:r>
      <w:r w:rsidR="001F66C7" w:rsidRPr="00CA268A">
        <w:rPr>
          <w:rFonts w:ascii="Times New Roman" w:hAnsi="Times New Roman" w:cs="Times New Roman"/>
        </w:rPr>
        <w:t xml:space="preserve"> the Ambien</w:t>
      </w:r>
      <w:r w:rsidR="007B161B" w:rsidRPr="00CA268A">
        <w:rPr>
          <w:rFonts w:ascii="Times New Roman" w:hAnsi="Times New Roman" w:cs="Times New Roman"/>
        </w:rPr>
        <w:t>t</w:t>
      </w:r>
      <w:r w:rsidR="002C0E3A" w:rsidRPr="00CA268A">
        <w:rPr>
          <w:rFonts w:ascii="Times New Roman" w:hAnsi="Times New Roman" w:cs="Times New Roman"/>
        </w:rPr>
        <w:t xml:space="preserve"> Air Quality Standard</w:t>
      </w:r>
      <w:r w:rsidR="00217463" w:rsidRPr="00CA268A">
        <w:rPr>
          <w:rFonts w:ascii="Times New Roman" w:hAnsi="Times New Roman" w:cs="Times New Roman"/>
        </w:rPr>
        <w:t>s</w:t>
      </w:r>
      <w:r w:rsidR="005C2D03">
        <w:rPr>
          <w:rFonts w:ascii="Times New Roman" w:hAnsi="Times New Roman" w:cs="Times New Roman"/>
        </w:rPr>
        <w:t xml:space="preserve"> (AAQS)</w:t>
      </w:r>
      <w:r w:rsidR="00C038E4" w:rsidRPr="00CA268A">
        <w:rPr>
          <w:rFonts w:ascii="Times New Roman" w:hAnsi="Times New Roman" w:cs="Times New Roman"/>
        </w:rPr>
        <w:t xml:space="preserve">. </w:t>
      </w:r>
      <w:r w:rsidR="001F66C7" w:rsidRPr="00CA268A">
        <w:rPr>
          <w:rFonts w:ascii="Times New Roman" w:hAnsi="Times New Roman" w:cs="Times New Roman"/>
          <w:i/>
        </w:rPr>
        <w:t>Nonattainment areas</w:t>
      </w:r>
      <w:r w:rsidR="001F66C7" w:rsidRPr="00CA268A">
        <w:rPr>
          <w:rFonts w:ascii="Times New Roman" w:hAnsi="Times New Roman" w:cs="Times New Roman"/>
        </w:rPr>
        <w:t xml:space="preserve"> are areas where the air quality does not meet the </w:t>
      </w:r>
      <w:r w:rsidR="004F6043">
        <w:rPr>
          <w:rFonts w:ascii="Times New Roman" w:hAnsi="Times New Roman" w:cs="Times New Roman"/>
        </w:rPr>
        <w:t>AAQS</w:t>
      </w:r>
      <w:r w:rsidR="006439ED">
        <w:rPr>
          <w:rFonts w:ascii="Times New Roman" w:hAnsi="Times New Roman" w:cs="Times New Roman"/>
        </w:rPr>
        <w:t xml:space="preserve"> for a particular pollutant</w:t>
      </w:r>
      <w:r w:rsidR="00C32EC4" w:rsidRPr="00CA268A">
        <w:rPr>
          <w:rFonts w:ascii="Times New Roman" w:hAnsi="Times New Roman" w:cs="Times New Roman"/>
        </w:rPr>
        <w:t xml:space="preserve"> and have been formally designated nonattainment by EPA</w:t>
      </w:r>
      <w:r w:rsidR="00C038E4" w:rsidRPr="00CA268A">
        <w:rPr>
          <w:rFonts w:ascii="Times New Roman" w:hAnsi="Times New Roman" w:cs="Times New Roman"/>
        </w:rPr>
        <w:t xml:space="preserve">. </w:t>
      </w:r>
      <w:r w:rsidR="001F66C7" w:rsidRPr="00CA268A">
        <w:rPr>
          <w:rFonts w:ascii="Times New Roman" w:hAnsi="Times New Roman" w:cs="Times New Roman"/>
        </w:rPr>
        <w:t>Once designated as nonattainment, an area remains designated as nonattainment until DEQ requests and E</w:t>
      </w:r>
      <w:r w:rsidR="002C0E3A" w:rsidRPr="00CA268A">
        <w:rPr>
          <w:rFonts w:ascii="Times New Roman" w:hAnsi="Times New Roman" w:cs="Times New Roman"/>
        </w:rPr>
        <w:t>PA approves that the area be re</w:t>
      </w:r>
      <w:r w:rsidR="001F66C7" w:rsidRPr="00CA268A">
        <w:rPr>
          <w:rFonts w:ascii="Times New Roman" w:hAnsi="Times New Roman" w:cs="Times New Roman"/>
        </w:rPr>
        <w:t>designated as an attainment area</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The redesignation includes the development and implementation of a maintenance plan to ensure that the area will not become a </w:t>
      </w:r>
      <w:r w:rsidR="007B161B" w:rsidRPr="00CA268A">
        <w:rPr>
          <w:rFonts w:ascii="Times New Roman" w:hAnsi="Times New Roman" w:cs="Times New Roman"/>
        </w:rPr>
        <w:t>n</w:t>
      </w:r>
      <w:r w:rsidR="001F66C7" w:rsidRPr="00CA268A">
        <w:rPr>
          <w:rFonts w:ascii="Times New Roman" w:hAnsi="Times New Roman" w:cs="Times New Roman"/>
        </w:rPr>
        <w:t xml:space="preserve">onattainment </w:t>
      </w:r>
      <w:r w:rsidR="007B161B" w:rsidRPr="00CA268A">
        <w:rPr>
          <w:rFonts w:ascii="Times New Roman" w:hAnsi="Times New Roman" w:cs="Times New Roman"/>
        </w:rPr>
        <w:t>a</w:t>
      </w:r>
      <w:r w:rsidR="001F66C7" w:rsidRPr="00CA268A">
        <w:rPr>
          <w:rFonts w:ascii="Times New Roman" w:hAnsi="Times New Roman" w:cs="Times New Roman"/>
        </w:rPr>
        <w:t>rea again</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Hence, DEQ </w:t>
      </w:r>
      <w:r w:rsidR="007B161B" w:rsidRPr="00CA268A">
        <w:rPr>
          <w:rFonts w:ascii="Times New Roman" w:hAnsi="Times New Roman" w:cs="Times New Roman"/>
        </w:rPr>
        <w:t xml:space="preserve">rules </w:t>
      </w:r>
      <w:r w:rsidR="001F66C7" w:rsidRPr="00CA268A">
        <w:rPr>
          <w:rFonts w:ascii="Times New Roman" w:hAnsi="Times New Roman" w:cs="Times New Roman"/>
        </w:rPr>
        <w:t xml:space="preserve">refer to redesignated areas as </w:t>
      </w:r>
      <w:r w:rsidR="002C0E3A" w:rsidRPr="00CA268A">
        <w:rPr>
          <w:rFonts w:ascii="Times New Roman" w:hAnsi="Times New Roman" w:cs="Times New Roman"/>
          <w:i/>
        </w:rPr>
        <w:t>m</w:t>
      </w:r>
      <w:r w:rsidR="001F66C7" w:rsidRPr="00CA268A">
        <w:rPr>
          <w:rFonts w:ascii="Times New Roman" w:hAnsi="Times New Roman" w:cs="Times New Roman"/>
          <w:i/>
        </w:rPr>
        <w:t xml:space="preserve">aintenance </w:t>
      </w:r>
      <w:r w:rsidR="007B161B" w:rsidRPr="00CA268A">
        <w:rPr>
          <w:rFonts w:ascii="Times New Roman" w:hAnsi="Times New Roman" w:cs="Times New Roman"/>
          <w:i/>
        </w:rPr>
        <w:t>a</w:t>
      </w:r>
      <w:r w:rsidR="001F66C7" w:rsidRPr="00CA268A">
        <w:rPr>
          <w:rFonts w:ascii="Times New Roman" w:hAnsi="Times New Roman" w:cs="Times New Roman"/>
          <w:i/>
        </w:rPr>
        <w:t>reas</w:t>
      </w:r>
      <w:r w:rsidR="00C038E4" w:rsidRPr="00CA268A">
        <w:rPr>
          <w:rFonts w:ascii="Times New Roman" w:hAnsi="Times New Roman" w:cs="Times New Roman"/>
        </w:rPr>
        <w:t xml:space="preserve">. </w:t>
      </w:r>
    </w:p>
    <w:p w:rsidR="007B161B" w:rsidRPr="00CA268A" w:rsidRDefault="007B161B" w:rsidP="007E3A69">
      <w:pPr>
        <w:spacing w:after="0" w:line="240" w:lineRule="auto"/>
        <w:rPr>
          <w:rFonts w:ascii="Times New Roman" w:hAnsi="Times New Roman" w:cs="Times New Roman"/>
        </w:rPr>
      </w:pPr>
    </w:p>
    <w:p w:rsidR="002306FE" w:rsidRPr="00CA268A" w:rsidRDefault="007B161B" w:rsidP="007E3A69">
      <w:pPr>
        <w:spacing w:after="0" w:line="240" w:lineRule="auto"/>
        <w:rPr>
          <w:rFonts w:ascii="Times New Roman" w:hAnsi="Times New Roman" w:cs="Times New Roman"/>
        </w:rPr>
      </w:pPr>
      <w:r w:rsidRPr="00CA268A">
        <w:rPr>
          <w:rFonts w:ascii="Times New Roman" w:hAnsi="Times New Roman" w:cs="Times New Roman"/>
        </w:rPr>
        <w:t xml:space="preserve">The new </w:t>
      </w:r>
      <w:r w:rsidR="002C0E3A" w:rsidRPr="00CA268A">
        <w:rPr>
          <w:rFonts w:ascii="Times New Roman" w:hAnsi="Times New Roman" w:cs="Times New Roman"/>
        </w:rPr>
        <w:t xml:space="preserve">area </w:t>
      </w:r>
      <w:r w:rsidRPr="00CA268A">
        <w:rPr>
          <w:rFonts w:ascii="Times New Roman" w:hAnsi="Times New Roman" w:cs="Times New Roman"/>
        </w:rPr>
        <w:t xml:space="preserve">designations proposed by DEQ are </w:t>
      </w:r>
      <w:r w:rsidR="00165889" w:rsidRPr="00CA268A">
        <w:rPr>
          <w:rFonts w:ascii="Times New Roman" w:hAnsi="Times New Roman" w:cs="Times New Roman"/>
        </w:rPr>
        <w:t>“</w:t>
      </w:r>
      <w:r w:rsidR="00165889" w:rsidRPr="00CA268A">
        <w:rPr>
          <w:rFonts w:ascii="Times New Roman" w:hAnsi="Times New Roman" w:cs="Times New Roman"/>
          <w:i/>
        </w:rPr>
        <w:t>Sustainment</w:t>
      </w:r>
      <w:r w:rsidR="00165889" w:rsidRPr="00CA268A">
        <w:rPr>
          <w:rFonts w:ascii="Times New Roman" w:hAnsi="Times New Roman" w:cs="Times New Roman"/>
        </w:rPr>
        <w:t>” and “</w:t>
      </w:r>
      <w:r w:rsidR="00165889" w:rsidRPr="00CA268A">
        <w:rPr>
          <w:rFonts w:ascii="Times New Roman" w:hAnsi="Times New Roman" w:cs="Times New Roman"/>
          <w:i/>
        </w:rPr>
        <w:t>Reattainment</w:t>
      </w:r>
      <w:r w:rsidR="00165889" w:rsidRPr="00CA268A">
        <w:rPr>
          <w:rFonts w:ascii="Times New Roman" w:hAnsi="Times New Roman" w:cs="Times New Roman"/>
        </w:rPr>
        <w:t>”</w:t>
      </w:r>
      <w:r w:rsidR="0006239C" w:rsidRPr="00CA268A">
        <w:rPr>
          <w:rFonts w:ascii="Times New Roman" w:hAnsi="Times New Roman" w:cs="Times New Roman"/>
        </w:rPr>
        <w:t xml:space="preserve"> areas</w:t>
      </w:r>
      <w:r w:rsidR="00C038E4" w:rsidRPr="00CA268A">
        <w:rPr>
          <w:rFonts w:ascii="Times New Roman" w:hAnsi="Times New Roman" w:cs="Times New Roman"/>
        </w:rPr>
        <w:t xml:space="preserve">. </w:t>
      </w:r>
      <w:r w:rsidRPr="00CA268A">
        <w:rPr>
          <w:rFonts w:ascii="Times New Roman" w:hAnsi="Times New Roman" w:cs="Times New Roman"/>
        </w:rPr>
        <w:t>Sustainment areas would be areas that</w:t>
      </w:r>
      <w:r w:rsidRPr="00CA268A">
        <w:rPr>
          <w:rFonts w:ascii="Arial" w:eastAsia="Times New Roman" w:hAnsi="Arial" w:cs="Arial"/>
          <w:b/>
          <w:spacing w:val="-3"/>
          <w:sz w:val="24"/>
          <w:szCs w:val="20"/>
        </w:rPr>
        <w:t xml:space="preserve"> </w:t>
      </w:r>
      <w:r w:rsidRPr="00CA268A">
        <w:rPr>
          <w:rFonts w:ascii="Times New Roman" w:hAnsi="Times New Roman" w:cs="Times New Roman"/>
        </w:rPr>
        <w:t xml:space="preserve">have ambient monitoring data indicating that an area is not meeting the </w:t>
      </w:r>
      <w:r w:rsidR="004F6043">
        <w:rPr>
          <w:rFonts w:ascii="Times New Roman" w:hAnsi="Times New Roman" w:cs="Times New Roman"/>
        </w:rPr>
        <w:t>AAQS</w:t>
      </w:r>
      <w:r w:rsidRPr="00CA268A">
        <w:rPr>
          <w:rFonts w:ascii="Times New Roman" w:hAnsi="Times New Roman" w:cs="Times New Roman"/>
        </w:rPr>
        <w:t xml:space="preserve"> or is very close to not meeting the </w:t>
      </w:r>
      <w:r w:rsidR="004F6043">
        <w:rPr>
          <w:rFonts w:ascii="Times New Roman" w:hAnsi="Times New Roman" w:cs="Times New Roman"/>
        </w:rPr>
        <w:t>AAQS</w:t>
      </w:r>
      <w:r w:rsidRPr="00CA268A">
        <w:rPr>
          <w:rFonts w:ascii="Times New Roman" w:hAnsi="Times New Roman" w:cs="Times New Roman"/>
        </w:rPr>
        <w:t>, but the area has not been formally designated as a nonattainment area</w:t>
      </w:r>
      <w:r w:rsidR="002306FE" w:rsidRPr="00CA268A">
        <w:rPr>
          <w:rFonts w:ascii="Times New Roman" w:hAnsi="Times New Roman" w:cs="Times New Roman"/>
        </w:rPr>
        <w:t xml:space="preserve"> by EPA</w:t>
      </w:r>
      <w:r w:rsidR="00C038E4" w:rsidRPr="00CA268A">
        <w:rPr>
          <w:rFonts w:ascii="Times New Roman" w:hAnsi="Times New Roman" w:cs="Times New Roman"/>
        </w:rPr>
        <w:t xml:space="preserve">. </w:t>
      </w:r>
      <w:r w:rsidRPr="00CA268A">
        <w:rPr>
          <w:rFonts w:ascii="Times New Roman" w:hAnsi="Times New Roman" w:cs="Times New Roman"/>
        </w:rPr>
        <w:t xml:space="preserve">Reattainment areas </w:t>
      </w:r>
      <w:r w:rsidR="002306FE" w:rsidRPr="00CA268A">
        <w:rPr>
          <w:rFonts w:ascii="Times New Roman" w:hAnsi="Times New Roman" w:cs="Times New Roman"/>
        </w:rPr>
        <w:t xml:space="preserve">would be areas that are currently designated as nonattainment areas, but there is sufficient ambient monitoring data indicating that the area is meeting the </w:t>
      </w:r>
      <w:r w:rsidR="004F6043">
        <w:rPr>
          <w:rFonts w:ascii="Times New Roman" w:hAnsi="Times New Roman" w:cs="Times New Roman"/>
        </w:rPr>
        <w:t>AAQS</w:t>
      </w:r>
      <w:r w:rsidR="00C038E4" w:rsidRPr="00CA268A">
        <w:rPr>
          <w:rFonts w:ascii="Times New Roman" w:hAnsi="Times New Roman" w:cs="Times New Roman"/>
        </w:rPr>
        <w:t xml:space="preserve">. </w:t>
      </w:r>
      <w:r w:rsidR="00C50F4F">
        <w:rPr>
          <w:rFonts w:ascii="Times New Roman" w:hAnsi="Times New Roman" w:cs="Times New Roman"/>
        </w:rPr>
        <w:t xml:space="preserve">These areas would be designated by the state and would be overlaid on the formal EPA area designations. </w:t>
      </w:r>
      <w:r w:rsidR="002306FE" w:rsidRPr="00CA268A">
        <w:rPr>
          <w:rFonts w:ascii="Times New Roman" w:hAnsi="Times New Roman" w:cs="Times New Roman"/>
        </w:rPr>
        <w:t xml:space="preserve">For </w:t>
      </w:r>
      <w:r w:rsidR="00571832" w:rsidRPr="00CA268A">
        <w:rPr>
          <w:rFonts w:ascii="Times New Roman" w:hAnsi="Times New Roman" w:cs="Times New Roman"/>
        </w:rPr>
        <w:t>s</w:t>
      </w:r>
      <w:r w:rsidR="002306FE" w:rsidRPr="00CA268A">
        <w:rPr>
          <w:rFonts w:ascii="Times New Roman" w:hAnsi="Times New Roman" w:cs="Times New Roman"/>
        </w:rPr>
        <w:t>ustainment areas, DEQ is proposing NSR rules that will help to prevent an area from becoming formally designated as a nonattainment area</w:t>
      </w:r>
      <w:r w:rsidR="00567513" w:rsidRPr="00CA268A">
        <w:rPr>
          <w:rStyle w:val="FootnoteReference"/>
          <w:rFonts w:ascii="Times New Roman" w:hAnsi="Times New Roman" w:cs="Times New Roman"/>
        </w:rPr>
        <w:footnoteReference w:id="2"/>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w:t>
      </w:r>
      <w:r w:rsidR="00571832" w:rsidRPr="00CA268A">
        <w:rPr>
          <w:rFonts w:ascii="Times New Roman" w:hAnsi="Times New Roman" w:cs="Times New Roman"/>
        </w:rPr>
        <w:t>r</w:t>
      </w:r>
      <w:r w:rsidR="002306FE" w:rsidRPr="00CA268A">
        <w:rPr>
          <w:rFonts w:ascii="Times New Roman" w:hAnsi="Times New Roman" w:cs="Times New Roman"/>
        </w:rPr>
        <w:t>eattainment areas, DEQ is proposing rules that will serve as a bridge between nonattainment and maintenance area NSR rules</w:t>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both areas, the proposed NSR rules are designed to provide incentives for new or modified sources to obtain offsets from </w:t>
      </w:r>
      <w:r w:rsidR="00C51EE7" w:rsidRPr="00CA268A">
        <w:rPr>
          <w:rFonts w:ascii="Times New Roman" w:hAnsi="Times New Roman" w:cs="Times New Roman"/>
        </w:rPr>
        <w:t>“</w:t>
      </w:r>
      <w:r w:rsidR="001F0B7B" w:rsidRPr="00CA268A">
        <w:rPr>
          <w:rFonts w:ascii="Times New Roman" w:hAnsi="Times New Roman" w:cs="Times New Roman"/>
        </w:rPr>
        <w:t>priority</w:t>
      </w:r>
      <w:r w:rsidR="00C51EE7" w:rsidRPr="00CA268A">
        <w:rPr>
          <w:rFonts w:ascii="Times New Roman" w:hAnsi="Times New Roman" w:cs="Times New Roman"/>
        </w:rPr>
        <w:t>”</w:t>
      </w:r>
      <w:r w:rsidR="001F0B7B" w:rsidRPr="00CA268A">
        <w:rPr>
          <w:rFonts w:ascii="Times New Roman" w:hAnsi="Times New Roman" w:cs="Times New Roman"/>
        </w:rPr>
        <w:t xml:space="preserve"> sources</w:t>
      </w:r>
      <w:r w:rsidR="002306FE" w:rsidRPr="00CA268A">
        <w:rPr>
          <w:rFonts w:ascii="Times New Roman" w:hAnsi="Times New Roman" w:cs="Times New Roman"/>
        </w:rPr>
        <w:t xml:space="preserve"> </w:t>
      </w:r>
      <w:r w:rsidR="00C51EE7" w:rsidRPr="00CA268A">
        <w:rPr>
          <w:rFonts w:ascii="Times New Roman" w:hAnsi="Times New Roman" w:cs="Times New Roman"/>
        </w:rPr>
        <w:t xml:space="preserve">(sources </w:t>
      </w:r>
      <w:r w:rsidR="002306FE" w:rsidRPr="00CA268A">
        <w:rPr>
          <w:rFonts w:ascii="Times New Roman" w:hAnsi="Times New Roman" w:cs="Times New Roman"/>
        </w:rPr>
        <w:t>that are considered to be significantly contributing to the air quality problems in the area</w:t>
      </w:r>
      <w:r w:rsidR="00C51EE7" w:rsidRPr="00CA268A">
        <w:rPr>
          <w:rFonts w:ascii="Times New Roman" w:hAnsi="Times New Roman" w:cs="Times New Roman"/>
        </w:rPr>
        <w:t>)</w:t>
      </w:r>
      <w:r w:rsidR="00C038E4" w:rsidRPr="00CA268A">
        <w:rPr>
          <w:rFonts w:ascii="Times New Roman" w:hAnsi="Times New Roman" w:cs="Times New Roman"/>
        </w:rPr>
        <w:t xml:space="preserve">. </w:t>
      </w:r>
      <w:r w:rsidR="001F0B7B" w:rsidRPr="00CA268A">
        <w:rPr>
          <w:rFonts w:ascii="Times New Roman" w:hAnsi="Times New Roman" w:cs="Times New Roman"/>
        </w:rPr>
        <w:t>However, major sources, as defined by EPA</w:t>
      </w:r>
      <w:r w:rsidR="00C50F4F">
        <w:rPr>
          <w:rFonts w:ascii="Times New Roman" w:hAnsi="Times New Roman" w:cs="Times New Roman"/>
        </w:rPr>
        <w:t>,</w:t>
      </w:r>
      <w:r w:rsidR="001F0B7B" w:rsidRPr="00CA268A">
        <w:rPr>
          <w:rFonts w:ascii="Times New Roman" w:hAnsi="Times New Roman" w:cs="Times New Roman"/>
        </w:rPr>
        <w:t xml:space="preserve"> would still have to comply, at a minimum, with the NSR rules specified for the area as it is designated by EPA.</w:t>
      </w:r>
    </w:p>
    <w:p w:rsidR="007901ED" w:rsidRPr="00CA268A" w:rsidRDefault="007901ED" w:rsidP="007901ED">
      <w:pPr>
        <w:rPr>
          <w:rFonts w:ascii="Times New Roman" w:hAnsi="Times New Roman" w:cs="Times New Roman"/>
          <w:b/>
        </w:rPr>
      </w:pPr>
    </w:p>
    <w:p w:rsidR="00D960FF"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lastRenderedPageBreak/>
        <w:t>Background</w:t>
      </w:r>
    </w:p>
    <w:p w:rsidR="00FB0CD3" w:rsidRPr="00CA268A" w:rsidRDefault="00D465FE" w:rsidP="007E3A69">
      <w:pPr>
        <w:spacing w:after="0" w:line="240" w:lineRule="auto"/>
        <w:rPr>
          <w:rFonts w:ascii="Times New Roman" w:hAnsi="Times New Roman" w:cs="Times New Roman"/>
        </w:rPr>
      </w:pPr>
      <w:r w:rsidRPr="00CA268A">
        <w:rPr>
          <w:rFonts w:ascii="Times New Roman" w:hAnsi="Times New Roman" w:cs="Times New Roman"/>
        </w:rPr>
        <w:t xml:space="preserve">DEQ’s </w:t>
      </w:r>
      <w:r w:rsidR="00714221" w:rsidRPr="00CA268A">
        <w:rPr>
          <w:rFonts w:ascii="Times New Roman" w:hAnsi="Times New Roman" w:cs="Times New Roman"/>
        </w:rPr>
        <w:t xml:space="preserve">NSR </w:t>
      </w:r>
      <w:r w:rsidR="001F0B7B" w:rsidRPr="00CA268A">
        <w:rPr>
          <w:rFonts w:ascii="Times New Roman" w:hAnsi="Times New Roman" w:cs="Times New Roman"/>
        </w:rPr>
        <w:t>program was approved by EPA in the early 1980’s</w:t>
      </w:r>
      <w:r w:rsidR="00C038E4" w:rsidRPr="00CA268A">
        <w:rPr>
          <w:rFonts w:ascii="Times New Roman" w:hAnsi="Times New Roman" w:cs="Times New Roman"/>
        </w:rPr>
        <w:t xml:space="preserve">. </w:t>
      </w:r>
      <w:r w:rsidR="00570896" w:rsidRPr="00CA268A">
        <w:rPr>
          <w:rFonts w:ascii="Times New Roman" w:hAnsi="Times New Roman" w:cs="Times New Roman"/>
          <w:bCs/>
        </w:rPr>
        <w:t xml:space="preserve">This program regulates construction and modification of larger or major sources in the state. </w:t>
      </w:r>
      <w:r w:rsidRPr="00CA268A">
        <w:rPr>
          <w:rFonts w:ascii="Times New Roman" w:hAnsi="Times New Roman" w:cs="Times New Roman"/>
        </w:rPr>
        <w:t>It is a unique program that utilizes Plant Site Emissions Limits</w:t>
      </w:r>
      <w:r w:rsidR="001F0B7B" w:rsidRPr="00CA268A">
        <w:rPr>
          <w:rFonts w:ascii="Times New Roman" w:hAnsi="Times New Roman" w:cs="Times New Roman"/>
        </w:rPr>
        <w:t xml:space="preserve"> </w:t>
      </w:r>
      <w:r w:rsidRPr="00CA268A">
        <w:rPr>
          <w:rFonts w:ascii="Times New Roman" w:hAnsi="Times New Roman" w:cs="Times New Roman"/>
        </w:rPr>
        <w:t xml:space="preserve">and </w:t>
      </w:r>
      <w:r w:rsidR="00714221" w:rsidRPr="00CA268A">
        <w:rPr>
          <w:rFonts w:ascii="Times New Roman" w:hAnsi="Times New Roman" w:cs="Times New Roman"/>
        </w:rPr>
        <w:t>B</w:t>
      </w:r>
      <w:r w:rsidRPr="00CA268A">
        <w:rPr>
          <w:rFonts w:ascii="Times New Roman" w:hAnsi="Times New Roman" w:cs="Times New Roman"/>
        </w:rPr>
        <w:t xml:space="preserve">aseline </w:t>
      </w:r>
      <w:r w:rsidR="00714221" w:rsidRPr="00CA268A">
        <w:rPr>
          <w:rFonts w:ascii="Times New Roman" w:hAnsi="Times New Roman" w:cs="Times New Roman"/>
        </w:rPr>
        <w:t>E</w:t>
      </w:r>
      <w:r w:rsidRPr="00CA268A">
        <w:rPr>
          <w:rFonts w:ascii="Times New Roman" w:hAnsi="Times New Roman" w:cs="Times New Roman"/>
        </w:rPr>
        <w:t xml:space="preserve">mission </w:t>
      </w:r>
      <w:r w:rsidR="00714221" w:rsidRPr="00CA268A">
        <w:rPr>
          <w:rFonts w:ascii="Times New Roman" w:hAnsi="Times New Roman" w:cs="Times New Roman"/>
        </w:rPr>
        <w:t>R</w:t>
      </w:r>
      <w:r w:rsidRPr="00CA268A">
        <w:rPr>
          <w:rFonts w:ascii="Times New Roman" w:hAnsi="Times New Roman" w:cs="Times New Roman"/>
        </w:rPr>
        <w:t>ates for regulating source emissions, as well as determining when new and modi</w:t>
      </w:r>
      <w:r w:rsidR="00714221" w:rsidRPr="00CA268A">
        <w:rPr>
          <w:rFonts w:ascii="Times New Roman" w:hAnsi="Times New Roman" w:cs="Times New Roman"/>
        </w:rPr>
        <w:t>fied sources are subject to NSR</w:t>
      </w:r>
      <w:r w:rsidR="00C038E4" w:rsidRPr="00CA268A">
        <w:rPr>
          <w:rFonts w:ascii="Times New Roman" w:hAnsi="Times New Roman" w:cs="Times New Roman"/>
        </w:rPr>
        <w:t xml:space="preserve">. </w:t>
      </w:r>
      <w:r w:rsidR="00714221" w:rsidRPr="00CA268A">
        <w:rPr>
          <w:rFonts w:ascii="Times New Roman" w:hAnsi="Times New Roman" w:cs="Times New Roman"/>
        </w:rPr>
        <w:t>Initially, sources that were operating during the baseline period of 1977 or 1978 were granted a PSEL equal to the actual emissions during the baseline period (</w:t>
      </w:r>
      <w:r w:rsidR="005610F8" w:rsidRPr="00CA268A">
        <w:rPr>
          <w:rFonts w:ascii="Times New Roman" w:hAnsi="Times New Roman" w:cs="Times New Roman"/>
        </w:rPr>
        <w:t>i.e.</w:t>
      </w:r>
      <w:r w:rsidR="00623067" w:rsidRPr="00CA268A">
        <w:rPr>
          <w:rFonts w:ascii="Times New Roman" w:hAnsi="Times New Roman" w:cs="Times New Roman"/>
        </w:rPr>
        <w:t>,</w:t>
      </w:r>
      <w:r w:rsidR="005610F8" w:rsidRPr="00CA268A">
        <w:rPr>
          <w:rFonts w:ascii="Times New Roman" w:hAnsi="Times New Roman" w:cs="Times New Roman"/>
        </w:rPr>
        <w:t xml:space="preserve"> the</w:t>
      </w:r>
      <w:r w:rsidR="00714221" w:rsidRPr="00CA268A">
        <w:rPr>
          <w:rFonts w:ascii="Times New Roman" w:hAnsi="Times New Roman" w:cs="Times New Roman"/>
        </w:rPr>
        <w:t xml:space="preserve"> baseline emission rate)</w:t>
      </w:r>
      <w:r w:rsidR="00C038E4" w:rsidRPr="00CA268A">
        <w:rPr>
          <w:rFonts w:ascii="Times New Roman" w:hAnsi="Times New Roman" w:cs="Times New Roman"/>
        </w:rPr>
        <w:t xml:space="preserve">. </w:t>
      </w:r>
      <w:r w:rsidR="00714221" w:rsidRPr="00CA268A">
        <w:rPr>
          <w:rFonts w:ascii="Times New Roman" w:hAnsi="Times New Roman" w:cs="Times New Roman"/>
        </w:rPr>
        <w:t>If the source’s emissions remain</w:t>
      </w:r>
      <w:r w:rsidR="006F2246" w:rsidRPr="00CA268A">
        <w:rPr>
          <w:rFonts w:ascii="Times New Roman" w:hAnsi="Times New Roman" w:cs="Times New Roman"/>
        </w:rPr>
        <w:t>ed</w:t>
      </w:r>
      <w:r w:rsidR="00714221" w:rsidRPr="00CA268A">
        <w:rPr>
          <w:rFonts w:ascii="Times New Roman" w:hAnsi="Times New Roman" w:cs="Times New Roman"/>
        </w:rPr>
        <w:t xml:space="preserve"> at or below the baseline emission rate or </w:t>
      </w:r>
      <w:r w:rsidR="006F2246" w:rsidRPr="00CA268A">
        <w:rPr>
          <w:rFonts w:ascii="Times New Roman" w:hAnsi="Times New Roman" w:cs="Times New Roman"/>
        </w:rPr>
        <w:t>did not increase by more than a significant emission rate above the baseline emission rate, the source would not be subject to NSR</w:t>
      </w:r>
      <w:r w:rsidR="00C038E4" w:rsidRPr="00CA268A">
        <w:rPr>
          <w:rFonts w:ascii="Times New Roman" w:hAnsi="Times New Roman" w:cs="Times New Roman"/>
        </w:rPr>
        <w:t xml:space="preserve">. </w:t>
      </w:r>
    </w:p>
    <w:p w:rsidR="00FB0CD3" w:rsidRPr="00CA268A" w:rsidRDefault="00FB0CD3" w:rsidP="007E3A69">
      <w:pPr>
        <w:spacing w:after="0" w:line="240" w:lineRule="auto"/>
        <w:rPr>
          <w:rFonts w:ascii="Times New Roman" w:hAnsi="Times New Roman" w:cs="Times New Roman"/>
        </w:rPr>
      </w:pPr>
    </w:p>
    <w:p w:rsidR="00FB0CD3" w:rsidRPr="00CA268A" w:rsidRDefault="006F2246" w:rsidP="007E3A69">
      <w:pPr>
        <w:spacing w:after="0" w:line="240" w:lineRule="auto"/>
        <w:rPr>
          <w:rFonts w:ascii="Times New Roman" w:hAnsi="Times New Roman" w:cs="Times New Roman"/>
        </w:rPr>
      </w:pPr>
      <w:r w:rsidRPr="00CA268A">
        <w:rPr>
          <w:rFonts w:ascii="Times New Roman" w:hAnsi="Times New Roman" w:cs="Times New Roman"/>
        </w:rPr>
        <w:t xml:space="preserve">If a source requested an increase in their PSEL by more than a significant emission rate above the baseline emission rate, the source would be subject </w:t>
      </w:r>
      <w:r w:rsidR="00207D11" w:rsidRPr="00CA268A">
        <w:rPr>
          <w:rFonts w:ascii="Times New Roman" w:hAnsi="Times New Roman" w:cs="Times New Roman"/>
        </w:rPr>
        <w:t xml:space="preserve">to </w:t>
      </w:r>
      <w:r w:rsidRPr="00CA268A">
        <w:rPr>
          <w:rFonts w:ascii="Times New Roman" w:hAnsi="Times New Roman" w:cs="Times New Roman"/>
        </w:rPr>
        <w:t>NSR</w:t>
      </w:r>
      <w:r w:rsidR="00C038E4" w:rsidRPr="00CA268A">
        <w:rPr>
          <w:rFonts w:ascii="Times New Roman" w:hAnsi="Times New Roman" w:cs="Times New Roman"/>
        </w:rPr>
        <w:t xml:space="preserve">. </w:t>
      </w:r>
      <w:r w:rsidRPr="00CA268A">
        <w:rPr>
          <w:rFonts w:ascii="Times New Roman" w:hAnsi="Times New Roman" w:cs="Times New Roman"/>
        </w:rPr>
        <w:t xml:space="preserve">If the increase did not involve a “major modification”, the source </w:t>
      </w:r>
      <w:r w:rsidR="00086844" w:rsidRPr="00CA268A">
        <w:rPr>
          <w:rFonts w:ascii="Times New Roman" w:hAnsi="Times New Roman" w:cs="Times New Roman"/>
        </w:rPr>
        <w:t xml:space="preserve">was </w:t>
      </w:r>
      <w:r w:rsidR="00207D11" w:rsidRPr="00CA268A">
        <w:rPr>
          <w:rFonts w:ascii="Times New Roman" w:hAnsi="Times New Roman" w:cs="Times New Roman"/>
        </w:rPr>
        <w:t>required</w:t>
      </w:r>
      <w:r w:rsidRPr="00CA268A">
        <w:rPr>
          <w:rFonts w:ascii="Times New Roman" w:hAnsi="Times New Roman" w:cs="Times New Roman"/>
        </w:rPr>
        <w:t xml:space="preserve"> to </w:t>
      </w:r>
      <w:r w:rsidR="00207D11" w:rsidRPr="00CA268A">
        <w:rPr>
          <w:rFonts w:ascii="Times New Roman" w:hAnsi="Times New Roman" w:cs="Times New Roman"/>
        </w:rPr>
        <w:t xml:space="preserve">conduct </w:t>
      </w:r>
      <w:r w:rsidRPr="00CA268A">
        <w:rPr>
          <w:rFonts w:ascii="Times New Roman" w:hAnsi="Times New Roman" w:cs="Times New Roman"/>
        </w:rPr>
        <w:t>an air quality impact analysis</w:t>
      </w:r>
      <w:r w:rsidR="00575F92" w:rsidRPr="00CA268A">
        <w:rPr>
          <w:rFonts w:ascii="Times New Roman" w:hAnsi="Times New Roman" w:cs="Times New Roman"/>
        </w:rPr>
        <w:t xml:space="preserve"> in </w:t>
      </w:r>
      <w:r w:rsidR="005668CA" w:rsidRPr="00CA268A">
        <w:rPr>
          <w:rFonts w:ascii="Times New Roman" w:hAnsi="Times New Roman" w:cs="Times New Roman"/>
        </w:rPr>
        <w:t>attainment or unclassified areas</w:t>
      </w:r>
      <w:r w:rsidR="00207D11" w:rsidRPr="00CA268A">
        <w:rPr>
          <w:rFonts w:ascii="Times New Roman" w:hAnsi="Times New Roman" w:cs="Times New Roman"/>
        </w:rPr>
        <w:t xml:space="preserve"> </w:t>
      </w:r>
      <w:r w:rsidR="00575F92" w:rsidRPr="00CA268A">
        <w:rPr>
          <w:rFonts w:ascii="Times New Roman" w:hAnsi="Times New Roman" w:cs="Times New Roman"/>
        </w:rPr>
        <w:t>o</w:t>
      </w:r>
      <w:r w:rsidRPr="00CA268A">
        <w:rPr>
          <w:rFonts w:ascii="Times New Roman" w:hAnsi="Times New Roman" w:cs="Times New Roman"/>
        </w:rPr>
        <w:t xml:space="preserve">r obtain offsets </w:t>
      </w:r>
      <w:r w:rsidR="001F0B7B" w:rsidRPr="00CA268A">
        <w:rPr>
          <w:rFonts w:ascii="Times New Roman" w:hAnsi="Times New Roman" w:cs="Times New Roman"/>
        </w:rPr>
        <w:t xml:space="preserve">and demonstrate a “net air quality benefit” </w:t>
      </w:r>
      <w:r w:rsidRPr="00CA268A">
        <w:rPr>
          <w:rFonts w:ascii="Times New Roman" w:hAnsi="Times New Roman" w:cs="Times New Roman"/>
        </w:rPr>
        <w:t xml:space="preserve">in </w:t>
      </w:r>
      <w:r w:rsidR="005668CA" w:rsidRPr="00CA268A">
        <w:rPr>
          <w:rFonts w:ascii="Times New Roman" w:hAnsi="Times New Roman" w:cs="Times New Roman"/>
        </w:rPr>
        <w:t>nonattainment areas</w:t>
      </w:r>
      <w:r w:rsidR="00567513" w:rsidRPr="00CA268A">
        <w:rPr>
          <w:rStyle w:val="FootnoteReference"/>
          <w:rFonts w:ascii="Times New Roman" w:hAnsi="Times New Roman" w:cs="Times New Roman"/>
        </w:rPr>
        <w:footnoteReference w:id="3"/>
      </w:r>
      <w:r w:rsidR="00C038E4" w:rsidRPr="00CA268A">
        <w:rPr>
          <w:rFonts w:ascii="Times New Roman" w:hAnsi="Times New Roman" w:cs="Times New Roman"/>
        </w:rPr>
        <w:t xml:space="preserve">. </w:t>
      </w:r>
      <w:r w:rsidRPr="00CA268A">
        <w:rPr>
          <w:rFonts w:ascii="Times New Roman" w:hAnsi="Times New Roman" w:cs="Times New Roman"/>
        </w:rPr>
        <w:t>If the increase involved a “major modification”</w:t>
      </w:r>
      <w:r w:rsidR="001F0B7B" w:rsidRPr="00CA268A">
        <w:rPr>
          <w:rFonts w:ascii="Times New Roman" w:hAnsi="Times New Roman" w:cs="Times New Roman"/>
        </w:rPr>
        <w:t xml:space="preserve"> </w:t>
      </w:r>
      <w:r w:rsidR="00FB0CD3" w:rsidRPr="00CA268A">
        <w:rPr>
          <w:rFonts w:ascii="Times New Roman" w:hAnsi="Times New Roman" w:cs="Times New Roman"/>
        </w:rPr>
        <w:t xml:space="preserve">in an attainment or unclassified area </w:t>
      </w:r>
      <w:r w:rsidR="001F0B7B" w:rsidRPr="00CA268A">
        <w:rPr>
          <w:rFonts w:ascii="Times New Roman" w:hAnsi="Times New Roman" w:cs="Times New Roman"/>
        </w:rPr>
        <w:t>and the source was a federal major source</w:t>
      </w:r>
      <w:r w:rsidR="001F0B7B" w:rsidRPr="00CA268A">
        <w:rPr>
          <w:rStyle w:val="FootnoteReference"/>
          <w:rFonts w:ascii="Times New Roman" w:hAnsi="Times New Roman" w:cs="Times New Roman"/>
        </w:rPr>
        <w:footnoteReference w:id="4"/>
      </w:r>
      <w:r w:rsidRPr="00CA268A">
        <w:rPr>
          <w:rFonts w:ascii="Times New Roman" w:hAnsi="Times New Roman" w:cs="Times New Roman"/>
        </w:rPr>
        <w:t xml:space="preserve">, </w:t>
      </w:r>
      <w:r w:rsidR="00207D11" w:rsidRPr="00CA268A">
        <w:rPr>
          <w:rFonts w:ascii="Times New Roman" w:hAnsi="Times New Roman" w:cs="Times New Roman"/>
        </w:rPr>
        <w:t xml:space="preserve">the source was required to </w:t>
      </w:r>
      <w:r w:rsidR="002C0E3A" w:rsidRPr="00CA268A">
        <w:rPr>
          <w:rFonts w:ascii="Times New Roman" w:hAnsi="Times New Roman" w:cs="Times New Roman"/>
        </w:rPr>
        <w:t>install Best Available Control T</w:t>
      </w:r>
      <w:r w:rsidRPr="00CA268A">
        <w:rPr>
          <w:rFonts w:ascii="Times New Roman" w:hAnsi="Times New Roman" w:cs="Times New Roman"/>
        </w:rPr>
        <w:t>echnology</w:t>
      </w:r>
      <w:r w:rsidR="00C038E4" w:rsidRPr="00CA268A">
        <w:rPr>
          <w:rFonts w:ascii="Times New Roman" w:hAnsi="Times New Roman" w:cs="Times New Roman"/>
        </w:rPr>
        <w:t xml:space="preserve">. </w:t>
      </w:r>
      <w:r w:rsidR="001F0B7B" w:rsidRPr="00CA268A">
        <w:rPr>
          <w:rFonts w:ascii="Times New Roman" w:hAnsi="Times New Roman" w:cs="Times New Roman"/>
        </w:rPr>
        <w:t xml:space="preserve">If the increase involved a “major modification” </w:t>
      </w:r>
      <w:r w:rsidR="00FB0CD3" w:rsidRPr="00CA268A">
        <w:rPr>
          <w:rFonts w:ascii="Times New Roman" w:hAnsi="Times New Roman" w:cs="Times New Roman"/>
        </w:rPr>
        <w:t xml:space="preserve">in a nonattainment area </w:t>
      </w:r>
      <w:r w:rsidR="001F0B7B" w:rsidRPr="00CA268A">
        <w:rPr>
          <w:rFonts w:ascii="Times New Roman" w:hAnsi="Times New Roman" w:cs="Times New Roman"/>
        </w:rPr>
        <w:t>and the source was a major source</w:t>
      </w:r>
      <w:r w:rsidR="005668CA" w:rsidRPr="00CA268A">
        <w:rPr>
          <w:rStyle w:val="FootnoteReference"/>
          <w:rFonts w:ascii="Times New Roman" w:hAnsi="Times New Roman" w:cs="Times New Roman"/>
        </w:rPr>
        <w:footnoteReference w:id="5"/>
      </w:r>
      <w:r w:rsidR="001F0B7B" w:rsidRPr="00CA268A">
        <w:rPr>
          <w:rFonts w:ascii="Times New Roman" w:hAnsi="Times New Roman" w:cs="Times New Roman"/>
        </w:rPr>
        <w:t xml:space="preserve">, the source was required to install </w:t>
      </w:r>
      <w:r w:rsidR="002C0E3A" w:rsidRPr="00CA268A">
        <w:rPr>
          <w:rFonts w:ascii="Times New Roman" w:hAnsi="Times New Roman" w:cs="Times New Roman"/>
        </w:rPr>
        <w:t>the L</w:t>
      </w:r>
      <w:r w:rsidRPr="00CA268A">
        <w:rPr>
          <w:rFonts w:ascii="Times New Roman" w:hAnsi="Times New Roman" w:cs="Times New Roman"/>
        </w:rPr>
        <w:t>o</w:t>
      </w:r>
      <w:r w:rsidR="002C0E3A" w:rsidRPr="00CA268A">
        <w:rPr>
          <w:rFonts w:ascii="Times New Roman" w:hAnsi="Times New Roman" w:cs="Times New Roman"/>
        </w:rPr>
        <w:t>west Achievable E</w:t>
      </w:r>
      <w:r w:rsidRPr="00CA268A">
        <w:rPr>
          <w:rFonts w:ascii="Times New Roman" w:hAnsi="Times New Roman" w:cs="Times New Roman"/>
        </w:rPr>
        <w:t xml:space="preserve">mission </w:t>
      </w:r>
      <w:r w:rsidR="002C0E3A" w:rsidRPr="00CA268A">
        <w:rPr>
          <w:rFonts w:ascii="Times New Roman" w:hAnsi="Times New Roman" w:cs="Times New Roman"/>
        </w:rPr>
        <w:t>Rate</w:t>
      </w:r>
      <w:r w:rsidR="00575F92" w:rsidRPr="00CA268A">
        <w:rPr>
          <w:rFonts w:ascii="Times New Roman" w:hAnsi="Times New Roman" w:cs="Times New Roman"/>
        </w:rPr>
        <w:t xml:space="preserve"> </w:t>
      </w:r>
      <w:r w:rsidRPr="00CA268A">
        <w:rPr>
          <w:rFonts w:ascii="Times New Roman" w:hAnsi="Times New Roman" w:cs="Times New Roman"/>
        </w:rPr>
        <w:t xml:space="preserve">control </w:t>
      </w:r>
      <w:r w:rsidR="00575F92" w:rsidRPr="00CA268A">
        <w:rPr>
          <w:rFonts w:ascii="Times New Roman" w:hAnsi="Times New Roman" w:cs="Times New Roman"/>
        </w:rPr>
        <w:t>technology</w:t>
      </w:r>
      <w:r w:rsidR="00C038E4" w:rsidRPr="00CA268A">
        <w:rPr>
          <w:rFonts w:ascii="Times New Roman" w:hAnsi="Times New Roman" w:cs="Times New Roman"/>
        </w:rPr>
        <w:t xml:space="preserve">. </w:t>
      </w:r>
      <w:r w:rsidR="00AB100A" w:rsidRPr="00CA268A">
        <w:rPr>
          <w:rFonts w:ascii="Times New Roman" w:hAnsi="Times New Roman" w:cs="Times New Roman"/>
        </w:rPr>
        <w:t xml:space="preserve">A major modification was defined </w:t>
      </w:r>
      <w:r w:rsidR="007E3A69" w:rsidRPr="00CA268A">
        <w:rPr>
          <w:rFonts w:ascii="Times New Roman" w:hAnsi="Times New Roman" w:cs="Times New Roman"/>
        </w:rPr>
        <w:t xml:space="preserve">as </w:t>
      </w:r>
      <w:r w:rsidR="00567513" w:rsidRPr="00CA268A">
        <w:rPr>
          <w:rFonts w:ascii="Times New Roman" w:hAnsi="Times New Roman" w:cs="Times New Roman"/>
        </w:rPr>
        <w:t xml:space="preserve">physical changes or changes in the method of operation at a source that result in </w:t>
      </w:r>
      <w:r w:rsidR="00E5069D" w:rsidRPr="00CA268A">
        <w:rPr>
          <w:rFonts w:ascii="Times New Roman" w:hAnsi="Times New Roman" w:cs="Times New Roman"/>
        </w:rPr>
        <w:t>accumulated emission increases equal to or more than a significant emission rate since the baseline period</w:t>
      </w:r>
      <w:r w:rsidR="00FB0CD3" w:rsidRPr="00CA268A">
        <w:rPr>
          <w:rFonts w:ascii="Times New Roman" w:hAnsi="Times New Roman" w:cs="Times New Roman"/>
        </w:rPr>
        <w:t>.</w:t>
      </w:r>
    </w:p>
    <w:p w:rsidR="00FB0CD3" w:rsidRPr="00CA268A" w:rsidRDefault="00FB0CD3" w:rsidP="007E3A69">
      <w:pPr>
        <w:spacing w:after="0" w:line="240" w:lineRule="auto"/>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AB100A" w:rsidRPr="00CA268A" w:rsidRDefault="0025352F" w:rsidP="007E3A69">
      <w:pPr>
        <w:spacing w:after="0" w:line="240" w:lineRule="auto"/>
        <w:rPr>
          <w:rFonts w:ascii="Times New Roman" w:hAnsi="Times New Roman" w:cs="Times New Roman"/>
        </w:rPr>
      </w:pPr>
      <w:r w:rsidRPr="00CA268A">
        <w:rPr>
          <w:rFonts w:ascii="Times New Roman" w:hAnsi="Times New Roman" w:cs="Times New Roman"/>
        </w:rPr>
        <w:lastRenderedPageBreak/>
        <w:t>The following examples illustrate how the program works</w:t>
      </w:r>
      <w:r w:rsidR="00FB0CD3" w:rsidRPr="00CA268A">
        <w:rPr>
          <w:rStyle w:val="FootnoteReference"/>
          <w:rFonts w:ascii="Times New Roman" w:hAnsi="Times New Roman" w:cs="Times New Roman"/>
        </w:rPr>
        <w:footnoteReference w:id="6"/>
      </w:r>
      <w:r w:rsidRPr="00CA268A">
        <w:rPr>
          <w:rFonts w:ascii="Times New Roman" w:hAnsi="Times New Roman" w:cs="Times New Roman"/>
        </w:rPr>
        <w:t>:</w:t>
      </w:r>
    </w:p>
    <w:p w:rsidR="00D11B60" w:rsidRPr="00CA268A" w:rsidRDefault="00D11B60" w:rsidP="007E3A69">
      <w:pPr>
        <w:spacing w:after="0" w:line="240" w:lineRule="auto"/>
        <w:rPr>
          <w:rFonts w:ascii="Times New Roman" w:hAnsi="Times New Roman" w:cs="Times New Roman"/>
        </w:rPr>
      </w:pPr>
    </w:p>
    <w:p w:rsidR="002C0E3A" w:rsidRPr="00CA268A" w:rsidRDefault="002C0E3A" w:rsidP="001C3CC3">
      <w:pPr>
        <w:spacing w:after="0" w:line="240" w:lineRule="auto"/>
        <w:ind w:left="1440" w:hanging="1440"/>
        <w:rPr>
          <w:rFonts w:ascii="Times New Roman" w:hAnsi="Times New Roman" w:cs="Times New Roman"/>
        </w:rPr>
      </w:pPr>
    </w:p>
    <w:p w:rsidR="001C3CC3" w:rsidRPr="00CA268A" w:rsidRDefault="00F02C90" w:rsidP="001C3CC3">
      <w:pPr>
        <w:spacing w:after="0" w:line="240" w:lineRule="auto"/>
        <w:ind w:left="1440" w:hanging="1440"/>
        <w:rPr>
          <w:rFonts w:ascii="Times New Roman" w:hAnsi="Times New Roman" w:cs="Times New Roman"/>
        </w:rPr>
      </w:pPr>
      <w:r w:rsidRPr="00CA268A">
        <w:rPr>
          <w:rFonts w:ascii="Times New Roman" w:hAnsi="Times New Roman" w:cs="Times New Roman"/>
        </w:rPr>
        <w:t>Example 1:</w:t>
      </w:r>
      <w:r w:rsidR="001C3CC3" w:rsidRPr="00CA268A">
        <w:rPr>
          <w:rFonts w:ascii="Times New Roman" w:hAnsi="Times New Roman" w:cs="Times New Roman"/>
        </w:rPr>
        <w:tab/>
        <w:t>PSD triggered after a series of changes at a facility over a 15 year period.</w:t>
      </w:r>
    </w:p>
    <w:p w:rsidR="00F02C90" w:rsidRPr="00CA268A" w:rsidRDefault="00D11B60" w:rsidP="001C3CC3">
      <w:pPr>
        <w:spacing w:after="0" w:line="240" w:lineRule="auto"/>
        <w:ind w:left="1440"/>
        <w:rPr>
          <w:rFonts w:ascii="Times New Roman" w:hAnsi="Times New Roman" w:cs="Times New Roman"/>
        </w:rPr>
      </w:pPr>
      <w:r w:rsidRPr="00CA268A">
        <w:rPr>
          <w:rFonts w:ascii="Times New Roman" w:hAnsi="Times New Roman" w:cs="Times New Roman"/>
        </w:rPr>
        <w:t xml:space="preserve">Triggering pollutant:  </w:t>
      </w:r>
      <w:r w:rsidR="001C3CC3" w:rsidRPr="00CA268A">
        <w:rPr>
          <w:rFonts w:ascii="Times New Roman" w:hAnsi="Times New Roman" w:cs="Times New Roman"/>
        </w:rPr>
        <w:t>P</w:t>
      </w:r>
      <w:r w:rsidR="00F02C90" w:rsidRPr="00CA268A">
        <w:rPr>
          <w:rFonts w:ascii="Times New Roman" w:hAnsi="Times New Roman" w:cs="Times New Roman"/>
        </w:rPr>
        <w:t>articulate matter (significant emission rate</w:t>
      </w:r>
      <w:r w:rsidR="0003730D">
        <w:rPr>
          <w:rFonts w:ascii="Times New Roman" w:hAnsi="Times New Roman" w:cs="Times New Roman"/>
        </w:rPr>
        <w:t xml:space="preserve"> (SER)</w:t>
      </w:r>
      <w:r w:rsidR="00F02C90" w:rsidRPr="00CA268A">
        <w:rPr>
          <w:rFonts w:ascii="Times New Roman" w:hAnsi="Times New Roman" w:cs="Times New Roman"/>
        </w:rPr>
        <w:t xml:space="preserve"> = 25 tons/yr)</w:t>
      </w:r>
    </w:p>
    <w:p w:rsidR="00F02C90" w:rsidRPr="00CA268A" w:rsidRDefault="00F02C90" w:rsidP="007E3A69">
      <w:pPr>
        <w:spacing w:after="0" w:line="240" w:lineRule="auto"/>
        <w:rPr>
          <w:rFonts w:ascii="Times New Roman" w:hAnsi="Times New Roman" w:cs="Times New Roman"/>
        </w:rPr>
      </w:pPr>
    </w:p>
    <w:tbl>
      <w:tblPr>
        <w:tblStyle w:val="TableGrid"/>
        <w:tblW w:w="0" w:type="auto"/>
        <w:tblLayout w:type="fixed"/>
        <w:tblLook w:val="04A0"/>
      </w:tblPr>
      <w:tblGrid>
        <w:gridCol w:w="1008"/>
        <w:gridCol w:w="1008"/>
        <w:gridCol w:w="2448"/>
        <w:gridCol w:w="2448"/>
        <w:gridCol w:w="2448"/>
      </w:tblGrid>
      <w:tr w:rsidR="00B138AA" w:rsidRPr="00CA268A" w:rsidTr="00567513">
        <w:trPr>
          <w:tblHeader/>
        </w:trPr>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Year</w:t>
            </w:r>
          </w:p>
        </w:tc>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PSEL</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Reason for change</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Requirement(s)</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Comments</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1980</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80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Initial PSEL = baseline emission rate (BER)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90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Add equipment</w:t>
            </w:r>
            <w:r w:rsidR="00120BB6" w:rsidRPr="00CA268A">
              <w:rPr>
                <w:rFonts w:ascii="Times New Roman" w:hAnsi="Times New Roman" w:cs="Times New Roman"/>
              </w:rPr>
              <w:t xml:space="preserve"> with capacity to emit 10 tons</w:t>
            </w:r>
          </w:p>
        </w:tc>
        <w:tc>
          <w:tcPr>
            <w:tcW w:w="244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E6E16" w:rsidP="00E5069D">
            <w:pPr>
              <w:rPr>
                <w:rFonts w:ascii="Times New Roman" w:hAnsi="Times New Roman" w:cs="Times New Roman"/>
              </w:rPr>
            </w:pPr>
            <w:r w:rsidRPr="00CA268A">
              <w:rPr>
                <w:rFonts w:ascii="Times New Roman" w:hAnsi="Times New Roman" w:cs="Times New Roman"/>
              </w:rPr>
              <w:t>PSEL i</w:t>
            </w:r>
            <w:r w:rsidR="00B138AA" w:rsidRPr="00CA268A">
              <w:rPr>
                <w:rFonts w:ascii="Times New Roman" w:hAnsi="Times New Roman" w:cs="Times New Roman"/>
              </w:rPr>
              <w:t>ncrease above BER</w:t>
            </w:r>
            <w:r w:rsidR="00E5069D" w:rsidRPr="00CA268A">
              <w:rPr>
                <w:rFonts w:ascii="Times New Roman" w:hAnsi="Times New Roman" w:cs="Times New Roman"/>
              </w:rPr>
              <w:t xml:space="preserve"> (10 tpy) </w:t>
            </w:r>
            <w:r w:rsidR="00B138AA" w:rsidRPr="00CA268A">
              <w:rPr>
                <w:rFonts w:ascii="Times New Roman" w:hAnsi="Times New Roman" w:cs="Times New Roman"/>
              </w:rPr>
              <w:t>&lt;SER</w:t>
            </w:r>
          </w:p>
        </w:tc>
      </w:tr>
      <w:tr w:rsidR="00120BB6" w:rsidRPr="00CA268A" w:rsidTr="00962E20">
        <w:tc>
          <w:tcPr>
            <w:tcW w:w="1008" w:type="dxa"/>
          </w:tcPr>
          <w:p w:rsidR="00120BB6" w:rsidRPr="00CA268A" w:rsidRDefault="00120BB6" w:rsidP="00B138AA">
            <w:pPr>
              <w:rPr>
                <w:rFonts w:ascii="Times New Roman" w:hAnsi="Times New Roman" w:cs="Times New Roman"/>
              </w:rPr>
            </w:pPr>
            <w:r w:rsidRPr="00CA268A">
              <w:rPr>
                <w:rFonts w:ascii="Times New Roman" w:hAnsi="Times New Roman" w:cs="Times New Roman"/>
              </w:rPr>
              <w:t>1990</w:t>
            </w:r>
          </w:p>
        </w:tc>
        <w:tc>
          <w:tcPr>
            <w:tcW w:w="100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100</w:t>
            </w:r>
          </w:p>
        </w:tc>
        <w:tc>
          <w:tcPr>
            <w:tcW w:w="2448"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equipment with capacity to emit 10 tons</w:t>
            </w:r>
          </w:p>
        </w:tc>
        <w:tc>
          <w:tcPr>
            <w:tcW w:w="244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None</w:t>
            </w:r>
          </w:p>
        </w:tc>
        <w:tc>
          <w:tcPr>
            <w:tcW w:w="2448" w:type="dxa"/>
          </w:tcPr>
          <w:p w:rsidR="00120BB6" w:rsidRPr="00CA268A" w:rsidRDefault="00BE6E16" w:rsidP="007E3A69">
            <w:pPr>
              <w:rPr>
                <w:rFonts w:ascii="Times New Roman" w:hAnsi="Times New Roman" w:cs="Times New Roman"/>
              </w:rPr>
            </w:pPr>
            <w:r w:rsidRPr="00CA268A">
              <w:rPr>
                <w:rFonts w:ascii="Times New Roman" w:hAnsi="Times New Roman" w:cs="Times New Roman"/>
              </w:rPr>
              <w:t xml:space="preserve">PSEL </w:t>
            </w:r>
            <w:r w:rsidR="00120BB6" w:rsidRPr="00CA268A">
              <w:rPr>
                <w:rFonts w:ascii="Times New Roman" w:hAnsi="Times New Roman" w:cs="Times New Roman"/>
              </w:rPr>
              <w:t>increase above BER</w:t>
            </w:r>
            <w:r w:rsidR="008E6027" w:rsidRPr="00CA268A">
              <w:rPr>
                <w:rFonts w:ascii="Times New Roman" w:hAnsi="Times New Roman" w:cs="Times New Roman"/>
              </w:rPr>
              <w:t xml:space="preserve"> (20 tpy) </w:t>
            </w:r>
            <w:r w:rsidR="00120BB6" w:rsidRPr="00CA268A">
              <w:rPr>
                <w:rFonts w:ascii="Times New Roman" w:hAnsi="Times New Roman" w:cs="Times New Roman"/>
              </w:rPr>
              <w:t>&lt;SER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1995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110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Modify equipment</w:t>
            </w:r>
            <w:r w:rsidR="00120BB6" w:rsidRPr="00CA268A">
              <w:rPr>
                <w:rFonts w:ascii="Times New Roman" w:hAnsi="Times New Roman" w:cs="Times New Roman"/>
              </w:rPr>
              <w:t xml:space="preserve"> that increases capacity to emit by 10 tons</w:t>
            </w:r>
          </w:p>
        </w:tc>
        <w:tc>
          <w:tcPr>
            <w:tcW w:w="2448" w:type="dxa"/>
          </w:tcPr>
          <w:p w:rsidR="00B138AA" w:rsidRPr="00CA268A" w:rsidRDefault="002E7658" w:rsidP="002E7658">
            <w:pPr>
              <w:rPr>
                <w:rFonts w:ascii="Times New Roman" w:hAnsi="Times New Roman" w:cs="Times New Roman"/>
              </w:rPr>
            </w:pPr>
            <w:r w:rsidRPr="00CA268A">
              <w:rPr>
                <w:rFonts w:ascii="Times New Roman" w:hAnsi="Times New Roman" w:cs="Times New Roman"/>
              </w:rPr>
              <w:t xml:space="preserve">PSD: </w:t>
            </w:r>
            <w:r w:rsidR="00B138AA" w:rsidRPr="00CA268A">
              <w:rPr>
                <w:rFonts w:ascii="Times New Roman" w:hAnsi="Times New Roman" w:cs="Times New Roman"/>
              </w:rPr>
              <w:t>AQ analysis</w:t>
            </w:r>
            <w:r w:rsidRPr="00CA268A">
              <w:rPr>
                <w:rFonts w:ascii="Times New Roman" w:hAnsi="Times New Roman" w:cs="Times New Roman"/>
              </w:rPr>
              <w:t xml:space="preserve"> and BACT for equipment added in 1985 and 1990 and equipment modified in 1995</w:t>
            </w:r>
          </w:p>
        </w:tc>
        <w:tc>
          <w:tcPr>
            <w:tcW w:w="2448" w:type="dxa"/>
          </w:tcPr>
          <w:p w:rsidR="00B138AA" w:rsidRPr="00CA268A" w:rsidRDefault="00FB75EE" w:rsidP="00B2731F">
            <w:pPr>
              <w:rPr>
                <w:rFonts w:ascii="Times New Roman" w:hAnsi="Times New Roman" w:cs="Times New Roman"/>
              </w:rPr>
            </w:pPr>
            <w:r w:rsidRPr="00CA268A">
              <w:rPr>
                <w:rFonts w:ascii="Times New Roman" w:hAnsi="Times New Roman" w:cs="Times New Roman"/>
              </w:rPr>
              <w:t xml:space="preserve">PSEL greater than BER by more than the SER, </w:t>
            </w:r>
            <w:r w:rsidR="00B2731F" w:rsidRPr="00CA268A">
              <w:rPr>
                <w:rFonts w:ascii="Times New Roman" w:hAnsi="Times New Roman" w:cs="Times New Roman"/>
              </w:rPr>
              <w:t xml:space="preserve">federal major </w:t>
            </w:r>
            <w:r w:rsidRPr="00CA268A">
              <w:rPr>
                <w:rFonts w:ascii="Times New Roman" w:hAnsi="Times New Roman" w:cs="Times New Roman"/>
              </w:rPr>
              <w:t>s</w:t>
            </w:r>
            <w:r w:rsidR="002E7658" w:rsidRPr="00CA268A">
              <w:rPr>
                <w:rFonts w:ascii="Times New Roman" w:hAnsi="Times New Roman" w:cs="Times New Roman"/>
              </w:rPr>
              <w:t xml:space="preserve">ource threshold </w:t>
            </w:r>
            <w:r w:rsidR="00A40886" w:rsidRPr="00CA268A">
              <w:rPr>
                <w:rFonts w:ascii="Times New Roman" w:hAnsi="Times New Roman" w:cs="Times New Roman"/>
              </w:rPr>
              <w:t xml:space="preserve"> </w:t>
            </w:r>
            <w:r w:rsidR="002E7658" w:rsidRPr="00CA268A">
              <w:rPr>
                <w:rFonts w:ascii="Times New Roman" w:hAnsi="Times New Roman" w:cs="Times New Roman"/>
              </w:rPr>
              <w:t>= 100 tons/yr, accumulated increase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2E7658" w:rsidRPr="00CA268A" w:rsidRDefault="002E7658" w:rsidP="002E7658">
      <w:pPr>
        <w:spacing w:after="0" w:line="240" w:lineRule="auto"/>
        <w:rPr>
          <w:rFonts w:ascii="Times New Roman" w:hAnsi="Times New Roman" w:cs="Times New Roman"/>
        </w:rPr>
      </w:pPr>
    </w:p>
    <w:p w:rsidR="002C0E3A" w:rsidRPr="00CA268A" w:rsidRDefault="002C0E3A" w:rsidP="00D11B60">
      <w:pPr>
        <w:spacing w:after="0" w:line="240" w:lineRule="auto"/>
        <w:ind w:left="1440" w:hanging="1440"/>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D11B60" w:rsidRPr="00CA268A" w:rsidRDefault="002E7658" w:rsidP="00D11B60">
      <w:pPr>
        <w:spacing w:after="0" w:line="240" w:lineRule="auto"/>
        <w:ind w:left="1440" w:hanging="1440"/>
        <w:rPr>
          <w:rFonts w:ascii="Times New Roman" w:hAnsi="Times New Roman" w:cs="Times New Roman"/>
        </w:rPr>
      </w:pPr>
      <w:r w:rsidRPr="00CA268A">
        <w:rPr>
          <w:rFonts w:ascii="Times New Roman" w:hAnsi="Times New Roman" w:cs="Times New Roman"/>
        </w:rPr>
        <w:lastRenderedPageBreak/>
        <w:t>Example 2:</w:t>
      </w:r>
      <w:r w:rsidR="00D11B60" w:rsidRPr="00CA268A">
        <w:rPr>
          <w:rFonts w:ascii="Times New Roman" w:hAnsi="Times New Roman" w:cs="Times New Roman"/>
        </w:rPr>
        <w:tab/>
        <w:t xml:space="preserve">PSD triggered </w:t>
      </w:r>
      <w:r w:rsidR="00962E20" w:rsidRPr="00CA268A">
        <w:rPr>
          <w:rFonts w:ascii="Times New Roman" w:hAnsi="Times New Roman" w:cs="Times New Roman"/>
        </w:rPr>
        <w:t>when PSEL increased to utilize capacity of equipment added in previous permit actions</w:t>
      </w:r>
      <w:r w:rsidR="00D11B60" w:rsidRPr="00CA268A">
        <w:rPr>
          <w:rFonts w:ascii="Times New Roman" w:hAnsi="Times New Roman" w:cs="Times New Roman"/>
        </w:rPr>
        <w:t xml:space="preserve"> </w:t>
      </w:r>
      <w:r w:rsidR="00962E20" w:rsidRPr="00CA268A">
        <w:rPr>
          <w:rFonts w:ascii="Times New Roman" w:hAnsi="Times New Roman" w:cs="Times New Roman"/>
        </w:rPr>
        <w:t>(no physical change at time of increasing PSEL)</w:t>
      </w:r>
      <w:r w:rsidR="00D11B60" w:rsidRPr="00CA268A">
        <w:rPr>
          <w:rFonts w:ascii="Times New Roman" w:hAnsi="Times New Roman" w:cs="Times New Roman"/>
        </w:rPr>
        <w:t xml:space="preserve">. </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25 tons/yr)</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but only requested increase in PSEL enough to operate at anticipated need.</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8E6027" w:rsidP="008E6027">
            <w:pPr>
              <w:rPr>
                <w:rFonts w:ascii="Times New Roman" w:hAnsi="Times New Roman" w:cs="Times New Roman"/>
              </w:rPr>
            </w:pPr>
            <w:r w:rsidRPr="00CA268A">
              <w:rPr>
                <w:rFonts w:ascii="Times New Roman" w:hAnsi="Times New Roman" w:cs="Times New Roman"/>
              </w:rPr>
              <w:t>PSEL i</w:t>
            </w:r>
            <w:r w:rsidR="002E7658" w:rsidRPr="00CA268A">
              <w:rPr>
                <w:rFonts w:ascii="Times New Roman" w:hAnsi="Times New Roman" w:cs="Times New Roman"/>
              </w:rPr>
              <w:t>ncrease above BER</w:t>
            </w:r>
            <w:r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per year, remove equipment that existed in baseline period (internal netting)</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BE6E16" w:rsidP="002E7658">
            <w:pPr>
              <w:rPr>
                <w:rFonts w:ascii="Times New Roman" w:hAnsi="Times New Roman" w:cs="Times New Roman"/>
              </w:rPr>
            </w:pPr>
            <w:r w:rsidRPr="00CA268A">
              <w:rPr>
                <w:rFonts w:ascii="Times New Roman" w:hAnsi="Times New Roman" w:cs="Times New Roman"/>
              </w:rPr>
              <w:t>PSEL</w:t>
            </w:r>
            <w:r w:rsidR="002E7658" w:rsidRPr="00CA268A">
              <w:rPr>
                <w:rFonts w:ascii="Times New Roman" w:hAnsi="Times New Roman" w:cs="Times New Roman"/>
              </w:rPr>
              <w:t xml:space="preserve"> increase above BER</w:t>
            </w:r>
            <w:r w:rsidR="008E6027"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110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Increase PSEL to utilize capacity of equipment added in 1985 and 1990</w:t>
            </w:r>
            <w:r w:rsidR="004E7023" w:rsidRPr="00CA268A">
              <w:rPr>
                <w:rFonts w:ascii="Times New Roman" w:hAnsi="Times New Roman" w:cs="Times New Roman"/>
              </w:rPr>
              <w:t xml:space="preserve"> without a </w:t>
            </w:r>
            <w:r w:rsidR="00B2731F" w:rsidRPr="00CA268A">
              <w:rPr>
                <w:rFonts w:ascii="Times New Roman" w:hAnsi="Times New Roman" w:cs="Times New Roman"/>
              </w:rPr>
              <w:t xml:space="preserve">current </w:t>
            </w:r>
            <w:r w:rsidR="004E7023" w:rsidRPr="00CA268A">
              <w:rPr>
                <w:rFonts w:ascii="Times New Roman" w:hAnsi="Times New Roman" w:cs="Times New Roman"/>
              </w:rPr>
              <w:t>physical change</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 for equipment added in 1985 and 1990</w:t>
            </w:r>
          </w:p>
        </w:tc>
        <w:tc>
          <w:tcPr>
            <w:tcW w:w="2496" w:type="dxa"/>
          </w:tcPr>
          <w:p w:rsidR="002E7658" w:rsidRPr="00CA268A" w:rsidRDefault="00BE6E16" w:rsidP="00B2731F">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 BER (30 tpy) &gt;</w:t>
            </w:r>
            <w:r w:rsidR="00FB75EE" w:rsidRPr="00CA268A">
              <w:rPr>
                <w:rFonts w:ascii="Times New Roman" w:hAnsi="Times New Roman" w:cs="Times New Roman"/>
              </w:rPr>
              <w:t>SE</w:t>
            </w:r>
            <w:r w:rsidRPr="00CA268A">
              <w:rPr>
                <w:rFonts w:ascii="Times New Roman" w:hAnsi="Times New Roman" w:cs="Times New Roman"/>
              </w:rPr>
              <w:t xml:space="preserve">R, </w:t>
            </w:r>
            <w:r w:rsidR="00B2731F" w:rsidRPr="00CA268A">
              <w:rPr>
                <w:rFonts w:ascii="Times New Roman" w:hAnsi="Times New Roman" w:cs="Times New Roman"/>
              </w:rPr>
              <w:t xml:space="preserve">federal major </w:t>
            </w:r>
            <w:r w:rsidR="00FB75EE" w:rsidRPr="00CA268A">
              <w:rPr>
                <w:rFonts w:ascii="Times New Roman" w:hAnsi="Times New Roman" w:cs="Times New Roman"/>
              </w:rPr>
              <w:t>s</w:t>
            </w:r>
            <w:r w:rsidR="00A40886" w:rsidRPr="00CA268A">
              <w:rPr>
                <w:rFonts w:ascii="Times New Roman" w:hAnsi="Times New Roman" w:cs="Times New Roman"/>
              </w:rPr>
              <w:t xml:space="preserve">ource threshold </w:t>
            </w:r>
            <w:r w:rsidR="002E7658" w:rsidRPr="00CA268A">
              <w:rPr>
                <w:rFonts w:ascii="Times New Roman" w:hAnsi="Times New Roman" w:cs="Times New Roman"/>
              </w:rPr>
              <w:t xml:space="preserve"> = 100 tons/yr, accumulated increase</w:t>
            </w:r>
            <w:r w:rsidRPr="00CA268A">
              <w:rPr>
                <w:rFonts w:ascii="Times New Roman" w:hAnsi="Times New Roman" w:cs="Times New Roman"/>
              </w:rPr>
              <w:t>s</w:t>
            </w:r>
            <w:r w:rsidR="002E7658" w:rsidRPr="00CA268A">
              <w:rPr>
                <w:rFonts w:ascii="Times New Roman" w:hAnsi="Times New Roman" w:cs="Times New Roman"/>
              </w:rPr>
              <w:t xml:space="preserv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F02C90" w:rsidRPr="00CA268A" w:rsidRDefault="00F02C90" w:rsidP="007E3A69">
      <w:pPr>
        <w:spacing w:after="0" w:line="240" w:lineRule="auto"/>
        <w:rPr>
          <w:rFonts w:ascii="Times New Roman" w:hAnsi="Times New Roman" w:cs="Times New Roman"/>
        </w:rPr>
      </w:pPr>
    </w:p>
    <w:p w:rsidR="00DF3750" w:rsidRPr="00CA268A" w:rsidRDefault="00DF3750">
      <w:pPr>
        <w:rPr>
          <w:rFonts w:ascii="Times New Roman" w:hAnsi="Times New Roman" w:cs="Times New Roman"/>
        </w:rPr>
      </w:pP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Example 3:</w:t>
      </w:r>
      <w:r w:rsidRPr="00CA268A">
        <w:rPr>
          <w:rFonts w:ascii="Times New Roman" w:hAnsi="Times New Roman" w:cs="Times New Roman"/>
        </w:rPr>
        <w:tab/>
      </w:r>
      <w:r w:rsidR="00DF3750" w:rsidRPr="00CA268A">
        <w:rPr>
          <w:rFonts w:ascii="Times New Roman" w:hAnsi="Times New Roman" w:cs="Times New Roman"/>
        </w:rPr>
        <w:t>BACT</w:t>
      </w:r>
      <w:r w:rsidRPr="00CA268A">
        <w:rPr>
          <w:rFonts w:ascii="Times New Roman" w:hAnsi="Times New Roman" w:cs="Times New Roman"/>
        </w:rPr>
        <w:t xml:space="preserve"> is not </w:t>
      </w:r>
      <w:r w:rsidR="00DF3750" w:rsidRPr="00CA268A">
        <w:rPr>
          <w:rFonts w:ascii="Times New Roman" w:hAnsi="Times New Roman" w:cs="Times New Roman"/>
        </w:rPr>
        <w:t>required</w:t>
      </w:r>
      <w:r w:rsidRPr="00CA268A">
        <w:rPr>
          <w:rFonts w:ascii="Times New Roman" w:hAnsi="Times New Roman" w:cs="Times New Roman"/>
        </w:rPr>
        <w:t xml:space="preserve"> as a result of utilizing existing capacity</w:t>
      </w:r>
    </w:p>
    <w:p w:rsidR="00D11B60" w:rsidRPr="00CA268A" w:rsidRDefault="00D11B60" w:rsidP="00D11B60">
      <w:pPr>
        <w:spacing w:after="0" w:line="240" w:lineRule="auto"/>
        <w:ind w:left="1440"/>
        <w:rPr>
          <w:rFonts w:ascii="Times New Roman" w:hAnsi="Times New Roman" w:cs="Times New Roman"/>
        </w:rPr>
      </w:pPr>
      <w:r w:rsidRPr="00CA268A">
        <w:rPr>
          <w:rFonts w:ascii="Times New Roman" w:hAnsi="Times New Roman" w:cs="Times New Roman"/>
        </w:rPr>
        <w:t>Pollutant:  Sulfur dioxide (significant emission rate</w:t>
      </w:r>
      <w:r w:rsidR="0003730D">
        <w:rPr>
          <w:rFonts w:ascii="Times New Roman" w:hAnsi="Times New Roman" w:cs="Times New Roman"/>
        </w:rPr>
        <w:t xml:space="preserve"> (SER)</w:t>
      </w:r>
      <w:r w:rsidRPr="00CA268A">
        <w:rPr>
          <w:rFonts w:ascii="Times New Roman" w:hAnsi="Times New Roman" w:cs="Times New Roman"/>
        </w:rPr>
        <w:t xml:space="preserve"> = 40 tons/yr)</w:t>
      </w: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Two small boilers capable of burning natural gas or oil</w:t>
      </w:r>
    </w:p>
    <w:p w:rsidR="00D11B60" w:rsidRPr="00CA268A" w:rsidRDefault="00D11B60" w:rsidP="00D11B60">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D11B60" w:rsidRPr="00CA268A" w:rsidTr="00965F22">
        <w:trPr>
          <w:tblHeader/>
        </w:trPr>
        <w:tc>
          <w:tcPr>
            <w:tcW w:w="114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Comments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1980</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80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None</w:t>
            </w:r>
          </w:p>
        </w:tc>
        <w:tc>
          <w:tcPr>
            <w:tcW w:w="2496"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Initial PSEL = baseline emission rate (BER) when mostly natural gas was burned in the boilers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1985</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300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Utilize existing capacity, no physical change, just burn oil more hours per year</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AQ analysis</w:t>
            </w:r>
          </w:p>
        </w:tc>
        <w:tc>
          <w:tcPr>
            <w:tcW w:w="2496" w:type="dxa"/>
          </w:tcPr>
          <w:p w:rsidR="00D11B60"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D11B60" w:rsidRPr="00CA268A">
              <w:rPr>
                <w:rFonts w:ascii="Times New Roman" w:hAnsi="Times New Roman" w:cs="Times New Roman"/>
              </w:rPr>
              <w:t>SER, but no physical changes so BACT was not required</w:t>
            </w:r>
            <w:r w:rsidR="00FB75EE" w:rsidRPr="00CA268A">
              <w:rPr>
                <w:rFonts w:ascii="Times New Roman" w:hAnsi="Times New Roman" w:cs="Times New Roman"/>
              </w:rPr>
              <w:t>.</w:t>
            </w:r>
          </w:p>
        </w:tc>
      </w:tr>
    </w:tbl>
    <w:p w:rsidR="00D11B60" w:rsidRPr="00CA268A" w:rsidRDefault="00D11B60" w:rsidP="007E3A69">
      <w:pPr>
        <w:spacing w:after="0" w:line="240" w:lineRule="auto"/>
        <w:rPr>
          <w:rFonts w:ascii="Times New Roman" w:hAnsi="Times New Roman" w:cs="Times New Roman"/>
        </w:rPr>
      </w:pPr>
    </w:p>
    <w:p w:rsidR="002C0E3A" w:rsidRPr="00CA268A" w:rsidRDefault="002C0E3A"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EA19BD" w:rsidRDefault="00EA19BD">
      <w:pPr>
        <w:rPr>
          <w:rFonts w:ascii="Times New Roman" w:hAnsi="Times New Roman" w:cs="Times New Roman"/>
        </w:rPr>
      </w:pPr>
      <w:r>
        <w:rPr>
          <w:rFonts w:ascii="Times New Roman" w:hAnsi="Times New Roman" w:cs="Times New Roman"/>
        </w:rPr>
        <w:br w:type="page"/>
      </w:r>
    </w:p>
    <w:p w:rsidR="00D11B60" w:rsidRPr="00CA268A" w:rsidRDefault="002E7658" w:rsidP="007E3A69">
      <w:pPr>
        <w:spacing w:after="0" w:line="240" w:lineRule="auto"/>
        <w:rPr>
          <w:rFonts w:ascii="Times New Roman" w:hAnsi="Times New Roman" w:cs="Times New Roman"/>
        </w:rPr>
      </w:pPr>
      <w:r w:rsidRPr="00CA268A">
        <w:rPr>
          <w:rFonts w:ascii="Times New Roman" w:hAnsi="Times New Roman" w:cs="Times New Roman"/>
        </w:rPr>
        <w:lastRenderedPageBreak/>
        <w:t xml:space="preserve">Example </w:t>
      </w:r>
      <w:r w:rsidR="00DC354A" w:rsidRPr="00CA268A">
        <w:rPr>
          <w:rFonts w:ascii="Times New Roman" w:hAnsi="Times New Roman" w:cs="Times New Roman"/>
        </w:rPr>
        <w:t>4</w:t>
      </w:r>
      <w:r w:rsidRPr="00CA268A">
        <w:rPr>
          <w:rFonts w:ascii="Times New Roman" w:hAnsi="Times New Roman" w:cs="Times New Roman"/>
        </w:rPr>
        <w:t>:</w:t>
      </w:r>
      <w:r w:rsidR="00791E8B" w:rsidRPr="00CA268A">
        <w:rPr>
          <w:rFonts w:ascii="Times New Roman" w:hAnsi="Times New Roman" w:cs="Times New Roman"/>
        </w:rPr>
        <w:tab/>
      </w:r>
      <w:r w:rsidR="00D11B60" w:rsidRPr="00CA268A">
        <w:rPr>
          <w:rFonts w:ascii="Times New Roman" w:hAnsi="Times New Roman" w:cs="Times New Roman"/>
        </w:rPr>
        <w:t>PSD triggered due to modification even though PSEL decreases</w:t>
      </w:r>
      <w:r w:rsidR="00B046E9" w:rsidRPr="00CA268A">
        <w:rPr>
          <w:rFonts w:ascii="Times New Roman" w:hAnsi="Times New Roman" w:cs="Times New Roman"/>
        </w:rPr>
        <w:t>.</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Sulfur dioxide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40 tons/yr)</w:t>
      </w:r>
    </w:p>
    <w:p w:rsidR="00791E8B" w:rsidRPr="00CA268A" w:rsidRDefault="00791E8B" w:rsidP="007E3A69">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 xml:space="preserve">Two small </w:t>
      </w:r>
      <w:r w:rsidR="00120BB6" w:rsidRPr="00CA268A">
        <w:rPr>
          <w:rFonts w:ascii="Times New Roman" w:hAnsi="Times New Roman" w:cs="Times New Roman"/>
        </w:rPr>
        <w:t xml:space="preserve">boilers </w:t>
      </w:r>
      <w:r w:rsidRPr="00CA268A">
        <w:rPr>
          <w:rFonts w:ascii="Times New Roman" w:hAnsi="Times New Roman" w:cs="Times New Roman"/>
        </w:rPr>
        <w:t>capable of burning natural gas or oil</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300</w:t>
            </w:r>
          </w:p>
        </w:tc>
        <w:tc>
          <w:tcPr>
            <w:tcW w:w="2084" w:type="dxa"/>
          </w:tcPr>
          <w:p w:rsidR="002E7658" w:rsidRPr="00CA268A" w:rsidRDefault="002E7658" w:rsidP="006F5CFB">
            <w:pPr>
              <w:rPr>
                <w:rFonts w:ascii="Times New Roman" w:hAnsi="Times New Roman" w:cs="Times New Roman"/>
              </w:rPr>
            </w:pPr>
            <w:r w:rsidRPr="00CA268A">
              <w:rPr>
                <w:rFonts w:ascii="Times New Roman" w:hAnsi="Times New Roman" w:cs="Times New Roman"/>
              </w:rPr>
              <w:t>Utilize existing capacity</w:t>
            </w:r>
            <w:r w:rsidR="006F5CFB" w:rsidRPr="00CA268A">
              <w:rPr>
                <w:rFonts w:ascii="Times New Roman" w:hAnsi="Times New Roman" w:cs="Times New Roman"/>
              </w:rPr>
              <w:t>, n</w:t>
            </w:r>
            <w:r w:rsidRPr="00CA268A">
              <w:rPr>
                <w:rFonts w:ascii="Times New Roman" w:hAnsi="Times New Roman" w:cs="Times New Roman"/>
              </w:rPr>
              <w:t>o physical change</w:t>
            </w:r>
            <w:r w:rsidR="00791E8B" w:rsidRPr="00CA268A">
              <w:rPr>
                <w:rFonts w:ascii="Times New Roman" w:hAnsi="Times New Roman" w:cs="Times New Roman"/>
              </w:rPr>
              <w:t>, just burn oil more hours per year</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AQ analysis</w:t>
            </w:r>
          </w:p>
        </w:tc>
        <w:tc>
          <w:tcPr>
            <w:tcW w:w="2496" w:type="dxa"/>
          </w:tcPr>
          <w:p w:rsidR="002E7658"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2E7658" w:rsidRPr="00CA268A">
              <w:rPr>
                <w:rFonts w:ascii="Times New Roman" w:hAnsi="Times New Roman" w:cs="Times New Roman"/>
              </w:rPr>
              <w:t>SER, but no physical changes so BACT was not required</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250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Modify equipment (new burners</w:t>
            </w:r>
            <w:r w:rsidR="00791E8B" w:rsidRPr="00CA268A">
              <w:rPr>
                <w:rFonts w:ascii="Times New Roman" w:hAnsi="Times New Roman" w:cs="Times New Roman"/>
              </w:rPr>
              <w:t>, increase</w:t>
            </w:r>
            <w:r w:rsidR="0021499B" w:rsidRPr="00CA268A">
              <w:rPr>
                <w:rFonts w:ascii="Times New Roman" w:hAnsi="Times New Roman" w:cs="Times New Roman"/>
              </w:rPr>
              <w:t>d</w:t>
            </w:r>
            <w:r w:rsidR="004A32B1" w:rsidRPr="00CA268A">
              <w:rPr>
                <w:rFonts w:ascii="Times New Roman" w:hAnsi="Times New Roman" w:cs="Times New Roman"/>
              </w:rPr>
              <w:t xml:space="preserve"> burner</w:t>
            </w:r>
            <w:r w:rsidR="00791E8B" w:rsidRPr="00CA268A">
              <w:rPr>
                <w:rFonts w:ascii="Times New Roman" w:hAnsi="Times New Roman" w:cs="Times New Roman"/>
              </w:rPr>
              <w:t xml:space="preserve"> capacity, but more efficient combustion</w:t>
            </w:r>
            <w:r w:rsidR="004A32B1" w:rsidRPr="00CA268A">
              <w:rPr>
                <w:rFonts w:ascii="Times New Roman" w:hAnsi="Times New Roman" w:cs="Times New Roman"/>
              </w:rPr>
              <w:t xml:space="preserve"> reduces fuel use</w:t>
            </w: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w:t>
            </w:r>
          </w:p>
        </w:tc>
        <w:tc>
          <w:tcPr>
            <w:tcW w:w="2496" w:type="dxa"/>
          </w:tcPr>
          <w:p w:rsidR="002E7658" w:rsidRPr="00CA268A" w:rsidRDefault="00A40886" w:rsidP="00A40886">
            <w:pPr>
              <w:rPr>
                <w:rFonts w:ascii="Times New Roman" w:hAnsi="Times New Roman" w:cs="Times New Roman"/>
              </w:rPr>
            </w:pPr>
            <w:r w:rsidRPr="00CA268A">
              <w:rPr>
                <w:rFonts w:ascii="Times New Roman" w:hAnsi="Times New Roman" w:cs="Times New Roman"/>
              </w:rPr>
              <w:t>PSEL &gt;</w:t>
            </w:r>
            <w:r w:rsidR="002E7658" w:rsidRPr="00CA268A">
              <w:rPr>
                <w:rFonts w:ascii="Times New Roman" w:hAnsi="Times New Roman" w:cs="Times New Roman"/>
              </w:rPr>
              <w:t>BER</w:t>
            </w:r>
            <w:r w:rsidRPr="00CA268A">
              <w:rPr>
                <w:rFonts w:ascii="Times New Roman" w:hAnsi="Times New Roman" w:cs="Times New Roman"/>
              </w:rPr>
              <w:t xml:space="preserve"> </w:t>
            </w:r>
            <w:r w:rsidR="004E7023" w:rsidRPr="00CA268A">
              <w:rPr>
                <w:rFonts w:ascii="Times New Roman" w:hAnsi="Times New Roman" w:cs="Times New Roman"/>
              </w:rPr>
              <w:t xml:space="preserve">(170 tpy) </w:t>
            </w:r>
            <w:r w:rsidRPr="00CA268A">
              <w:rPr>
                <w:rFonts w:ascii="Times New Roman" w:hAnsi="Times New Roman" w:cs="Times New Roman"/>
              </w:rPr>
              <w:t>by more than SE</w:t>
            </w:r>
            <w:r w:rsidR="002E7658" w:rsidRPr="00CA268A">
              <w:rPr>
                <w:rFonts w:ascii="Times New Roman" w:hAnsi="Times New Roman" w:cs="Times New Roman"/>
              </w:rPr>
              <w:t>R</w:t>
            </w:r>
            <w:r w:rsidRPr="00CA268A">
              <w:rPr>
                <w:rFonts w:ascii="Times New Roman" w:hAnsi="Times New Roman" w:cs="Times New Roman"/>
              </w:rPr>
              <w:t xml:space="preserve"> and</w:t>
            </w:r>
            <w:r w:rsidR="004A32B1" w:rsidRPr="00CA268A">
              <w:rPr>
                <w:rFonts w:ascii="Times New Roman" w:hAnsi="Times New Roman" w:cs="Times New Roman"/>
              </w:rPr>
              <w:t xml:space="preserve"> capacity of new burners (250 tpy) &gt;SER (i.e.</w:t>
            </w:r>
            <w:r w:rsidR="00623067" w:rsidRPr="00CA268A">
              <w:rPr>
                <w:rFonts w:ascii="Times New Roman" w:hAnsi="Times New Roman" w:cs="Times New Roman"/>
              </w:rPr>
              <w:t>,</w:t>
            </w:r>
            <w:r w:rsidRPr="00CA268A">
              <w:rPr>
                <w:rFonts w:ascii="Times New Roman" w:hAnsi="Times New Roman" w:cs="Times New Roman"/>
              </w:rPr>
              <w:t xml:space="preserve"> “major modification”</w:t>
            </w:r>
            <w:r w:rsidR="004A32B1" w:rsidRPr="00CA268A">
              <w:rPr>
                <w:rFonts w:ascii="Times New Roman" w:hAnsi="Times New Roman" w:cs="Times New Roman"/>
              </w:rPr>
              <w:t>)</w:t>
            </w:r>
          </w:p>
        </w:tc>
      </w:tr>
    </w:tbl>
    <w:p w:rsidR="002E7658" w:rsidRPr="00CA268A" w:rsidRDefault="002E7658" w:rsidP="007E3A69">
      <w:pPr>
        <w:spacing w:after="0" w:line="240" w:lineRule="auto"/>
        <w:rPr>
          <w:rFonts w:ascii="Times New Roman" w:hAnsi="Times New Roman" w:cs="Times New Roman"/>
        </w:rPr>
      </w:pPr>
    </w:p>
    <w:p w:rsidR="00EA19BD" w:rsidRDefault="00EA19BD" w:rsidP="00B046E9">
      <w:pPr>
        <w:tabs>
          <w:tab w:val="left" w:pos="1440"/>
        </w:tabs>
        <w:spacing w:after="0" w:line="240" w:lineRule="auto"/>
        <w:ind w:left="1440" w:hanging="1440"/>
        <w:rPr>
          <w:rFonts w:ascii="Times New Roman" w:hAnsi="Times New Roman" w:cs="Times New Roman"/>
        </w:rPr>
      </w:pPr>
    </w:p>
    <w:p w:rsidR="00DC354A" w:rsidRPr="00CA268A" w:rsidRDefault="00DC354A" w:rsidP="00B046E9">
      <w:pPr>
        <w:tabs>
          <w:tab w:val="left" w:pos="1440"/>
        </w:tabs>
        <w:spacing w:after="0" w:line="240" w:lineRule="auto"/>
        <w:ind w:left="1440" w:hanging="1440"/>
        <w:rPr>
          <w:rFonts w:ascii="Times New Roman" w:hAnsi="Times New Roman" w:cs="Times New Roman"/>
        </w:rPr>
      </w:pPr>
      <w:r w:rsidRPr="00CA268A">
        <w:rPr>
          <w:rFonts w:ascii="Times New Roman" w:hAnsi="Times New Roman" w:cs="Times New Roman"/>
        </w:rPr>
        <w:t>Example 5:</w:t>
      </w:r>
      <w:r w:rsidRPr="00CA268A">
        <w:rPr>
          <w:rFonts w:ascii="Times New Roman" w:hAnsi="Times New Roman" w:cs="Times New Roman"/>
        </w:rPr>
        <w:tab/>
      </w:r>
      <w:r w:rsidR="00B046E9" w:rsidRPr="00CA268A">
        <w:rPr>
          <w:rFonts w:ascii="Times New Roman" w:hAnsi="Times New Roman" w:cs="Times New Roman"/>
        </w:rPr>
        <w:t>PSD never triggered because c</w:t>
      </w:r>
      <w:r w:rsidRPr="00CA268A">
        <w:rPr>
          <w:rFonts w:ascii="Times New Roman" w:hAnsi="Times New Roman" w:cs="Times New Roman"/>
        </w:rPr>
        <w:t>apacity to emit decreases below baseline emission rate</w:t>
      </w:r>
      <w:r w:rsidR="00B046E9" w:rsidRPr="00CA268A">
        <w:rPr>
          <w:rFonts w:ascii="Times New Roman" w:hAnsi="Times New Roman" w:cs="Times New Roman"/>
        </w:rPr>
        <w:t xml:space="preserve"> even though there were physical changes.</w:t>
      </w:r>
    </w:p>
    <w:p w:rsidR="00120BB6" w:rsidRPr="00CA268A" w:rsidRDefault="00DC354A" w:rsidP="00DC354A">
      <w:pPr>
        <w:spacing w:after="0" w:line="240" w:lineRule="auto"/>
        <w:ind w:left="1440"/>
        <w:rPr>
          <w:rFonts w:ascii="Times New Roman" w:hAnsi="Times New Roman" w:cs="Times New Roman"/>
        </w:rPr>
      </w:pPr>
      <w:r w:rsidRPr="00CA268A">
        <w:rPr>
          <w:rFonts w:ascii="Times New Roman" w:hAnsi="Times New Roman" w:cs="Times New Roman"/>
        </w:rPr>
        <w:t xml:space="preserve">Pollutant:  </w:t>
      </w:r>
      <w:r w:rsidR="00120BB6"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120BB6" w:rsidRPr="00CA268A">
        <w:rPr>
          <w:rFonts w:ascii="Times New Roman" w:hAnsi="Times New Roman" w:cs="Times New Roman"/>
        </w:rPr>
        <w:t xml:space="preserve"> = 25 tons/yr)</w:t>
      </w:r>
    </w:p>
    <w:p w:rsidR="00120BB6" w:rsidRPr="00CA268A" w:rsidRDefault="00120BB6" w:rsidP="00120BB6">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120BB6" w:rsidRPr="00CA268A" w:rsidTr="00965F22">
        <w:trPr>
          <w:tblHeader/>
        </w:trPr>
        <w:tc>
          <w:tcPr>
            <w:tcW w:w="114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Comments</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Initial PSEL = baseline emission rate (BER)</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1985</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Replace equipment with lower emitting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1990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pollution control equipment to existing units and add another unit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over</w:t>
            </w:r>
            <w:r w:rsidR="0021499B" w:rsidRPr="00CA268A">
              <w:rPr>
                <w:rFonts w:ascii="Times New Roman" w:hAnsi="Times New Roman" w:cs="Times New Roman"/>
              </w:rPr>
              <w:t>-</w:t>
            </w:r>
            <w:r w:rsidRPr="00CA268A">
              <w:rPr>
                <w:rFonts w:ascii="Times New Roman" w:hAnsi="Times New Roman" w:cs="Times New Roman"/>
              </w:rPr>
              <w:t xml:space="preserve"> control and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one piece of equipment to replace two pieces of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B2731F">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2005</w:t>
            </w:r>
          </w:p>
        </w:tc>
        <w:tc>
          <w:tcPr>
            <w:tcW w:w="1177"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200</w:t>
            </w:r>
          </w:p>
        </w:tc>
        <w:tc>
          <w:tcPr>
            <w:tcW w:w="2084"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Previous changes have reduced the capacity to emit</w:t>
            </w:r>
          </w:p>
        </w:tc>
        <w:tc>
          <w:tcPr>
            <w:tcW w:w="2675"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Establish 100 tons of unassigned emissions that will be reduced to the SER if not used within 5 years</w:t>
            </w:r>
          </w:p>
        </w:tc>
        <w:tc>
          <w:tcPr>
            <w:tcW w:w="2496"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 xml:space="preserve">PSEL&lt;BER, </w:t>
            </w:r>
            <w:r w:rsidR="008E6027" w:rsidRPr="00CA268A">
              <w:rPr>
                <w:rFonts w:ascii="Times New Roman" w:hAnsi="Times New Roman" w:cs="Times New Roman"/>
              </w:rPr>
              <w:t>“</w:t>
            </w:r>
            <w:r w:rsidRPr="00CA268A">
              <w:rPr>
                <w:rFonts w:ascii="Times New Roman" w:hAnsi="Times New Roman" w:cs="Times New Roman"/>
              </w:rPr>
              <w:t>unassigned emissions</w:t>
            </w:r>
            <w:r w:rsidR="008E6027" w:rsidRPr="00CA268A">
              <w:rPr>
                <w:rFonts w:ascii="Times New Roman" w:hAnsi="Times New Roman" w:cs="Times New Roman"/>
              </w:rPr>
              <w:t>”</w:t>
            </w:r>
            <w:r w:rsidRPr="00CA268A">
              <w:rPr>
                <w:rFonts w:ascii="Times New Roman" w:hAnsi="Times New Roman" w:cs="Times New Roman"/>
              </w:rPr>
              <w:t xml:space="preserve"> codified in rules in 2001</w:t>
            </w:r>
          </w:p>
        </w:tc>
      </w:tr>
    </w:tbl>
    <w:p w:rsidR="00120BB6" w:rsidRPr="00CA268A" w:rsidRDefault="00120BB6" w:rsidP="00120BB6">
      <w:pPr>
        <w:spacing w:after="0" w:line="240" w:lineRule="auto"/>
        <w:rPr>
          <w:rFonts w:ascii="Times New Roman" w:hAnsi="Times New Roman" w:cs="Times New Roman"/>
        </w:rPr>
      </w:pPr>
    </w:p>
    <w:p w:rsidR="002C0E3A" w:rsidRPr="00CA268A" w:rsidRDefault="002C0E3A">
      <w:pPr>
        <w:rPr>
          <w:rFonts w:ascii="Times New Roman" w:hAnsi="Times New Roman" w:cs="Times New Roman"/>
          <w:b/>
        </w:rPr>
      </w:pPr>
      <w:r w:rsidRPr="00CA268A">
        <w:rPr>
          <w:rFonts w:ascii="Times New Roman" w:hAnsi="Times New Roman" w:cs="Times New Roman"/>
          <w:b/>
        </w:rPr>
        <w:br w:type="page"/>
      </w:r>
    </w:p>
    <w:p w:rsidR="008E6027" w:rsidRPr="00CA268A" w:rsidRDefault="002C0E3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lastRenderedPageBreak/>
        <w:t>Netting Basis</w:t>
      </w:r>
    </w:p>
    <w:p w:rsidR="000D006C"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The original </w:t>
      </w:r>
      <w:r w:rsidR="00C51EE7" w:rsidRPr="00CA268A">
        <w:rPr>
          <w:rFonts w:ascii="Times New Roman" w:hAnsi="Times New Roman" w:cs="Times New Roman"/>
        </w:rPr>
        <w:t xml:space="preserve">NSR </w:t>
      </w:r>
      <w:r w:rsidRPr="00CA268A">
        <w:rPr>
          <w:rFonts w:ascii="Times New Roman" w:hAnsi="Times New Roman" w:cs="Times New Roman"/>
        </w:rPr>
        <w:t xml:space="preserve">program did not have a provision for </w:t>
      </w:r>
      <w:r w:rsidR="006352B5" w:rsidRPr="00CA268A">
        <w:rPr>
          <w:rFonts w:ascii="Times New Roman" w:hAnsi="Times New Roman" w:cs="Times New Roman"/>
        </w:rPr>
        <w:t>adjusting a baseline emission rate,</w:t>
      </w:r>
      <w:r w:rsidRPr="00CA268A">
        <w:rPr>
          <w:rFonts w:ascii="Times New Roman" w:hAnsi="Times New Roman" w:cs="Times New Roman"/>
        </w:rPr>
        <w:t xml:space="preserve"> </w:t>
      </w:r>
      <w:r w:rsidR="002F26AC" w:rsidRPr="00CA268A">
        <w:rPr>
          <w:rFonts w:ascii="Times New Roman" w:hAnsi="Times New Roman" w:cs="Times New Roman"/>
        </w:rPr>
        <w:t>or</w:t>
      </w:r>
      <w:r w:rsidR="006352B5" w:rsidRPr="00CA268A">
        <w:rPr>
          <w:rFonts w:ascii="Times New Roman" w:hAnsi="Times New Roman" w:cs="Times New Roman"/>
        </w:rPr>
        <w:t xml:space="preserve"> for</w:t>
      </w:r>
      <w:r w:rsidR="002F26AC" w:rsidRPr="00CA268A">
        <w:rPr>
          <w:rFonts w:ascii="Times New Roman" w:hAnsi="Times New Roman" w:cs="Times New Roman"/>
        </w:rPr>
        <w:t xml:space="preserve"> establishing </w:t>
      </w:r>
      <w:r w:rsidR="006352B5" w:rsidRPr="00CA268A">
        <w:rPr>
          <w:rFonts w:ascii="Times New Roman" w:hAnsi="Times New Roman" w:cs="Times New Roman"/>
        </w:rPr>
        <w:t>what would effectively be a</w:t>
      </w:r>
      <w:r w:rsidR="00CB1613">
        <w:rPr>
          <w:rFonts w:ascii="Times New Roman" w:hAnsi="Times New Roman" w:cs="Times New Roman"/>
        </w:rPr>
        <w:t xml:space="preserve"> new</w:t>
      </w:r>
      <w:r w:rsidR="006352B5" w:rsidRPr="00CA268A">
        <w:rPr>
          <w:rFonts w:ascii="Times New Roman" w:hAnsi="Times New Roman" w:cs="Times New Roman"/>
        </w:rPr>
        <w:t xml:space="preserve"> “</w:t>
      </w:r>
      <w:r w:rsidRPr="00CA268A">
        <w:rPr>
          <w:rFonts w:ascii="Times New Roman" w:hAnsi="Times New Roman" w:cs="Times New Roman"/>
        </w:rPr>
        <w:t>baseline</w:t>
      </w:r>
      <w:r w:rsidR="006352B5" w:rsidRPr="00CA268A">
        <w:rPr>
          <w:rFonts w:ascii="Times New Roman" w:hAnsi="Times New Roman" w:cs="Times New Roman"/>
        </w:rPr>
        <w:t>”</w:t>
      </w:r>
      <w:r w:rsidRPr="00CA268A">
        <w:rPr>
          <w:rFonts w:ascii="Times New Roman" w:hAnsi="Times New Roman" w:cs="Times New Roman"/>
        </w:rPr>
        <w:t xml:space="preserve"> emission rate if a source went through </w:t>
      </w:r>
      <w:r w:rsidR="009C0BFB" w:rsidRPr="00CA268A">
        <w:rPr>
          <w:rFonts w:ascii="Times New Roman" w:hAnsi="Times New Roman" w:cs="Times New Roman"/>
        </w:rPr>
        <w:t>NSR</w:t>
      </w:r>
      <w:r w:rsidRPr="00CA268A">
        <w:rPr>
          <w:rFonts w:ascii="Times New Roman" w:hAnsi="Times New Roman" w:cs="Times New Roman"/>
        </w:rPr>
        <w:t xml:space="preserve"> </w:t>
      </w:r>
      <w:r w:rsidR="008E6027" w:rsidRPr="00CA268A">
        <w:rPr>
          <w:rFonts w:ascii="Times New Roman" w:hAnsi="Times New Roman" w:cs="Times New Roman"/>
        </w:rPr>
        <w:t>after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In addition, the rules allowed a source to maintain a PSEL equal to the baseline emission rate even if the source no longer had the capacity to emit at the level it had in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 xml:space="preserve">In the first case, a source could be subject to NSR every time there was a </w:t>
      </w:r>
      <w:r w:rsidR="00DF3750" w:rsidRPr="00CA268A">
        <w:rPr>
          <w:rFonts w:ascii="Times New Roman" w:hAnsi="Times New Roman" w:cs="Times New Roman"/>
        </w:rPr>
        <w:t>one ton</w:t>
      </w:r>
      <w:r w:rsidR="002F26AC" w:rsidRPr="00CA268A">
        <w:rPr>
          <w:rFonts w:ascii="Times New Roman" w:hAnsi="Times New Roman" w:cs="Times New Roman"/>
        </w:rPr>
        <w:t xml:space="preserve"> increase in the PSEL even though the source had </w:t>
      </w:r>
      <w:r w:rsidR="00DF3750" w:rsidRPr="00CA268A">
        <w:rPr>
          <w:rFonts w:ascii="Times New Roman" w:hAnsi="Times New Roman" w:cs="Times New Roman"/>
        </w:rPr>
        <w:t xml:space="preserve">recently </w:t>
      </w:r>
      <w:r w:rsidR="002F26AC" w:rsidRPr="00CA268A">
        <w:rPr>
          <w:rFonts w:ascii="Times New Roman" w:hAnsi="Times New Roman" w:cs="Times New Roman"/>
        </w:rPr>
        <w:t>gone through NSR</w:t>
      </w:r>
      <w:r w:rsidR="00C038E4" w:rsidRPr="00CA268A">
        <w:rPr>
          <w:rFonts w:ascii="Times New Roman" w:hAnsi="Times New Roman" w:cs="Times New Roman"/>
        </w:rPr>
        <w:t xml:space="preserve">. </w:t>
      </w:r>
      <w:r w:rsidR="002F26AC" w:rsidRPr="00CA268A">
        <w:rPr>
          <w:rFonts w:ascii="Times New Roman" w:hAnsi="Times New Roman" w:cs="Times New Roman"/>
        </w:rPr>
        <w:t>In the second case, the source could avoid going through NSR even if there were significant changes at the facility that could impact air quality</w:t>
      </w:r>
      <w:r w:rsidR="00C038E4" w:rsidRPr="00CA268A">
        <w:rPr>
          <w:rFonts w:ascii="Times New Roman" w:hAnsi="Times New Roman" w:cs="Times New Roman"/>
        </w:rPr>
        <w:t xml:space="preserve">. </w:t>
      </w:r>
    </w:p>
    <w:p w:rsidR="000D006C" w:rsidRPr="00CA268A" w:rsidRDefault="000D006C" w:rsidP="007E3A69">
      <w:pPr>
        <w:spacing w:after="0" w:line="240" w:lineRule="auto"/>
        <w:rPr>
          <w:rFonts w:ascii="Times New Roman" w:hAnsi="Times New Roman" w:cs="Times New Roman"/>
        </w:rPr>
      </w:pPr>
    </w:p>
    <w:p w:rsidR="00DF3750" w:rsidRPr="00CA268A" w:rsidRDefault="000D006C" w:rsidP="007E3A69">
      <w:pPr>
        <w:spacing w:after="0" w:line="240" w:lineRule="auto"/>
        <w:rPr>
          <w:rFonts w:ascii="Times New Roman" w:hAnsi="Times New Roman" w:cs="Times New Roman"/>
        </w:rPr>
      </w:pPr>
      <w:r w:rsidRPr="00CA268A">
        <w:rPr>
          <w:rFonts w:ascii="Times New Roman" w:hAnsi="Times New Roman" w:cs="Times New Roman"/>
        </w:rPr>
        <w:t xml:space="preserve">In the late 1990’s, DEQ </w:t>
      </w:r>
      <w:r w:rsidR="002C7316" w:rsidRPr="00CA268A">
        <w:rPr>
          <w:rFonts w:ascii="Times New Roman" w:hAnsi="Times New Roman" w:cs="Times New Roman"/>
        </w:rPr>
        <w:t xml:space="preserve">developed </w:t>
      </w:r>
      <w:r w:rsidRPr="00CA268A">
        <w:rPr>
          <w:rFonts w:ascii="Times New Roman" w:hAnsi="Times New Roman" w:cs="Times New Roman"/>
        </w:rPr>
        <w:t xml:space="preserve">through guidance </w:t>
      </w:r>
      <w:r w:rsidR="002C7316" w:rsidRPr="00CA268A">
        <w:rPr>
          <w:rFonts w:ascii="Times New Roman" w:hAnsi="Times New Roman" w:cs="Times New Roman"/>
        </w:rPr>
        <w:t xml:space="preserve">the concept of a “netting basis” as a way to </w:t>
      </w:r>
      <w:r w:rsidR="006352B5" w:rsidRPr="00CA268A">
        <w:rPr>
          <w:rFonts w:ascii="Times New Roman" w:hAnsi="Times New Roman" w:cs="Times New Roman"/>
        </w:rPr>
        <w:t xml:space="preserve">adjust </w:t>
      </w:r>
      <w:r w:rsidR="00CB1613">
        <w:rPr>
          <w:rFonts w:ascii="Times New Roman" w:hAnsi="Times New Roman" w:cs="Times New Roman"/>
        </w:rPr>
        <w:t xml:space="preserve">a baseline emission rate, </w:t>
      </w:r>
      <w:r w:rsidRPr="00CA268A">
        <w:rPr>
          <w:rFonts w:ascii="Times New Roman" w:hAnsi="Times New Roman" w:cs="Times New Roman"/>
        </w:rPr>
        <w:t>or establish a</w:t>
      </w:r>
      <w:r w:rsidR="00CB1613">
        <w:rPr>
          <w:rFonts w:ascii="Times New Roman" w:hAnsi="Times New Roman" w:cs="Times New Roman"/>
        </w:rPr>
        <w:t xml:space="preserve">n emission rate </w:t>
      </w:r>
      <w:r w:rsidR="00727F87">
        <w:rPr>
          <w:rFonts w:ascii="Times New Roman" w:hAnsi="Times New Roman" w:cs="Times New Roman"/>
        </w:rPr>
        <w:t>analogous</w:t>
      </w:r>
      <w:r w:rsidR="00CB1613">
        <w:rPr>
          <w:rFonts w:ascii="Times New Roman" w:hAnsi="Times New Roman" w:cs="Times New Roman"/>
        </w:rPr>
        <w:t xml:space="preserve"> to a</w:t>
      </w:r>
      <w:r w:rsidRPr="00CA268A">
        <w:rPr>
          <w:rFonts w:ascii="Times New Roman" w:hAnsi="Times New Roman" w:cs="Times New Roman"/>
        </w:rPr>
        <w:t xml:space="preserve"> </w:t>
      </w:r>
      <w:r w:rsidR="002C7316" w:rsidRPr="00CA268A">
        <w:rPr>
          <w:rFonts w:ascii="Times New Roman" w:hAnsi="Times New Roman" w:cs="Times New Roman"/>
        </w:rPr>
        <w:t>baseline</w:t>
      </w:r>
      <w:r w:rsidR="00CB1613">
        <w:rPr>
          <w:rFonts w:ascii="Times New Roman" w:hAnsi="Times New Roman" w:cs="Times New Roman"/>
        </w:rPr>
        <w:t xml:space="preserve"> emission rate</w:t>
      </w:r>
      <w:r w:rsidR="002C7316" w:rsidRPr="00CA268A">
        <w:rPr>
          <w:rFonts w:ascii="Times New Roman" w:hAnsi="Times New Roman" w:cs="Times New Roman"/>
        </w:rPr>
        <w:t xml:space="preserve"> once a source goes through NSR</w:t>
      </w:r>
      <w:r w:rsidR="00C038E4" w:rsidRPr="00CA268A">
        <w:rPr>
          <w:rFonts w:ascii="Times New Roman" w:hAnsi="Times New Roman" w:cs="Times New Roman"/>
        </w:rPr>
        <w:t xml:space="preserve">. </w:t>
      </w:r>
      <w:r w:rsidR="002C7316" w:rsidRPr="00CA268A">
        <w:rPr>
          <w:rFonts w:ascii="Times New Roman" w:hAnsi="Times New Roman" w:cs="Times New Roman"/>
        </w:rPr>
        <w:t>Th</w:t>
      </w:r>
      <w:r w:rsidR="00CB1613">
        <w:rPr>
          <w:rFonts w:ascii="Times New Roman" w:hAnsi="Times New Roman" w:cs="Times New Roman"/>
        </w:rPr>
        <w:t>e netting basis</w:t>
      </w:r>
      <w:r w:rsidR="002C7316" w:rsidRPr="00CA268A">
        <w:rPr>
          <w:rFonts w:ascii="Times New Roman" w:hAnsi="Times New Roman" w:cs="Times New Roman"/>
        </w:rPr>
        <w:t xml:space="preserve"> concept was codified in the rules in 2001</w:t>
      </w:r>
      <w:r w:rsidRPr="00CA268A">
        <w:rPr>
          <w:rFonts w:ascii="Times New Roman" w:hAnsi="Times New Roman" w:cs="Times New Roman"/>
        </w:rPr>
        <w:t xml:space="preserve"> and</w:t>
      </w:r>
      <w:r w:rsidR="003C17B0" w:rsidRPr="00CA268A">
        <w:rPr>
          <w:rFonts w:ascii="Times New Roman" w:hAnsi="Times New Roman" w:cs="Times New Roman"/>
        </w:rPr>
        <w:t xml:space="preserve"> specified the types of regulatory actions that could establish or change the</w:t>
      </w:r>
      <w:r w:rsidR="0085078C" w:rsidRPr="00CA268A">
        <w:rPr>
          <w:rFonts w:ascii="Times New Roman" w:hAnsi="Times New Roman" w:cs="Times New Roman"/>
        </w:rPr>
        <w:t xml:space="preserve"> netting basis and how it was to be calculated</w:t>
      </w:r>
      <w:r w:rsidR="00C038E4" w:rsidRPr="00CA268A">
        <w:rPr>
          <w:rFonts w:ascii="Times New Roman" w:hAnsi="Times New Roman" w:cs="Times New Roman"/>
        </w:rPr>
        <w:t xml:space="preserve">. </w:t>
      </w:r>
      <w:r w:rsidR="009A50ED">
        <w:rPr>
          <w:rFonts w:ascii="Times New Roman" w:hAnsi="Times New Roman" w:cs="Times New Roman"/>
        </w:rPr>
        <w:t xml:space="preserve">In many cases, a source’s netting basis was initially equal to its baseline emission rate, and could be adjusted from there. </w:t>
      </w:r>
      <w:r w:rsidR="003C17B0" w:rsidRPr="00CA268A">
        <w:rPr>
          <w:rFonts w:ascii="Times New Roman" w:hAnsi="Times New Roman" w:cs="Times New Roman"/>
        </w:rPr>
        <w:t>I</w:t>
      </w:r>
      <w:r w:rsidRPr="00CA268A">
        <w:rPr>
          <w:rFonts w:ascii="Times New Roman" w:hAnsi="Times New Roman" w:cs="Times New Roman"/>
        </w:rPr>
        <w:t>ncluded</w:t>
      </w:r>
      <w:r w:rsidR="003C17B0" w:rsidRPr="00CA268A">
        <w:rPr>
          <w:rFonts w:ascii="Times New Roman" w:hAnsi="Times New Roman" w:cs="Times New Roman"/>
        </w:rPr>
        <w:t xml:space="preserve"> was a</w:t>
      </w:r>
      <w:r w:rsidRPr="00CA268A">
        <w:rPr>
          <w:rFonts w:ascii="Times New Roman" w:hAnsi="Times New Roman" w:cs="Times New Roman"/>
        </w:rPr>
        <w:t xml:space="preserve"> provision for addressing sources that had PSELs well above their capacity to emit by classifying the unneeded PSEL a</w:t>
      </w:r>
      <w:r w:rsidR="00C32EC4" w:rsidRPr="00CA268A">
        <w:rPr>
          <w:rFonts w:ascii="Times New Roman" w:hAnsi="Times New Roman" w:cs="Times New Roman"/>
        </w:rPr>
        <w:t>s</w:t>
      </w:r>
      <w:r w:rsidRPr="00CA268A">
        <w:rPr>
          <w:rFonts w:ascii="Times New Roman" w:hAnsi="Times New Roman" w:cs="Times New Roman"/>
        </w:rPr>
        <w:t xml:space="preserve"> unassigned emissions</w:t>
      </w:r>
      <w:r w:rsidR="00C038E4" w:rsidRPr="00CA268A">
        <w:rPr>
          <w:rFonts w:ascii="Times New Roman" w:hAnsi="Times New Roman" w:cs="Times New Roman"/>
        </w:rPr>
        <w:t xml:space="preserve">. </w:t>
      </w:r>
      <w:r w:rsidR="00C32EC4" w:rsidRPr="00CA268A">
        <w:rPr>
          <w:rFonts w:ascii="Times New Roman" w:hAnsi="Times New Roman" w:cs="Times New Roman"/>
        </w:rPr>
        <w:t>I</w:t>
      </w:r>
      <w:r w:rsidRPr="00CA268A">
        <w:rPr>
          <w:rFonts w:ascii="Times New Roman" w:hAnsi="Times New Roman" w:cs="Times New Roman"/>
        </w:rPr>
        <w:t>f not used within a 5 year period</w:t>
      </w:r>
      <w:r w:rsidR="00C32EC4" w:rsidRPr="00CA268A">
        <w:rPr>
          <w:rFonts w:ascii="Times New Roman" w:hAnsi="Times New Roman" w:cs="Times New Roman"/>
        </w:rPr>
        <w:t xml:space="preserve">, the </w:t>
      </w:r>
      <w:r w:rsidR="00A34278">
        <w:rPr>
          <w:rFonts w:ascii="Times New Roman" w:hAnsi="Times New Roman" w:cs="Times New Roman"/>
        </w:rPr>
        <w:t xml:space="preserve">amount of </w:t>
      </w:r>
      <w:r w:rsidR="00C32EC4" w:rsidRPr="00CA268A">
        <w:rPr>
          <w:rFonts w:ascii="Times New Roman" w:hAnsi="Times New Roman" w:cs="Times New Roman"/>
        </w:rPr>
        <w:t>unassigned emissions</w:t>
      </w:r>
      <w:r w:rsidR="009F2CD4" w:rsidRPr="00CA268A">
        <w:rPr>
          <w:rFonts w:ascii="Times New Roman" w:hAnsi="Times New Roman" w:cs="Times New Roman"/>
        </w:rPr>
        <w:t xml:space="preserve"> </w:t>
      </w:r>
      <w:r w:rsidR="00A34278">
        <w:rPr>
          <w:rFonts w:ascii="Times New Roman" w:hAnsi="Times New Roman" w:cs="Times New Roman"/>
        </w:rPr>
        <w:t xml:space="preserve">that were </w:t>
      </w:r>
      <w:r w:rsidR="009F2CD4" w:rsidRPr="00CA268A">
        <w:rPr>
          <w:rFonts w:ascii="Times New Roman" w:hAnsi="Times New Roman" w:cs="Times New Roman"/>
        </w:rPr>
        <w:t>greater than the significant emission rate for the pollutant</w:t>
      </w:r>
      <w:r w:rsidRPr="00CA268A">
        <w:rPr>
          <w:rFonts w:ascii="Times New Roman" w:hAnsi="Times New Roman" w:cs="Times New Roman"/>
        </w:rPr>
        <w:t xml:space="preserve"> would be removed from the PSEL and netting basis</w:t>
      </w:r>
      <w:r w:rsidR="00C038E4" w:rsidRPr="00CA268A">
        <w:rPr>
          <w:rFonts w:ascii="Times New Roman" w:hAnsi="Times New Roman" w:cs="Times New Roman"/>
        </w:rPr>
        <w:t xml:space="preserve">. </w:t>
      </w:r>
    </w:p>
    <w:p w:rsidR="00DF3750" w:rsidRPr="00CA268A" w:rsidRDefault="00DF3750" w:rsidP="007E3A69">
      <w:pPr>
        <w:spacing w:after="0" w:line="240" w:lineRule="auto"/>
        <w:rPr>
          <w:rFonts w:ascii="Times New Roman" w:hAnsi="Times New Roman" w:cs="Times New Roman"/>
        </w:rPr>
      </w:pPr>
    </w:p>
    <w:p w:rsidR="00120BB6"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DEQ </w:t>
      </w:r>
      <w:r w:rsidR="000D006C" w:rsidRPr="00CA268A">
        <w:rPr>
          <w:rFonts w:ascii="Times New Roman" w:hAnsi="Times New Roman" w:cs="Times New Roman"/>
        </w:rPr>
        <w:t xml:space="preserve">also </w:t>
      </w:r>
      <w:r w:rsidRPr="00CA268A">
        <w:rPr>
          <w:rFonts w:ascii="Times New Roman" w:hAnsi="Times New Roman" w:cs="Times New Roman"/>
        </w:rPr>
        <w:t xml:space="preserve">clarified </w:t>
      </w:r>
      <w:r w:rsidR="000D006C" w:rsidRPr="00CA268A">
        <w:rPr>
          <w:rFonts w:ascii="Times New Roman" w:hAnsi="Times New Roman" w:cs="Times New Roman"/>
        </w:rPr>
        <w:t xml:space="preserve">in the 2001 rule changes </w:t>
      </w:r>
      <w:r w:rsidRPr="00CA268A">
        <w:rPr>
          <w:rFonts w:ascii="Times New Roman" w:hAnsi="Times New Roman" w:cs="Times New Roman"/>
        </w:rPr>
        <w:t xml:space="preserve">that the </w:t>
      </w:r>
      <w:r w:rsidR="009C0BFB" w:rsidRPr="00CA268A">
        <w:rPr>
          <w:rFonts w:ascii="Times New Roman" w:hAnsi="Times New Roman" w:cs="Times New Roman"/>
        </w:rPr>
        <w:t>Prevention of Significant D</w:t>
      </w:r>
      <w:r w:rsidR="000D006C" w:rsidRPr="00CA268A">
        <w:rPr>
          <w:rFonts w:ascii="Times New Roman" w:hAnsi="Times New Roman" w:cs="Times New Roman"/>
        </w:rPr>
        <w:t xml:space="preserve">eterioration </w:t>
      </w:r>
      <w:r w:rsidRPr="00CA268A">
        <w:rPr>
          <w:rFonts w:ascii="Times New Roman" w:hAnsi="Times New Roman" w:cs="Times New Roman"/>
        </w:rPr>
        <w:t>provisions of the NSR program only applied to “federal major sources” (</w:t>
      </w:r>
      <w:r w:rsidR="0021499B" w:rsidRPr="00CA268A">
        <w:rPr>
          <w:rFonts w:ascii="Times New Roman" w:hAnsi="Times New Roman" w:cs="Times New Roman"/>
        </w:rPr>
        <w:t>i.e.</w:t>
      </w:r>
      <w:r w:rsidR="00623067" w:rsidRPr="00CA268A">
        <w:rPr>
          <w:rFonts w:ascii="Times New Roman" w:hAnsi="Times New Roman" w:cs="Times New Roman"/>
        </w:rPr>
        <w:t>,</w:t>
      </w:r>
      <w:r w:rsidRPr="00CA268A">
        <w:rPr>
          <w:rFonts w:ascii="Times New Roman" w:hAnsi="Times New Roman" w:cs="Times New Roman"/>
        </w:rPr>
        <w:t xml:space="preserve"> source</w:t>
      </w:r>
      <w:r w:rsidR="008E7E06" w:rsidRPr="00CA268A">
        <w:rPr>
          <w:rFonts w:ascii="Times New Roman" w:hAnsi="Times New Roman" w:cs="Times New Roman"/>
        </w:rPr>
        <w:t>s</w:t>
      </w:r>
      <w:r w:rsidRPr="00CA268A">
        <w:rPr>
          <w:rFonts w:ascii="Times New Roman" w:hAnsi="Times New Roman" w:cs="Times New Roman"/>
        </w:rPr>
        <w:t xml:space="preserve"> with </w:t>
      </w:r>
      <w:r w:rsidR="008E7E06" w:rsidRPr="00CA268A">
        <w:rPr>
          <w:rFonts w:ascii="Times New Roman" w:hAnsi="Times New Roman" w:cs="Times New Roman"/>
        </w:rPr>
        <w:t xml:space="preserve">the potential to emit a criteria pollutant </w:t>
      </w:r>
      <w:r w:rsidRPr="00CA268A">
        <w:rPr>
          <w:rFonts w:ascii="Times New Roman" w:hAnsi="Times New Roman" w:cs="Times New Roman"/>
        </w:rPr>
        <w:t>greater than 100 ton</w:t>
      </w:r>
      <w:r w:rsidR="0048523B" w:rsidRPr="00CA268A">
        <w:rPr>
          <w:rFonts w:ascii="Times New Roman" w:hAnsi="Times New Roman" w:cs="Times New Roman"/>
        </w:rPr>
        <w:t>s</w:t>
      </w:r>
      <w:r w:rsidRPr="00CA268A">
        <w:rPr>
          <w:rFonts w:ascii="Times New Roman" w:hAnsi="Times New Roman" w:cs="Times New Roman"/>
        </w:rPr>
        <w:t xml:space="preserve"> per year for </w:t>
      </w:r>
      <w:r w:rsidR="008E7E06" w:rsidRPr="00CA268A">
        <w:rPr>
          <w:rFonts w:ascii="Times New Roman" w:hAnsi="Times New Roman" w:cs="Times New Roman"/>
        </w:rPr>
        <w:t>2</w:t>
      </w:r>
      <w:r w:rsidR="008E6027" w:rsidRPr="00CA268A">
        <w:rPr>
          <w:rFonts w:ascii="Times New Roman" w:hAnsi="Times New Roman" w:cs="Times New Roman"/>
        </w:rPr>
        <w:t>8</w:t>
      </w:r>
      <w:r w:rsidR="008E7E06" w:rsidRPr="00CA268A">
        <w:rPr>
          <w:rFonts w:ascii="Times New Roman" w:hAnsi="Times New Roman" w:cs="Times New Roman"/>
        </w:rPr>
        <w:t xml:space="preserve"> </w:t>
      </w:r>
      <w:r w:rsidRPr="00CA268A">
        <w:rPr>
          <w:rFonts w:ascii="Times New Roman" w:hAnsi="Times New Roman" w:cs="Times New Roman"/>
        </w:rPr>
        <w:t>listed source categories and 250 tons per year for all other sources)</w:t>
      </w:r>
      <w:r w:rsidR="00C038E4" w:rsidRPr="00CA268A">
        <w:rPr>
          <w:rFonts w:ascii="Times New Roman" w:hAnsi="Times New Roman" w:cs="Times New Roman"/>
        </w:rPr>
        <w:t xml:space="preserve">. </w:t>
      </w:r>
      <w:r w:rsidRPr="00CA268A">
        <w:rPr>
          <w:rFonts w:ascii="Times New Roman" w:hAnsi="Times New Roman" w:cs="Times New Roman"/>
        </w:rPr>
        <w:t xml:space="preserve">Prior to 2001, a source with </w:t>
      </w:r>
      <w:r w:rsidR="00B25D72">
        <w:rPr>
          <w:rFonts w:ascii="Times New Roman" w:hAnsi="Times New Roman" w:cs="Times New Roman"/>
        </w:rPr>
        <w:t>potential to emit</w:t>
      </w:r>
      <w:r w:rsidRPr="00CA268A">
        <w:rPr>
          <w:rFonts w:ascii="Times New Roman" w:hAnsi="Times New Roman" w:cs="Times New Roman"/>
        </w:rPr>
        <w:t xml:space="preserve"> between the significant emission rate and the federal major source level </w:t>
      </w:r>
      <w:r w:rsidR="008E6027" w:rsidRPr="00CA268A">
        <w:rPr>
          <w:rFonts w:ascii="Times New Roman" w:hAnsi="Times New Roman" w:cs="Times New Roman"/>
        </w:rPr>
        <w:t>was</w:t>
      </w:r>
      <w:r w:rsidRPr="00CA268A">
        <w:rPr>
          <w:rFonts w:ascii="Times New Roman" w:hAnsi="Times New Roman" w:cs="Times New Roman"/>
        </w:rPr>
        <w:t xml:space="preserve"> subject to “state</w:t>
      </w:r>
      <w:r w:rsidR="00C32EC4" w:rsidRPr="00CA268A">
        <w:rPr>
          <w:rFonts w:ascii="Times New Roman" w:hAnsi="Times New Roman" w:cs="Times New Roman"/>
        </w:rPr>
        <w:t>”</w:t>
      </w:r>
      <w:r w:rsidRPr="00CA268A">
        <w:rPr>
          <w:rFonts w:ascii="Times New Roman" w:hAnsi="Times New Roman" w:cs="Times New Roman"/>
        </w:rPr>
        <w:t xml:space="preserve"> PSD, which required an air quality impact analysis but did not require BACT</w:t>
      </w:r>
      <w:r w:rsidR="00C038E4" w:rsidRPr="00CA268A">
        <w:rPr>
          <w:rFonts w:ascii="Times New Roman" w:hAnsi="Times New Roman" w:cs="Times New Roman"/>
        </w:rPr>
        <w:t xml:space="preserve">. </w:t>
      </w:r>
      <w:r w:rsidR="008E7E06" w:rsidRPr="00CA268A">
        <w:rPr>
          <w:rFonts w:ascii="Times New Roman" w:hAnsi="Times New Roman" w:cs="Times New Roman"/>
        </w:rPr>
        <w:t xml:space="preserve">The rule changes in 2001 did not affect the stringency of the program because sources with </w:t>
      </w:r>
      <w:r w:rsidR="00B25D72">
        <w:rPr>
          <w:rFonts w:ascii="Times New Roman" w:hAnsi="Times New Roman" w:cs="Times New Roman"/>
        </w:rPr>
        <w:t>potential to emit</w:t>
      </w:r>
      <w:r w:rsidR="008E7E06" w:rsidRPr="00CA268A">
        <w:rPr>
          <w:rFonts w:ascii="Times New Roman" w:hAnsi="Times New Roman" w:cs="Times New Roman"/>
        </w:rPr>
        <w:t xml:space="preserve"> between the </w:t>
      </w:r>
      <w:r w:rsidR="0003730D">
        <w:rPr>
          <w:rFonts w:ascii="Times New Roman" w:hAnsi="Times New Roman" w:cs="Times New Roman"/>
        </w:rPr>
        <w:t>significant emission rate</w:t>
      </w:r>
      <w:r w:rsidR="008E7E06" w:rsidRPr="00CA268A">
        <w:rPr>
          <w:rFonts w:ascii="Times New Roman" w:hAnsi="Times New Roman" w:cs="Times New Roman"/>
        </w:rPr>
        <w:t xml:space="preserve"> and federal major source levels </w:t>
      </w:r>
      <w:r w:rsidR="003C17B0" w:rsidRPr="00CA268A">
        <w:rPr>
          <w:rFonts w:ascii="Times New Roman" w:hAnsi="Times New Roman" w:cs="Times New Roman"/>
        </w:rPr>
        <w:t xml:space="preserve">were </w:t>
      </w:r>
      <w:r w:rsidR="008E7E06" w:rsidRPr="00CA268A">
        <w:rPr>
          <w:rFonts w:ascii="Times New Roman" w:hAnsi="Times New Roman" w:cs="Times New Roman"/>
        </w:rPr>
        <w:t>still required to conduct an air quality impact analysis</w:t>
      </w:r>
      <w:r w:rsidR="000D006C" w:rsidRPr="00CA268A">
        <w:rPr>
          <w:rFonts w:ascii="Times New Roman" w:hAnsi="Times New Roman" w:cs="Times New Roman"/>
        </w:rPr>
        <w:t>.</w:t>
      </w:r>
    </w:p>
    <w:p w:rsidR="00066351" w:rsidRPr="00CA268A" w:rsidRDefault="00066351" w:rsidP="007E3A69">
      <w:pPr>
        <w:spacing w:after="0" w:line="240" w:lineRule="auto"/>
        <w:rPr>
          <w:rFonts w:ascii="Times New Roman" w:hAnsi="Times New Roman" w:cs="Times New Roman"/>
        </w:rPr>
      </w:pPr>
    </w:p>
    <w:p w:rsidR="00CC2696" w:rsidRPr="00CA268A" w:rsidRDefault="00066351" w:rsidP="009B1A8A">
      <w:pPr>
        <w:spacing w:after="0" w:line="240" w:lineRule="auto"/>
        <w:rPr>
          <w:rFonts w:ascii="Times New Roman" w:hAnsi="Times New Roman" w:cs="Times New Roman"/>
        </w:rPr>
      </w:pPr>
      <w:r w:rsidRPr="00CA268A">
        <w:rPr>
          <w:rFonts w:ascii="Times New Roman" w:hAnsi="Times New Roman" w:cs="Times New Roman"/>
        </w:rPr>
        <w:t xml:space="preserve">In this rulemaking, DEQ is providing clarification for the definition of a “major modification” to be consistent </w:t>
      </w:r>
      <w:r w:rsidR="00D960FF" w:rsidRPr="00CA268A">
        <w:rPr>
          <w:rFonts w:ascii="Times New Roman" w:hAnsi="Times New Roman" w:cs="Times New Roman"/>
        </w:rPr>
        <w:t>with the rule changes made in 2001 when the concept of the “netting basis” was codified</w:t>
      </w:r>
      <w:r w:rsidR="00C038E4" w:rsidRPr="00CA268A">
        <w:rPr>
          <w:rFonts w:ascii="Times New Roman" w:hAnsi="Times New Roman" w:cs="Times New Roman"/>
        </w:rPr>
        <w:t xml:space="preserve">. </w:t>
      </w:r>
      <w:r w:rsidR="00D960FF" w:rsidRPr="00CA268A">
        <w:rPr>
          <w:rFonts w:ascii="Times New Roman" w:hAnsi="Times New Roman" w:cs="Times New Roman"/>
        </w:rPr>
        <w:t xml:space="preserve">Prior to 2001, the definition </w:t>
      </w:r>
      <w:r w:rsidR="00C51EE7" w:rsidRPr="00CA268A">
        <w:rPr>
          <w:rFonts w:ascii="Times New Roman" w:hAnsi="Times New Roman" w:cs="Times New Roman"/>
        </w:rPr>
        <w:t xml:space="preserve">of major modification </w:t>
      </w:r>
      <w:r w:rsidR="00D960FF" w:rsidRPr="00CA268A">
        <w:rPr>
          <w:rFonts w:ascii="Times New Roman" w:hAnsi="Times New Roman" w:cs="Times New Roman"/>
        </w:rPr>
        <w:t xml:space="preserve">referred to the “baseline period” for determining emission increases due </w:t>
      </w:r>
      <w:r w:rsidR="008579C7" w:rsidRPr="00CA268A">
        <w:rPr>
          <w:rFonts w:ascii="Times New Roman" w:hAnsi="Times New Roman" w:cs="Times New Roman"/>
        </w:rPr>
        <w:t xml:space="preserve">to </w:t>
      </w:r>
      <w:r w:rsidR="00D960FF" w:rsidRPr="00CA268A">
        <w:rPr>
          <w:rFonts w:ascii="Times New Roman" w:hAnsi="Times New Roman" w:cs="Times New Roman"/>
        </w:rPr>
        <w:t>physical changes and changes in the method of operation</w:t>
      </w:r>
      <w:r w:rsidR="00C038E4" w:rsidRPr="00CA268A">
        <w:rPr>
          <w:rFonts w:ascii="Times New Roman" w:hAnsi="Times New Roman" w:cs="Times New Roman"/>
        </w:rPr>
        <w:t xml:space="preserve">. </w:t>
      </w:r>
      <w:r w:rsidR="00D960FF" w:rsidRPr="00CA268A">
        <w:rPr>
          <w:rFonts w:ascii="Times New Roman" w:hAnsi="Times New Roman" w:cs="Times New Roman"/>
        </w:rPr>
        <w:t>In 20</w:t>
      </w:r>
      <w:r w:rsidR="00A819B5" w:rsidRPr="00CA268A">
        <w:rPr>
          <w:rFonts w:ascii="Times New Roman" w:hAnsi="Times New Roman" w:cs="Times New Roman"/>
        </w:rPr>
        <w:t>0</w:t>
      </w:r>
      <w:r w:rsidR="00D960FF" w:rsidRPr="00CA268A">
        <w:rPr>
          <w:rFonts w:ascii="Times New Roman" w:hAnsi="Times New Roman" w:cs="Times New Roman"/>
        </w:rPr>
        <w:t>1, the definition was revised by referring to either the baseline period or “the last new source review” action</w:t>
      </w:r>
      <w:r w:rsidR="008579C7" w:rsidRPr="00CA268A">
        <w:rPr>
          <w:rFonts w:ascii="Times New Roman" w:hAnsi="Times New Roman" w:cs="Times New Roman"/>
        </w:rPr>
        <w:t xml:space="preserve"> for the source</w:t>
      </w:r>
      <w:r w:rsidR="00C038E4" w:rsidRPr="00CA268A">
        <w:rPr>
          <w:rFonts w:ascii="Times New Roman" w:hAnsi="Times New Roman" w:cs="Times New Roman"/>
        </w:rPr>
        <w:t xml:space="preserve">. </w:t>
      </w:r>
      <w:r w:rsidR="008579C7" w:rsidRPr="00CA268A">
        <w:rPr>
          <w:rFonts w:ascii="Times New Roman" w:hAnsi="Times New Roman" w:cs="Times New Roman"/>
        </w:rPr>
        <w:t xml:space="preserve">The intent </w:t>
      </w:r>
      <w:r w:rsidR="0021499B" w:rsidRPr="00CA268A">
        <w:rPr>
          <w:rFonts w:ascii="Times New Roman" w:hAnsi="Times New Roman" w:cs="Times New Roman"/>
        </w:rPr>
        <w:t xml:space="preserve">was </w:t>
      </w:r>
      <w:r w:rsidR="008579C7" w:rsidRPr="00CA268A">
        <w:rPr>
          <w:rFonts w:ascii="Times New Roman" w:hAnsi="Times New Roman" w:cs="Times New Roman"/>
        </w:rPr>
        <w:t xml:space="preserve">that future increases would be compared to the most recent netting basis </w:t>
      </w:r>
      <w:r w:rsidR="000D006C" w:rsidRPr="00CA268A">
        <w:rPr>
          <w:rFonts w:ascii="Times New Roman" w:hAnsi="Times New Roman" w:cs="Times New Roman"/>
        </w:rPr>
        <w:t xml:space="preserve">established </w:t>
      </w:r>
      <w:r w:rsidR="008579C7" w:rsidRPr="00CA268A">
        <w:rPr>
          <w:rFonts w:ascii="Times New Roman" w:hAnsi="Times New Roman" w:cs="Times New Roman"/>
        </w:rPr>
        <w:t>for the source</w:t>
      </w:r>
      <w:r w:rsidR="00C038E4" w:rsidRPr="00CA268A">
        <w:rPr>
          <w:rFonts w:ascii="Times New Roman" w:hAnsi="Times New Roman" w:cs="Times New Roman"/>
        </w:rPr>
        <w:t xml:space="preserve">. </w:t>
      </w:r>
      <w:r w:rsidR="00CC2696" w:rsidRPr="00CA268A">
        <w:rPr>
          <w:rFonts w:ascii="Times New Roman" w:hAnsi="Times New Roman" w:cs="Times New Roman"/>
        </w:rPr>
        <w:t xml:space="preserve">DEQ proposes removing reference to the baseline period </w:t>
      </w:r>
      <w:r w:rsidR="00B85294" w:rsidRPr="00CA268A">
        <w:rPr>
          <w:rFonts w:ascii="Times New Roman" w:hAnsi="Times New Roman" w:cs="Times New Roman"/>
        </w:rPr>
        <w:t xml:space="preserve">or </w:t>
      </w:r>
      <w:r w:rsidR="00CC2696" w:rsidRPr="00CA268A">
        <w:rPr>
          <w:rFonts w:ascii="Times New Roman" w:hAnsi="Times New Roman" w:cs="Times New Roman"/>
        </w:rPr>
        <w:t xml:space="preserve">most recent NSR action </w:t>
      </w:r>
      <w:r w:rsidR="0002315F" w:rsidRPr="00CA268A">
        <w:rPr>
          <w:rFonts w:ascii="Times New Roman" w:hAnsi="Times New Roman" w:cs="Times New Roman"/>
        </w:rPr>
        <w:t xml:space="preserve">to </w:t>
      </w:r>
      <w:r w:rsidR="00CC2696" w:rsidRPr="00CA268A">
        <w:rPr>
          <w:rFonts w:ascii="Times New Roman" w:hAnsi="Times New Roman" w:cs="Times New Roman"/>
        </w:rPr>
        <w:t>use</w:t>
      </w:r>
      <w:r w:rsidR="00B85294" w:rsidRPr="00CA268A">
        <w:rPr>
          <w:rFonts w:ascii="Times New Roman" w:hAnsi="Times New Roman" w:cs="Times New Roman"/>
        </w:rPr>
        <w:t xml:space="preserve"> instead</w:t>
      </w:r>
      <w:r w:rsidR="00CC2696" w:rsidRPr="00CA268A">
        <w:rPr>
          <w:rFonts w:ascii="Times New Roman" w:hAnsi="Times New Roman" w:cs="Times New Roman"/>
        </w:rPr>
        <w:t xml:space="preserve"> the most recent netting basis for determining increases due to physical changes or changes in the method of operation</w:t>
      </w:r>
      <w:r w:rsidR="00C038E4" w:rsidRPr="00CA268A">
        <w:rPr>
          <w:rFonts w:ascii="Times New Roman" w:hAnsi="Times New Roman" w:cs="Times New Roman"/>
        </w:rPr>
        <w:t xml:space="preserve">. </w:t>
      </w:r>
    </w:p>
    <w:p w:rsidR="00CC2696" w:rsidRPr="00CA268A" w:rsidRDefault="00CC2696" w:rsidP="009B1A8A">
      <w:pPr>
        <w:spacing w:after="0" w:line="240" w:lineRule="auto"/>
        <w:rPr>
          <w:rFonts w:ascii="Times New Roman" w:hAnsi="Times New Roman" w:cs="Times New Roman"/>
        </w:rPr>
      </w:pPr>
    </w:p>
    <w:p w:rsidR="00CD5AEF" w:rsidRPr="00CA268A" w:rsidRDefault="00E66293" w:rsidP="009B1A8A">
      <w:pPr>
        <w:spacing w:after="0" w:line="240" w:lineRule="auto"/>
        <w:rPr>
          <w:rFonts w:ascii="Times New Roman" w:hAnsi="Times New Roman" w:cs="Times New Roman"/>
        </w:rPr>
      </w:pPr>
      <w:r w:rsidRPr="00CA268A">
        <w:rPr>
          <w:rFonts w:ascii="Times New Roman" w:hAnsi="Times New Roman" w:cs="Times New Roman"/>
        </w:rPr>
        <w:t>This change provides clarification, but is also necessary in order to implement the NSR program for fine particulate matter (PM</w:t>
      </w:r>
      <w:r w:rsidRPr="00CA268A">
        <w:rPr>
          <w:rFonts w:ascii="Times New Roman" w:hAnsi="Times New Roman" w:cs="Times New Roman"/>
          <w:vertAlign w:val="subscript"/>
        </w:rPr>
        <w:t>2.5</w:t>
      </w:r>
      <w:r w:rsidRPr="00CA268A">
        <w:rPr>
          <w:rFonts w:ascii="Times New Roman" w:hAnsi="Times New Roman" w:cs="Times New Roman"/>
        </w:rPr>
        <w:t>), which became a regulated pollutant in 2011</w:t>
      </w:r>
      <w:r w:rsidR="00C038E4" w:rsidRPr="00CA268A">
        <w:rPr>
          <w:rFonts w:ascii="Times New Roman" w:hAnsi="Times New Roman" w:cs="Times New Roman"/>
        </w:rPr>
        <w:t xml:space="preserve">. </w:t>
      </w:r>
      <w:r w:rsidRPr="00CA268A">
        <w:rPr>
          <w:rFonts w:ascii="Times New Roman" w:hAnsi="Times New Roman" w:cs="Times New Roman"/>
        </w:rPr>
        <w:t>PM</w:t>
      </w:r>
      <w:r w:rsidRPr="00CA268A">
        <w:rPr>
          <w:rFonts w:ascii="Times New Roman" w:hAnsi="Times New Roman" w:cs="Times New Roman"/>
          <w:vertAlign w:val="subscript"/>
        </w:rPr>
        <w:t>2.5</w:t>
      </w:r>
      <w:r w:rsidRPr="00CA268A">
        <w:rPr>
          <w:rFonts w:ascii="Times New Roman" w:hAnsi="Times New Roman" w:cs="Times New Roman"/>
        </w:rPr>
        <w:t xml:space="preserve"> is a fraction of</w:t>
      </w:r>
      <w:r w:rsidR="00FF0B87">
        <w:rPr>
          <w:rFonts w:ascii="Times New Roman" w:hAnsi="Times New Roman" w:cs="Times New Roman"/>
        </w:rPr>
        <w:t xml:space="preserve"> both</w:t>
      </w:r>
      <w:r w:rsidRPr="00CA268A">
        <w:rPr>
          <w:rFonts w:ascii="Times New Roman" w:hAnsi="Times New Roman" w:cs="Times New Roman"/>
        </w:rPr>
        <w:t xml:space="preserve"> </w:t>
      </w:r>
      <w:r w:rsidR="001F2D39" w:rsidRPr="00CA268A">
        <w:rPr>
          <w:rFonts w:ascii="Times New Roman" w:hAnsi="Times New Roman" w:cs="Times New Roman"/>
        </w:rPr>
        <w:t>t</w:t>
      </w:r>
      <w:r w:rsidRPr="00CA268A">
        <w:rPr>
          <w:rFonts w:ascii="Times New Roman" w:hAnsi="Times New Roman" w:cs="Times New Roman"/>
        </w:rPr>
        <w:t xml:space="preserve">otal particulate matter (PM) and </w:t>
      </w:r>
      <w:r w:rsidR="00255A81">
        <w:rPr>
          <w:rFonts w:ascii="Times New Roman" w:hAnsi="Times New Roman" w:cs="Times New Roman"/>
        </w:rPr>
        <w:t>coarse</w:t>
      </w:r>
      <w:r w:rsidR="00255A81" w:rsidRPr="00CA268A">
        <w:rPr>
          <w:rFonts w:ascii="Times New Roman" w:hAnsi="Times New Roman" w:cs="Times New Roman"/>
        </w:rPr>
        <w:t xml:space="preserve"> </w:t>
      </w:r>
      <w:r w:rsidRPr="00CA268A">
        <w:rPr>
          <w:rFonts w:ascii="Times New Roman" w:hAnsi="Times New Roman" w:cs="Times New Roman"/>
        </w:rPr>
        <w:t>particulate matter (PM</w:t>
      </w:r>
      <w:r w:rsidRPr="00CA268A">
        <w:rPr>
          <w:rFonts w:ascii="Times New Roman" w:hAnsi="Times New Roman" w:cs="Times New Roman"/>
          <w:vertAlign w:val="subscript"/>
        </w:rPr>
        <w:t>10</w:t>
      </w:r>
      <w:r w:rsidRPr="00CA268A">
        <w:rPr>
          <w:rFonts w:ascii="Times New Roman" w:hAnsi="Times New Roman" w:cs="Times New Roman"/>
        </w:rPr>
        <w:t>)</w:t>
      </w:r>
      <w:r w:rsidR="001F2D39" w:rsidRPr="00CA268A">
        <w:rPr>
          <w:rFonts w:ascii="Times New Roman" w:hAnsi="Times New Roman" w:cs="Times New Roman"/>
        </w:rPr>
        <w:t>, which both have baseline periods of 1977/1978</w:t>
      </w:r>
      <w:r w:rsidR="00C038E4" w:rsidRPr="00CA268A">
        <w:rPr>
          <w:rFonts w:ascii="Times New Roman" w:hAnsi="Times New Roman" w:cs="Times New Roman"/>
        </w:rPr>
        <w:t xml:space="preserve">. </w:t>
      </w:r>
      <w:r w:rsidRPr="00CA268A">
        <w:rPr>
          <w:rFonts w:ascii="Times New Roman" w:hAnsi="Times New Roman" w:cs="Times New Roman"/>
        </w:rPr>
        <w:t>However, due to the number of years between the baseline period and when PM</w:t>
      </w:r>
      <w:r w:rsidRPr="00CA268A">
        <w:rPr>
          <w:rFonts w:ascii="Times New Roman" w:hAnsi="Times New Roman" w:cs="Times New Roman"/>
          <w:vertAlign w:val="subscript"/>
        </w:rPr>
        <w:t>2.5</w:t>
      </w:r>
      <w:r w:rsidRPr="00CA268A">
        <w:rPr>
          <w:rFonts w:ascii="Times New Roman" w:hAnsi="Times New Roman" w:cs="Times New Roman"/>
        </w:rPr>
        <w:t xml:space="preserve"> became a regulated pollutant</w:t>
      </w:r>
      <w:r w:rsidR="0085078C" w:rsidRPr="00CA268A">
        <w:rPr>
          <w:rFonts w:ascii="Times New Roman" w:hAnsi="Times New Roman" w:cs="Times New Roman"/>
        </w:rPr>
        <w:t>,</w:t>
      </w:r>
      <w:r w:rsidR="001F2D39" w:rsidRPr="00CA268A">
        <w:rPr>
          <w:rFonts w:ascii="Times New Roman" w:hAnsi="Times New Roman" w:cs="Times New Roman"/>
        </w:rPr>
        <w:t xml:space="preserve"> and the likelihood that most sources are configured differently now than in the baseline period</w:t>
      </w:r>
      <w:r w:rsidRPr="00CA268A">
        <w:rPr>
          <w:rFonts w:ascii="Times New Roman" w:hAnsi="Times New Roman" w:cs="Times New Roman"/>
        </w:rPr>
        <w:t>, DEQ did not believe it was appropriate to establish a baseline emission rate for PM</w:t>
      </w:r>
      <w:r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In most cases, it would be </w:t>
      </w:r>
      <w:r w:rsidR="00354767" w:rsidRPr="00CA268A">
        <w:rPr>
          <w:rFonts w:ascii="Times New Roman" w:hAnsi="Times New Roman" w:cs="Times New Roman"/>
        </w:rPr>
        <w:t>impracticable</w:t>
      </w:r>
      <w:r w:rsidR="001F2D39" w:rsidRPr="00CA268A">
        <w:rPr>
          <w:rFonts w:ascii="Times New Roman" w:hAnsi="Times New Roman" w:cs="Times New Roman"/>
        </w:rPr>
        <w:t xml:space="preserve"> to obtain the information from 1977/1978 to establish the baseline emission rate</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Therefore, </w:t>
      </w:r>
      <w:r w:rsidR="00354767" w:rsidRPr="00CA268A">
        <w:rPr>
          <w:rFonts w:ascii="Times New Roman" w:hAnsi="Times New Roman" w:cs="Times New Roman"/>
        </w:rPr>
        <w:t>the 2011 rules required that a netting basis be established for PM</w:t>
      </w:r>
      <w:r w:rsidR="00354767" w:rsidRPr="00CA268A">
        <w:rPr>
          <w:rFonts w:ascii="Times New Roman" w:hAnsi="Times New Roman" w:cs="Times New Roman"/>
          <w:vertAlign w:val="subscript"/>
        </w:rPr>
        <w:t>2.5</w:t>
      </w:r>
      <w:r w:rsidR="00723F53" w:rsidRPr="00CA268A">
        <w:rPr>
          <w:rFonts w:ascii="Times New Roman" w:hAnsi="Times New Roman" w:cs="Times New Roman"/>
        </w:rPr>
        <w:t>, but not a baseline emission rate</w:t>
      </w:r>
      <w:r w:rsidR="00C038E4" w:rsidRPr="00CA268A">
        <w:rPr>
          <w:rFonts w:ascii="Times New Roman" w:hAnsi="Times New Roman" w:cs="Times New Roman"/>
        </w:rPr>
        <w:t xml:space="preserve">. </w:t>
      </w:r>
      <w:r w:rsidR="00354767" w:rsidRPr="00CA268A">
        <w:rPr>
          <w:rFonts w:ascii="Times New Roman" w:hAnsi="Times New Roman" w:cs="Times New Roman"/>
        </w:rPr>
        <w:t>The rules specified that the initial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is the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fraction of the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netting basis in effect on May 1, 2011</w:t>
      </w:r>
      <w:r w:rsidR="00C038E4" w:rsidRPr="00CA268A">
        <w:rPr>
          <w:rFonts w:ascii="Times New Roman" w:hAnsi="Times New Roman" w:cs="Times New Roman"/>
        </w:rPr>
        <w:t xml:space="preserve">. </w:t>
      </w:r>
      <w:r w:rsidR="00354767" w:rsidRPr="00CA268A">
        <w:rPr>
          <w:rFonts w:ascii="Times New Roman" w:hAnsi="Times New Roman" w:cs="Times New Roman"/>
        </w:rPr>
        <w:t>Using this approach, the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reflects the current configuration of the facility, as well as all previous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permitting decisions</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As a result, moving forward, it is only necessary to compare emissions increases due to future changes at a source to the netting basis and not the baseline </w:t>
      </w:r>
      <w:r w:rsidR="00F5772B">
        <w:rPr>
          <w:rFonts w:ascii="Times New Roman" w:hAnsi="Times New Roman" w:cs="Times New Roman"/>
        </w:rPr>
        <w:t>emission rate</w:t>
      </w:r>
      <w:r w:rsidR="00C038E4" w:rsidRPr="00CA268A">
        <w:rPr>
          <w:rFonts w:ascii="Times New Roman" w:hAnsi="Times New Roman" w:cs="Times New Roman"/>
        </w:rPr>
        <w:t xml:space="preserve">. </w:t>
      </w:r>
    </w:p>
    <w:p w:rsidR="00CD5AEF" w:rsidRPr="00CA268A" w:rsidRDefault="00CD5AEF" w:rsidP="009B1A8A">
      <w:pPr>
        <w:spacing w:after="0" w:line="240" w:lineRule="auto"/>
        <w:rPr>
          <w:rFonts w:ascii="Times New Roman" w:hAnsi="Times New Roman" w:cs="Times New Roman"/>
        </w:rPr>
      </w:pPr>
    </w:p>
    <w:p w:rsidR="009B1A8A" w:rsidRPr="00CA268A" w:rsidRDefault="007673D5" w:rsidP="009B1A8A">
      <w:pPr>
        <w:spacing w:after="0" w:line="240" w:lineRule="auto"/>
        <w:rPr>
          <w:rFonts w:ascii="Times New Roman" w:hAnsi="Times New Roman" w:cs="Times New Roman"/>
        </w:rPr>
      </w:pPr>
      <w:r w:rsidRPr="00CA268A">
        <w:rPr>
          <w:rFonts w:ascii="Times New Roman" w:hAnsi="Times New Roman" w:cs="Times New Roman"/>
        </w:rPr>
        <w:t>The netting basis is established for each NSR pollutant emitted from a source</w:t>
      </w:r>
      <w:r w:rsidR="00C038E4" w:rsidRPr="00CA268A">
        <w:rPr>
          <w:rFonts w:ascii="Times New Roman" w:hAnsi="Times New Roman" w:cs="Times New Roman"/>
        </w:rPr>
        <w:t xml:space="preserve">. </w:t>
      </w:r>
      <w:r w:rsidR="00CD5AEF" w:rsidRPr="00CA268A">
        <w:rPr>
          <w:rFonts w:ascii="Times New Roman" w:hAnsi="Times New Roman" w:cs="Times New Roman"/>
        </w:rPr>
        <w:t>Some sources have a netting basis of zero because they either did not exist in the baseline period or never went through NSR</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For sources that have a netting basis, the netting basis is </w:t>
      </w:r>
      <w:r w:rsidR="00A32550" w:rsidRPr="00CA268A">
        <w:rPr>
          <w:rFonts w:ascii="Times New Roman" w:hAnsi="Times New Roman" w:cs="Times New Roman"/>
        </w:rPr>
        <w:t>calculated according to the definition of “netting basis” (current rules) or as proposed in the netting basis section in the PSEL rules (</w:t>
      </w:r>
      <w:r w:rsidR="00623067" w:rsidRPr="00CA268A">
        <w:rPr>
          <w:rFonts w:ascii="Times New Roman" w:hAnsi="Times New Roman" w:cs="Times New Roman"/>
        </w:rPr>
        <w:t>d</w:t>
      </w:r>
      <w:r w:rsidR="00A32550" w:rsidRPr="00CA268A">
        <w:rPr>
          <w:rFonts w:ascii="Times New Roman" w:hAnsi="Times New Roman" w:cs="Times New Roman"/>
        </w:rPr>
        <w:t>ivision 222)</w:t>
      </w:r>
      <w:r w:rsidR="00C038E4" w:rsidRPr="00CA268A">
        <w:rPr>
          <w:rFonts w:ascii="Times New Roman" w:hAnsi="Times New Roman" w:cs="Times New Roman"/>
        </w:rPr>
        <w:t xml:space="preserve">. </w:t>
      </w:r>
      <w:r w:rsidR="00CD5AEF" w:rsidRPr="00CA268A">
        <w:rPr>
          <w:rFonts w:ascii="Times New Roman" w:hAnsi="Times New Roman" w:cs="Times New Roman"/>
        </w:rPr>
        <w:t>For PM</w:t>
      </w:r>
      <w:r w:rsidR="00CD5AEF" w:rsidRPr="008F1C6E">
        <w:rPr>
          <w:rFonts w:ascii="Times New Roman" w:hAnsi="Times New Roman" w:cs="Times New Roman"/>
          <w:vertAlign w:val="subscript"/>
        </w:rPr>
        <w:t>2.5</w:t>
      </w:r>
      <w:r w:rsidR="00CD5AEF" w:rsidRPr="00CA268A">
        <w:rPr>
          <w:rFonts w:ascii="Times New Roman" w:hAnsi="Times New Roman" w:cs="Times New Roman"/>
        </w:rPr>
        <w:t xml:space="preserve">, the </w:t>
      </w:r>
      <w:r w:rsidRPr="00CA268A">
        <w:rPr>
          <w:rFonts w:ascii="Times New Roman" w:hAnsi="Times New Roman" w:cs="Times New Roman"/>
        </w:rPr>
        <w:t xml:space="preserve">initial </w:t>
      </w:r>
      <w:r w:rsidR="00CD5AEF" w:rsidRPr="00CA268A">
        <w:rPr>
          <w:rFonts w:ascii="Times New Roman" w:hAnsi="Times New Roman" w:cs="Times New Roman"/>
        </w:rPr>
        <w:t xml:space="preserve">netting basis </w:t>
      </w:r>
      <w:r w:rsidRPr="00CA268A">
        <w:rPr>
          <w:rFonts w:ascii="Times New Roman" w:hAnsi="Times New Roman" w:cs="Times New Roman"/>
        </w:rPr>
        <w:t>is established relative to the PM</w:t>
      </w:r>
      <w:r w:rsidRPr="00CA268A">
        <w:rPr>
          <w:rFonts w:ascii="Times New Roman" w:hAnsi="Times New Roman" w:cs="Times New Roman"/>
          <w:vertAlign w:val="subscript"/>
        </w:rPr>
        <w:t>10</w:t>
      </w:r>
      <w:r w:rsidRPr="00CA268A">
        <w:rPr>
          <w:rFonts w:ascii="Times New Roman" w:hAnsi="Times New Roman" w:cs="Times New Roman"/>
        </w:rPr>
        <w:t xml:space="preserve"> netting basis in effect on May 1, 2011.</w:t>
      </w:r>
    </w:p>
    <w:p w:rsidR="006F0BC5" w:rsidRPr="00CA268A" w:rsidRDefault="006F0BC5" w:rsidP="009B1A8A">
      <w:pPr>
        <w:spacing w:after="0" w:line="240" w:lineRule="auto"/>
        <w:rPr>
          <w:rFonts w:ascii="Times New Roman" w:hAnsi="Times New Roman" w:cs="Times New Roman"/>
        </w:rPr>
      </w:pPr>
    </w:p>
    <w:p w:rsidR="0048523B" w:rsidRPr="00CA268A" w:rsidRDefault="0048523B" w:rsidP="007E3A69">
      <w:pPr>
        <w:spacing w:after="0" w:line="240" w:lineRule="auto"/>
        <w:rPr>
          <w:rFonts w:ascii="Times New Roman" w:hAnsi="Times New Roman" w:cs="Times New Roman"/>
        </w:rPr>
      </w:pPr>
    </w:p>
    <w:p w:rsidR="00066351" w:rsidRPr="00CA268A" w:rsidRDefault="0006635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Major Source Definition for Nonattainment and Maintenance Areas:</w:t>
      </w:r>
    </w:p>
    <w:p w:rsidR="00EA3C84" w:rsidRPr="00CA268A" w:rsidRDefault="00066351" w:rsidP="007E3A69">
      <w:pPr>
        <w:spacing w:after="0" w:line="240" w:lineRule="auto"/>
        <w:rPr>
          <w:rFonts w:ascii="Times New Roman" w:hAnsi="Times New Roman" w:cs="Times New Roman"/>
        </w:rPr>
      </w:pPr>
      <w:r w:rsidRPr="00CA268A">
        <w:rPr>
          <w:rFonts w:ascii="Times New Roman" w:hAnsi="Times New Roman" w:cs="Times New Roman"/>
        </w:rPr>
        <w:t xml:space="preserve">As discussed above, the major source level in nonattainment and maintenance areas is currently defined </w:t>
      </w:r>
      <w:r w:rsidR="00EA3C84" w:rsidRPr="00CA268A">
        <w:rPr>
          <w:rFonts w:ascii="Times New Roman" w:hAnsi="Times New Roman" w:cs="Times New Roman"/>
        </w:rPr>
        <w:t xml:space="preserve">in DEQ rules </w:t>
      </w:r>
      <w:r w:rsidRPr="00CA268A">
        <w:rPr>
          <w:rFonts w:ascii="Times New Roman" w:hAnsi="Times New Roman" w:cs="Times New Roman"/>
        </w:rPr>
        <w:t xml:space="preserve">as the </w:t>
      </w:r>
      <w:r w:rsidR="00A4597D" w:rsidRPr="00CA268A">
        <w:rPr>
          <w:rFonts w:ascii="Times New Roman" w:hAnsi="Times New Roman" w:cs="Times New Roman"/>
          <w:i/>
        </w:rPr>
        <w:t>S</w:t>
      </w:r>
      <w:r w:rsidRPr="00CA268A">
        <w:rPr>
          <w:rFonts w:ascii="Times New Roman" w:hAnsi="Times New Roman" w:cs="Times New Roman"/>
          <w:i/>
        </w:rPr>
        <w:t xml:space="preserve">ignificant </w:t>
      </w:r>
      <w:r w:rsidR="00A4597D" w:rsidRPr="00CA268A">
        <w:rPr>
          <w:rFonts w:ascii="Times New Roman" w:hAnsi="Times New Roman" w:cs="Times New Roman"/>
          <w:i/>
        </w:rPr>
        <w:t>E</w:t>
      </w:r>
      <w:r w:rsidRPr="00CA268A">
        <w:rPr>
          <w:rFonts w:ascii="Times New Roman" w:hAnsi="Times New Roman" w:cs="Times New Roman"/>
          <w:i/>
        </w:rPr>
        <w:t xml:space="preserve">mission </w:t>
      </w:r>
      <w:r w:rsidR="00A4597D" w:rsidRPr="00CA268A">
        <w:rPr>
          <w:rFonts w:ascii="Times New Roman" w:hAnsi="Times New Roman" w:cs="Times New Roman"/>
          <w:i/>
        </w:rPr>
        <w:t>R</w:t>
      </w:r>
      <w:r w:rsidRPr="00CA268A">
        <w:rPr>
          <w:rFonts w:ascii="Times New Roman" w:hAnsi="Times New Roman" w:cs="Times New Roman"/>
          <w:i/>
        </w:rPr>
        <w:t>ate</w:t>
      </w:r>
      <w:r w:rsidR="00EA3C84" w:rsidRPr="00CA268A">
        <w:rPr>
          <w:rFonts w:ascii="Times New Roman" w:hAnsi="Times New Roman" w:cs="Times New Roman"/>
          <w:i/>
        </w:rPr>
        <w:t xml:space="preserve"> </w:t>
      </w:r>
      <w:r w:rsidRPr="00CA268A">
        <w:rPr>
          <w:rFonts w:ascii="Times New Roman" w:hAnsi="Times New Roman" w:cs="Times New Roman"/>
        </w:rPr>
        <w:t>for the nonattainment or maintenance area pollutant</w:t>
      </w:r>
      <w:r w:rsidR="00C038E4" w:rsidRPr="00CA268A">
        <w:rPr>
          <w:rFonts w:ascii="Times New Roman" w:hAnsi="Times New Roman" w:cs="Times New Roman"/>
        </w:rPr>
        <w:t xml:space="preserve">. </w:t>
      </w:r>
      <w:r w:rsidRPr="00CA268A">
        <w:rPr>
          <w:rFonts w:ascii="Times New Roman" w:hAnsi="Times New Roman" w:cs="Times New Roman"/>
        </w:rPr>
        <w:t>DEQ is proposing to change the major source level to</w:t>
      </w:r>
      <w:r w:rsidR="00676CA3" w:rsidRPr="00CA268A">
        <w:rPr>
          <w:rFonts w:ascii="Times New Roman" w:hAnsi="Times New Roman" w:cs="Times New Roman"/>
        </w:rPr>
        <w:t xml:space="preserve"> align with</w:t>
      </w:r>
      <w:r w:rsidRPr="00CA268A">
        <w:rPr>
          <w:rFonts w:ascii="Times New Roman" w:hAnsi="Times New Roman" w:cs="Times New Roman"/>
        </w:rPr>
        <w:t xml:space="preserve"> the major source level</w:t>
      </w:r>
      <w:r w:rsidR="00804A9C" w:rsidRPr="00CA268A">
        <w:rPr>
          <w:rFonts w:ascii="Times New Roman" w:hAnsi="Times New Roman" w:cs="Times New Roman"/>
        </w:rPr>
        <w:t xml:space="preserve"> defined in the federal rules</w:t>
      </w:r>
      <w:r w:rsidRPr="00CA268A">
        <w:rPr>
          <w:rFonts w:ascii="Times New Roman" w:hAnsi="Times New Roman" w:cs="Times New Roman"/>
        </w:rPr>
        <w:t>, which is 100 tons per year for the nonattainment areas in Oregon</w:t>
      </w:r>
      <w:r w:rsidR="00DF3750" w:rsidRPr="00CA268A">
        <w:rPr>
          <w:rStyle w:val="FootnoteReference"/>
          <w:rFonts w:ascii="Times New Roman" w:hAnsi="Times New Roman" w:cs="Times New Roman"/>
        </w:rPr>
        <w:footnoteReference w:id="7"/>
      </w:r>
      <w:r w:rsidR="00C038E4" w:rsidRPr="00CA268A">
        <w:rPr>
          <w:rFonts w:ascii="Times New Roman" w:hAnsi="Times New Roman" w:cs="Times New Roman"/>
        </w:rPr>
        <w:t xml:space="preserve">. </w:t>
      </w:r>
      <w:r w:rsidR="007673D5" w:rsidRPr="00CA268A">
        <w:rPr>
          <w:rFonts w:ascii="Times New Roman" w:hAnsi="Times New Roman" w:cs="Times New Roman"/>
        </w:rPr>
        <w:t xml:space="preserve">This change allows DEQ to </w:t>
      </w:r>
      <w:r w:rsidR="00676CA3" w:rsidRPr="00CA268A">
        <w:rPr>
          <w:rFonts w:ascii="Times New Roman" w:hAnsi="Times New Roman" w:cs="Times New Roman"/>
        </w:rPr>
        <w:t xml:space="preserve">reorganize the NSR </w:t>
      </w:r>
      <w:r w:rsidR="007673D5" w:rsidRPr="00CA268A">
        <w:rPr>
          <w:rFonts w:ascii="Times New Roman" w:hAnsi="Times New Roman" w:cs="Times New Roman"/>
        </w:rPr>
        <w:t>rules for minor sources</w:t>
      </w:r>
      <w:r w:rsidR="00676CA3" w:rsidRPr="00CA268A">
        <w:rPr>
          <w:rFonts w:ascii="Times New Roman" w:hAnsi="Times New Roman" w:cs="Times New Roman"/>
        </w:rPr>
        <w:t xml:space="preserve"> into a program</w:t>
      </w:r>
      <w:r w:rsidR="00570896" w:rsidRPr="00CA268A">
        <w:rPr>
          <w:rFonts w:ascii="Times New Roman" w:hAnsi="Times New Roman" w:cs="Times New Roman"/>
        </w:rPr>
        <w:t xml:space="preserve"> called State </w:t>
      </w:r>
      <w:r w:rsidR="001B2E6A" w:rsidRPr="00CA268A">
        <w:rPr>
          <w:rFonts w:ascii="Times New Roman" w:hAnsi="Times New Roman" w:cs="Times New Roman"/>
        </w:rPr>
        <w:t>NSR</w:t>
      </w:r>
      <w:r w:rsidR="00676CA3" w:rsidRPr="00CA268A">
        <w:rPr>
          <w:rFonts w:ascii="Times New Roman" w:hAnsi="Times New Roman" w:cs="Times New Roman"/>
        </w:rPr>
        <w:t>, while the NSR rules that apply to major sources will be called “Major NSR”. Proposed revisions to the NSR rules for minor sources</w:t>
      </w:r>
      <w:r w:rsidR="007673D5" w:rsidRPr="00CA268A">
        <w:rPr>
          <w:rFonts w:ascii="Times New Roman" w:hAnsi="Times New Roman" w:cs="Times New Roman"/>
        </w:rPr>
        <w:t xml:space="preserve"> will provide incentives to address the sources of air pollution in areas with air quality problems, but still maintain the minimum requirements of the federal program for major sources.</w:t>
      </w:r>
      <w:r w:rsidR="001B2E6A" w:rsidRPr="00CA268A">
        <w:rPr>
          <w:rFonts w:ascii="Times New Roman" w:hAnsi="Times New Roman" w:cs="Times New Roman"/>
        </w:rPr>
        <w:t xml:space="preserve"> In addition, </w:t>
      </w:r>
      <w:r w:rsidR="0053365B" w:rsidRPr="00CA268A">
        <w:rPr>
          <w:rFonts w:ascii="Times New Roman" w:hAnsi="Times New Roman" w:cs="Times New Roman"/>
        </w:rPr>
        <w:t>a</w:t>
      </w:r>
      <w:r w:rsidR="001B2E6A" w:rsidRPr="00CA268A">
        <w:rPr>
          <w:rFonts w:ascii="Times New Roman" w:hAnsi="Times New Roman" w:cs="Times New Roman"/>
        </w:rPr>
        <w:t>s a point of clarification, while DEQ proposes to adjust the applicability threshold for major sources and Major NSR</w:t>
      </w:r>
      <w:r w:rsidR="00676CA3" w:rsidRPr="00CA268A">
        <w:rPr>
          <w:rFonts w:ascii="Times New Roman" w:hAnsi="Times New Roman" w:cs="Times New Roman"/>
        </w:rPr>
        <w:t xml:space="preserve"> to the level used in the federal rules</w:t>
      </w:r>
      <w:r w:rsidR="001B2E6A" w:rsidRPr="00CA268A">
        <w:rPr>
          <w:rFonts w:ascii="Times New Roman" w:hAnsi="Times New Roman" w:cs="Times New Roman"/>
        </w:rPr>
        <w:t xml:space="preserve">, the term “major source” will no longer be used in the </w:t>
      </w:r>
      <w:r w:rsidR="0053365B" w:rsidRPr="00CA268A">
        <w:rPr>
          <w:rFonts w:ascii="Times New Roman" w:hAnsi="Times New Roman" w:cs="Times New Roman"/>
        </w:rPr>
        <w:t xml:space="preserve">applicability section of the </w:t>
      </w:r>
      <w:r w:rsidR="001B2E6A" w:rsidRPr="00CA268A">
        <w:rPr>
          <w:rFonts w:ascii="Times New Roman" w:hAnsi="Times New Roman" w:cs="Times New Roman"/>
        </w:rPr>
        <w:t>NSR rules and DEQ is not proposing to change the</w:t>
      </w:r>
      <w:r w:rsidR="00676CA3" w:rsidRPr="00CA268A">
        <w:rPr>
          <w:rFonts w:ascii="Times New Roman" w:hAnsi="Times New Roman" w:cs="Times New Roman"/>
        </w:rPr>
        <w:t xml:space="preserve"> current</w:t>
      </w:r>
      <w:r w:rsidR="00980A48" w:rsidRPr="00CA268A">
        <w:rPr>
          <w:rFonts w:ascii="Times New Roman" w:hAnsi="Times New Roman" w:cs="Times New Roman"/>
        </w:rPr>
        <w:t xml:space="preserve"> definition of major source</w:t>
      </w:r>
      <w:r w:rsidR="001B2E6A" w:rsidRPr="00CA268A">
        <w:rPr>
          <w:rFonts w:ascii="Times New Roman" w:hAnsi="Times New Roman" w:cs="Times New Roman"/>
        </w:rPr>
        <w:t>.</w:t>
      </w:r>
    </w:p>
    <w:p w:rsidR="00804A9C" w:rsidRPr="00CA268A" w:rsidRDefault="00804A9C" w:rsidP="007E3A69">
      <w:pPr>
        <w:spacing w:after="0" w:line="240" w:lineRule="auto"/>
        <w:rPr>
          <w:rFonts w:ascii="Times New Roman" w:hAnsi="Times New Roman" w:cs="Times New Roman"/>
        </w:rPr>
      </w:pPr>
    </w:p>
    <w:p w:rsidR="0048523B" w:rsidRPr="00CA268A" w:rsidRDefault="00F400D6" w:rsidP="007E3A69">
      <w:pPr>
        <w:spacing w:after="0" w:line="240" w:lineRule="auto"/>
        <w:rPr>
          <w:rFonts w:ascii="Times New Roman" w:hAnsi="Times New Roman" w:cs="Times New Roman"/>
        </w:rPr>
      </w:pPr>
      <w:r w:rsidRPr="00CA268A">
        <w:rPr>
          <w:rFonts w:ascii="Times New Roman" w:hAnsi="Times New Roman" w:cs="Times New Roman"/>
        </w:rPr>
        <w:t xml:space="preserve">The federal program </w:t>
      </w:r>
      <w:r w:rsidR="00EA3C84" w:rsidRPr="00CA268A">
        <w:rPr>
          <w:rFonts w:ascii="Times New Roman" w:hAnsi="Times New Roman" w:cs="Times New Roman"/>
        </w:rPr>
        <w:t xml:space="preserve">for nonattainment areas </w:t>
      </w:r>
      <w:r w:rsidRPr="00CA268A">
        <w:rPr>
          <w:rFonts w:ascii="Times New Roman" w:hAnsi="Times New Roman" w:cs="Times New Roman"/>
        </w:rPr>
        <w:t xml:space="preserve">requires </w:t>
      </w:r>
      <w:r w:rsidR="00EC2C38" w:rsidRPr="00CA268A">
        <w:rPr>
          <w:rFonts w:ascii="Times New Roman" w:hAnsi="Times New Roman" w:cs="Times New Roman"/>
        </w:rPr>
        <w:t xml:space="preserve">new or modified major </w:t>
      </w:r>
      <w:r w:rsidRPr="00CA268A">
        <w:rPr>
          <w:rFonts w:ascii="Times New Roman" w:hAnsi="Times New Roman" w:cs="Times New Roman"/>
        </w:rPr>
        <w:t xml:space="preserve">sources </w:t>
      </w:r>
      <w:r w:rsidR="002D5724" w:rsidRPr="00CA268A">
        <w:rPr>
          <w:rFonts w:ascii="Times New Roman" w:hAnsi="Times New Roman" w:cs="Times New Roman"/>
        </w:rPr>
        <w:t xml:space="preserve">to </w:t>
      </w:r>
      <w:r w:rsidR="00EA3C84" w:rsidRPr="00CA268A">
        <w:rPr>
          <w:rFonts w:ascii="Times New Roman" w:hAnsi="Times New Roman" w:cs="Times New Roman"/>
        </w:rPr>
        <w:t>obtain at least 1:1</w:t>
      </w:r>
      <w:r w:rsidR="00723F53" w:rsidRPr="00CA268A">
        <w:rPr>
          <w:rStyle w:val="FootnoteReference"/>
          <w:rFonts w:ascii="Times New Roman" w:hAnsi="Times New Roman" w:cs="Times New Roman"/>
        </w:rPr>
        <w:footnoteReference w:id="8"/>
      </w:r>
      <w:r w:rsidR="00EA3C84" w:rsidRPr="00CA268A">
        <w:rPr>
          <w:rFonts w:ascii="Times New Roman" w:hAnsi="Times New Roman" w:cs="Times New Roman"/>
        </w:rPr>
        <w:t xml:space="preserve"> offsets </w:t>
      </w:r>
      <w:r w:rsidR="00460D61">
        <w:rPr>
          <w:rFonts w:ascii="Times New Roman" w:hAnsi="Times New Roman" w:cs="Times New Roman"/>
        </w:rPr>
        <w:t xml:space="preserve">(offsets:emissions) </w:t>
      </w:r>
      <w:r w:rsidR="00EA3C84" w:rsidRPr="00CA268A">
        <w:rPr>
          <w:rFonts w:ascii="Times New Roman" w:hAnsi="Times New Roman" w:cs="Times New Roman"/>
        </w:rPr>
        <w:t>for the emission increases</w:t>
      </w:r>
      <w:r w:rsidR="007673D5" w:rsidRPr="00CA268A">
        <w:rPr>
          <w:rFonts w:ascii="Times New Roman" w:hAnsi="Times New Roman" w:cs="Times New Roman"/>
        </w:rPr>
        <w:t xml:space="preserve"> </w:t>
      </w:r>
      <w:r w:rsidR="00EC2C38" w:rsidRPr="00CA268A">
        <w:rPr>
          <w:rFonts w:ascii="Times New Roman" w:hAnsi="Times New Roman" w:cs="Times New Roman"/>
        </w:rPr>
        <w:t>associated with the project</w:t>
      </w:r>
      <w:r w:rsidR="00C038E4" w:rsidRPr="00CA268A">
        <w:rPr>
          <w:rFonts w:ascii="Times New Roman" w:hAnsi="Times New Roman" w:cs="Times New Roman"/>
        </w:rPr>
        <w:t xml:space="preserve">. </w:t>
      </w:r>
      <w:r w:rsidR="00EC2C38" w:rsidRPr="00CA268A">
        <w:rPr>
          <w:rFonts w:ascii="Times New Roman" w:hAnsi="Times New Roman" w:cs="Times New Roman"/>
        </w:rPr>
        <w:t>DEQ’s proposed rules would require 1.2:1</w:t>
      </w:r>
      <w:r w:rsidR="00EA161C" w:rsidRPr="00CA268A">
        <w:rPr>
          <w:rStyle w:val="FootnoteReference"/>
          <w:rFonts w:ascii="Times New Roman" w:hAnsi="Times New Roman" w:cs="Times New Roman"/>
        </w:rPr>
        <w:footnoteReference w:id="9"/>
      </w:r>
      <w:r w:rsidR="00EC2C38" w:rsidRPr="00CA268A">
        <w:rPr>
          <w:rFonts w:ascii="Times New Roman" w:hAnsi="Times New Roman" w:cs="Times New Roman"/>
        </w:rPr>
        <w:t xml:space="preserve">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1:1 if </w:t>
      </w:r>
      <w:r w:rsidR="000E2E46" w:rsidRPr="00CA268A">
        <w:rPr>
          <w:rFonts w:ascii="Times New Roman" w:hAnsi="Times New Roman" w:cs="Times New Roman"/>
        </w:rPr>
        <w:t xml:space="preserve">some of </w:t>
      </w:r>
      <w:r w:rsidR="00EC2C38" w:rsidRPr="00CA268A">
        <w:rPr>
          <w:rFonts w:ascii="Times New Roman" w:hAnsi="Times New Roman" w:cs="Times New Roman"/>
        </w:rPr>
        <w:t>the offsets come from</w:t>
      </w:r>
      <w:r w:rsidR="005448FF">
        <w:rPr>
          <w:rFonts w:ascii="Times New Roman" w:hAnsi="Times New Roman" w:cs="Times New Roman"/>
        </w:rPr>
        <w:t xml:space="preserve"> priority sources; that is,</w:t>
      </w:r>
      <w:r w:rsidR="00EC2C38" w:rsidRPr="00CA268A">
        <w:rPr>
          <w:rFonts w:ascii="Times New Roman" w:hAnsi="Times New Roman" w:cs="Times New Roman"/>
        </w:rPr>
        <w:t xml:space="preserve"> the sources that </w:t>
      </w:r>
      <w:r w:rsidR="000E2E46" w:rsidRPr="00CA268A">
        <w:rPr>
          <w:rFonts w:ascii="Times New Roman" w:hAnsi="Times New Roman" w:cs="Times New Roman"/>
        </w:rPr>
        <w:t xml:space="preserve">are </w:t>
      </w:r>
      <w:r w:rsidR="00EC2C38" w:rsidRPr="00CA268A">
        <w:rPr>
          <w:rFonts w:ascii="Times New Roman" w:hAnsi="Times New Roman" w:cs="Times New Roman"/>
        </w:rPr>
        <w:t>contributing to the air quality problems in the area</w:t>
      </w:r>
      <w:r w:rsidR="00C038E4" w:rsidRPr="00CA268A">
        <w:rPr>
          <w:rFonts w:ascii="Times New Roman" w:hAnsi="Times New Roman" w:cs="Times New Roman"/>
        </w:rPr>
        <w:t xml:space="preserve">. </w:t>
      </w:r>
      <w:r w:rsidR="00EC2C38" w:rsidRPr="00CA268A">
        <w:rPr>
          <w:rFonts w:ascii="Times New Roman" w:hAnsi="Times New Roman" w:cs="Times New Roman"/>
        </w:rPr>
        <w:t>For minor sources, DEQ’s proposed rules would require 1:1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0.5:1</w:t>
      </w:r>
      <w:r w:rsidR="00EA161C" w:rsidRPr="00CA268A">
        <w:rPr>
          <w:rStyle w:val="FootnoteReference"/>
          <w:rFonts w:ascii="Times New Roman" w:hAnsi="Times New Roman" w:cs="Times New Roman"/>
        </w:rPr>
        <w:footnoteReference w:id="10"/>
      </w:r>
      <w:r w:rsidR="00EC2C38" w:rsidRPr="00CA268A">
        <w:rPr>
          <w:rFonts w:ascii="Times New Roman" w:hAnsi="Times New Roman" w:cs="Times New Roman"/>
        </w:rPr>
        <w:t xml:space="preserve"> if some or all of the offsets come from </w:t>
      </w:r>
      <w:r w:rsidR="005448FF">
        <w:rPr>
          <w:rFonts w:ascii="Times New Roman" w:hAnsi="Times New Roman" w:cs="Times New Roman"/>
        </w:rPr>
        <w:t>priority</w:t>
      </w:r>
      <w:r w:rsidR="005448FF" w:rsidRPr="00CA268A">
        <w:rPr>
          <w:rFonts w:ascii="Times New Roman" w:hAnsi="Times New Roman" w:cs="Times New Roman"/>
        </w:rPr>
        <w:t xml:space="preserve"> </w:t>
      </w:r>
      <w:r w:rsidR="00EC2C38" w:rsidRPr="00CA268A">
        <w:rPr>
          <w:rFonts w:ascii="Times New Roman" w:hAnsi="Times New Roman" w:cs="Times New Roman"/>
        </w:rPr>
        <w:t>source</w:t>
      </w:r>
      <w:r w:rsidR="000E2E46" w:rsidRPr="00CA268A">
        <w:rPr>
          <w:rFonts w:ascii="Times New Roman" w:hAnsi="Times New Roman" w:cs="Times New Roman"/>
        </w:rPr>
        <w:t>s</w:t>
      </w:r>
      <w:r w:rsidR="00C038E4" w:rsidRPr="00CA268A">
        <w:rPr>
          <w:rFonts w:ascii="Times New Roman" w:hAnsi="Times New Roman" w:cs="Times New Roman"/>
        </w:rPr>
        <w:t xml:space="preserve">. </w:t>
      </w:r>
      <w:r w:rsidR="009E1646" w:rsidRPr="00CA268A">
        <w:rPr>
          <w:rFonts w:ascii="Times New Roman" w:hAnsi="Times New Roman" w:cs="Times New Roman"/>
        </w:rPr>
        <w:t xml:space="preserve">Currently, there are two </w:t>
      </w:r>
      <w:r w:rsidR="00EC2C38" w:rsidRPr="00CA268A">
        <w:rPr>
          <w:rFonts w:ascii="Times New Roman" w:hAnsi="Times New Roman" w:cs="Times New Roman"/>
        </w:rPr>
        <w:t>nonattainment areas in Oregon</w:t>
      </w:r>
      <w:r w:rsidR="00460D61">
        <w:rPr>
          <w:rFonts w:ascii="Times New Roman" w:hAnsi="Times New Roman" w:cs="Times New Roman"/>
        </w:rPr>
        <w:t>, Klamath Falls and Oakridge</w:t>
      </w:r>
      <w:r w:rsidR="00C038E4" w:rsidRPr="00CA268A">
        <w:rPr>
          <w:rFonts w:ascii="Times New Roman" w:hAnsi="Times New Roman" w:cs="Times New Roman"/>
        </w:rPr>
        <w:t xml:space="preserve">. </w:t>
      </w:r>
      <w:r w:rsidR="00EC2C38" w:rsidRPr="00CA268A">
        <w:rPr>
          <w:rFonts w:ascii="Times New Roman" w:hAnsi="Times New Roman" w:cs="Times New Roman"/>
        </w:rPr>
        <w:t>Both areas are nonattainment for PM</w:t>
      </w:r>
      <w:r w:rsidR="00EC2C38"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EC2C38" w:rsidRPr="00CA268A">
        <w:rPr>
          <w:rFonts w:ascii="Times New Roman" w:hAnsi="Times New Roman" w:cs="Times New Roman"/>
        </w:rPr>
        <w:t xml:space="preserve">The significant emission rate </w:t>
      </w:r>
      <w:r w:rsidR="000E2E46" w:rsidRPr="00CA268A">
        <w:rPr>
          <w:rFonts w:ascii="Times New Roman" w:hAnsi="Times New Roman" w:cs="Times New Roman"/>
        </w:rPr>
        <w:t xml:space="preserve">for </w:t>
      </w:r>
      <w:r w:rsidR="00EC2C38" w:rsidRPr="00CA268A">
        <w:rPr>
          <w:rFonts w:ascii="Times New Roman" w:hAnsi="Times New Roman" w:cs="Times New Roman"/>
        </w:rPr>
        <w:t>PM</w:t>
      </w:r>
      <w:r w:rsidR="00EC2C38" w:rsidRPr="00CA268A">
        <w:rPr>
          <w:rFonts w:ascii="Times New Roman" w:hAnsi="Times New Roman" w:cs="Times New Roman"/>
          <w:vertAlign w:val="subscript"/>
        </w:rPr>
        <w:t>2.5</w:t>
      </w:r>
      <w:r w:rsidR="00EC2C38" w:rsidRPr="00CA268A">
        <w:rPr>
          <w:rFonts w:ascii="Times New Roman" w:hAnsi="Times New Roman" w:cs="Times New Roman"/>
        </w:rPr>
        <w:t xml:space="preserve"> is 10 tons per year</w:t>
      </w:r>
      <w:r w:rsidR="00C038E4" w:rsidRPr="00CA268A">
        <w:rPr>
          <w:rFonts w:ascii="Times New Roman" w:hAnsi="Times New Roman" w:cs="Times New Roman"/>
        </w:rPr>
        <w:t xml:space="preserve">. </w:t>
      </w:r>
      <w:r w:rsidR="00EC2C38" w:rsidRPr="00CA268A">
        <w:rPr>
          <w:rFonts w:ascii="Times New Roman" w:hAnsi="Times New Roman" w:cs="Times New Roman"/>
        </w:rPr>
        <w:t>DEQ has determined through monitoring and modeling that the most significant source of fine particulate emissions that are contributing to the air quality problems in these areas are residential wood heating devices</w:t>
      </w:r>
      <w:r w:rsidR="00C038E4" w:rsidRPr="00CA268A">
        <w:rPr>
          <w:rFonts w:ascii="Times New Roman" w:hAnsi="Times New Roman" w:cs="Times New Roman"/>
        </w:rPr>
        <w:t xml:space="preserve">. </w:t>
      </w:r>
      <w:r w:rsidR="00EC2C38" w:rsidRPr="00CA268A">
        <w:rPr>
          <w:rFonts w:ascii="Times New Roman" w:hAnsi="Times New Roman" w:cs="Times New Roman"/>
        </w:rPr>
        <w:t>By</w:t>
      </w:r>
      <w:r w:rsidR="004B534F" w:rsidRPr="00CA268A">
        <w:rPr>
          <w:rFonts w:ascii="Times New Roman" w:hAnsi="Times New Roman" w:cs="Times New Roman"/>
        </w:rPr>
        <w:t xml:space="preserve"> increasing the offset ratio to 1.2:1</w:t>
      </w:r>
      <w:r w:rsidR="00462FE2" w:rsidRPr="00CA268A">
        <w:rPr>
          <w:rFonts w:ascii="Times New Roman" w:hAnsi="Times New Roman" w:cs="Times New Roman"/>
        </w:rPr>
        <w:t xml:space="preserve"> while allowing a reduction to the offset ratio as described above</w:t>
      </w:r>
      <w:r w:rsidR="000E2E46" w:rsidRPr="00CA268A">
        <w:rPr>
          <w:rFonts w:ascii="Times New Roman" w:hAnsi="Times New Roman" w:cs="Times New Roman"/>
        </w:rPr>
        <w:t xml:space="preserve">, </w:t>
      </w:r>
      <w:r w:rsidR="00BE54C7" w:rsidRPr="00CA268A">
        <w:rPr>
          <w:rFonts w:ascii="Times New Roman" w:hAnsi="Times New Roman" w:cs="Times New Roman"/>
        </w:rPr>
        <w:t>the proposed rules provide an</w:t>
      </w:r>
      <w:r w:rsidR="000E2E46" w:rsidRPr="00CA268A">
        <w:rPr>
          <w:rFonts w:ascii="Times New Roman" w:hAnsi="Times New Roman" w:cs="Times New Roman"/>
        </w:rPr>
        <w:t xml:space="preserve"> incentive for minor sources to obtain offsets from residential wood heating devices</w:t>
      </w:r>
      <w:r w:rsidR="00C038E4" w:rsidRPr="00CA268A">
        <w:rPr>
          <w:rFonts w:ascii="Times New Roman" w:hAnsi="Times New Roman" w:cs="Times New Roman"/>
        </w:rPr>
        <w:t xml:space="preserve">. </w:t>
      </w:r>
      <w:r w:rsidR="000E2E46" w:rsidRPr="00CA268A">
        <w:rPr>
          <w:rFonts w:ascii="Times New Roman" w:hAnsi="Times New Roman" w:cs="Times New Roman"/>
        </w:rPr>
        <w:t xml:space="preserve">Typically, </w:t>
      </w:r>
      <w:r w:rsidR="00DA0DA4">
        <w:rPr>
          <w:rFonts w:ascii="Times New Roman" w:hAnsi="Times New Roman" w:cs="Times New Roman"/>
        </w:rPr>
        <w:t>wood</w:t>
      </w:r>
      <w:r w:rsidR="00DF3750" w:rsidRPr="00CA268A">
        <w:rPr>
          <w:rFonts w:ascii="Times New Roman" w:hAnsi="Times New Roman" w:cs="Times New Roman"/>
        </w:rPr>
        <w:t>stoves</w:t>
      </w:r>
      <w:r w:rsidR="000E2E46" w:rsidRPr="00CA268A">
        <w:rPr>
          <w:rFonts w:ascii="Times New Roman" w:hAnsi="Times New Roman" w:cs="Times New Roman"/>
        </w:rPr>
        <w:t xml:space="preserve"> have very small emissions relative to industrial sources, but due to the plume characteristics (low velocity and low temperature), the smoke from residential wood heating devices has a significant impact in residential areas</w:t>
      </w:r>
      <w:r w:rsidR="005448FF">
        <w:rPr>
          <w:rFonts w:ascii="Times New Roman" w:hAnsi="Times New Roman" w:cs="Times New Roman"/>
        </w:rPr>
        <w:t>,</w:t>
      </w:r>
      <w:r w:rsidR="000E2E46" w:rsidRPr="00CA268A">
        <w:rPr>
          <w:rFonts w:ascii="Times New Roman" w:hAnsi="Times New Roman" w:cs="Times New Roman"/>
        </w:rPr>
        <w:t xml:space="preserve"> especially during periods of air stagnation and inversions</w:t>
      </w:r>
      <w:r w:rsidR="00C038E4" w:rsidRPr="00CA268A">
        <w:rPr>
          <w:rFonts w:ascii="Times New Roman" w:hAnsi="Times New Roman" w:cs="Times New Roman"/>
        </w:rPr>
        <w:t xml:space="preserve">. </w:t>
      </w:r>
    </w:p>
    <w:p w:rsidR="00E04A0B" w:rsidRPr="00CA268A" w:rsidRDefault="00E04A0B"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C36CEC" w:rsidRPr="00CA268A" w:rsidRDefault="00C36CEC"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Federal Major Source Definition</w:t>
      </w:r>
    </w:p>
    <w:p w:rsidR="00C36CEC" w:rsidRPr="00CA268A" w:rsidRDefault="00C36CEC" w:rsidP="007E3A69">
      <w:pPr>
        <w:spacing w:after="0" w:line="240" w:lineRule="auto"/>
        <w:rPr>
          <w:rFonts w:ascii="Times New Roman" w:hAnsi="Times New Roman" w:cs="Times New Roman"/>
        </w:rPr>
      </w:pPr>
      <w:r w:rsidRPr="00CA268A">
        <w:rPr>
          <w:rFonts w:ascii="Times New Roman" w:hAnsi="Times New Roman" w:cs="Times New Roman"/>
        </w:rPr>
        <w:t>In the current rules,</w:t>
      </w:r>
      <w:r w:rsidR="00F201FA" w:rsidRPr="00CA268A">
        <w:rPr>
          <w:rFonts w:ascii="Times New Roman" w:hAnsi="Times New Roman" w:cs="Times New Roman"/>
        </w:rPr>
        <w:t xml:space="preserve"> a </w:t>
      </w:r>
      <w:r w:rsidRPr="00CA268A">
        <w:rPr>
          <w:rFonts w:ascii="Times New Roman" w:hAnsi="Times New Roman" w:cs="Times New Roman"/>
        </w:rPr>
        <w:t>Federal Major Source</w:t>
      </w:r>
      <w:r w:rsidR="00F201FA" w:rsidRPr="00CA268A">
        <w:rPr>
          <w:rFonts w:ascii="Times New Roman" w:hAnsi="Times New Roman" w:cs="Times New Roman"/>
        </w:rPr>
        <w:t xml:space="preserve"> is</w:t>
      </w:r>
      <w:r w:rsidRPr="00CA268A">
        <w:rPr>
          <w:rFonts w:ascii="Times New Roman" w:hAnsi="Times New Roman" w:cs="Times New Roman"/>
        </w:rPr>
        <w:t xml:space="preserve"> defined as</w:t>
      </w:r>
      <w:r w:rsidR="00F201FA" w:rsidRPr="00CA268A">
        <w:rPr>
          <w:rFonts w:ascii="Times New Roman" w:hAnsi="Times New Roman" w:cs="Times New Roman"/>
        </w:rPr>
        <w:t xml:space="preserve"> a</w:t>
      </w:r>
      <w:r w:rsidRPr="00CA268A">
        <w:rPr>
          <w:rFonts w:ascii="Times New Roman" w:hAnsi="Times New Roman" w:cs="Times New Roman"/>
        </w:rPr>
        <w:t xml:space="preserve"> </w:t>
      </w:r>
      <w:r w:rsidR="00F201FA" w:rsidRPr="00CA268A">
        <w:rPr>
          <w:rFonts w:ascii="Times New Roman" w:hAnsi="Times New Roman" w:cs="Times New Roman"/>
        </w:rPr>
        <w:t>source</w:t>
      </w:r>
      <w:r w:rsidRPr="00CA268A">
        <w:rPr>
          <w:rFonts w:ascii="Times New Roman" w:hAnsi="Times New Roman" w:cs="Times New Roman"/>
        </w:rPr>
        <w:t xml:space="preserve"> with the potential to emit a criteria pollutant gr</w:t>
      </w:r>
      <w:r w:rsidR="00F201FA" w:rsidRPr="00CA268A">
        <w:rPr>
          <w:rFonts w:ascii="Times New Roman" w:hAnsi="Times New Roman" w:cs="Times New Roman"/>
        </w:rPr>
        <w:t>eater than 100 tons per year if in one of</w:t>
      </w:r>
      <w:r w:rsidRPr="00CA268A">
        <w:rPr>
          <w:rFonts w:ascii="Times New Roman" w:hAnsi="Times New Roman" w:cs="Times New Roman"/>
        </w:rPr>
        <w:t xml:space="preserve"> 28 listed source categories</w:t>
      </w:r>
      <w:r w:rsidR="00F201FA" w:rsidRPr="00CA268A">
        <w:rPr>
          <w:rFonts w:ascii="Times New Roman" w:hAnsi="Times New Roman" w:cs="Times New Roman"/>
        </w:rPr>
        <w:t>,</w:t>
      </w:r>
      <w:r w:rsidRPr="00CA268A">
        <w:rPr>
          <w:rFonts w:ascii="Times New Roman" w:hAnsi="Times New Roman" w:cs="Times New Roman"/>
        </w:rPr>
        <w:t xml:space="preserve"> and 250 tons per year for all other sources. DEQ proposes to change this definition </w:t>
      </w:r>
      <w:r w:rsidR="00CD0B8E">
        <w:rPr>
          <w:rFonts w:ascii="Times New Roman" w:hAnsi="Times New Roman" w:cs="Times New Roman"/>
        </w:rPr>
        <w:t xml:space="preserve">to be area </w:t>
      </w:r>
      <w:r w:rsidR="00F201FA" w:rsidRPr="00CA268A">
        <w:rPr>
          <w:rFonts w:ascii="Times New Roman" w:hAnsi="Times New Roman" w:cs="Times New Roman"/>
        </w:rPr>
        <w:t>specific, so that Federal Major Source means:</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 nonattainment, reattainment, or maintenance area with potential to emit 100 tons per year or more of the regulated pollutant for which the area is designated; or</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lastRenderedPageBreak/>
        <w:t>A source located in an attainment, unclassified, or sustainment area with the potential to emit a criteria pollutant greater than 100 tons per year if in one of 28 listed source categories, and 250 tons per year for all other sources.</w:t>
      </w:r>
    </w:p>
    <w:p w:rsidR="005C0132" w:rsidRPr="00CA268A" w:rsidRDefault="005C0132" w:rsidP="00F201FA">
      <w:pPr>
        <w:spacing w:after="0" w:line="240" w:lineRule="auto"/>
        <w:rPr>
          <w:rFonts w:ascii="Times New Roman" w:hAnsi="Times New Roman" w:cs="Times New Roman"/>
        </w:rPr>
      </w:pPr>
    </w:p>
    <w:p w:rsidR="00F201FA" w:rsidRPr="00CA268A" w:rsidRDefault="00F201FA" w:rsidP="00F201FA">
      <w:pPr>
        <w:spacing w:after="0" w:line="240" w:lineRule="auto"/>
        <w:rPr>
          <w:rFonts w:ascii="Times New Roman" w:hAnsi="Times New Roman" w:cs="Times New Roman"/>
        </w:rPr>
      </w:pPr>
      <w:r w:rsidRPr="00CA268A">
        <w:rPr>
          <w:rFonts w:ascii="Times New Roman" w:hAnsi="Times New Roman" w:cs="Times New Roman"/>
        </w:rPr>
        <w:t xml:space="preserve">With this change, only sources that meet the definition of Federal Major Source </w:t>
      </w:r>
      <w:r w:rsidR="00AB0186">
        <w:rPr>
          <w:rFonts w:ascii="Times New Roman" w:hAnsi="Times New Roman" w:cs="Times New Roman"/>
        </w:rPr>
        <w:t>would</w:t>
      </w:r>
      <w:r w:rsidRPr="00CA268A">
        <w:rPr>
          <w:rFonts w:ascii="Times New Roman" w:hAnsi="Times New Roman" w:cs="Times New Roman"/>
        </w:rPr>
        <w:t xml:space="preserve"> be subject to Major NSR.</w:t>
      </w:r>
      <w:r w:rsidR="00AB0186">
        <w:rPr>
          <w:rFonts w:ascii="Times New Roman" w:hAnsi="Times New Roman" w:cs="Times New Roman"/>
        </w:rPr>
        <w:t xml:space="preserve"> However, DEQ has found that redefining this term now, after being in use since 2001, is very confusing. Therefore DEQ has reverted to the current </w:t>
      </w:r>
      <w:r w:rsidR="00727F87">
        <w:rPr>
          <w:rFonts w:ascii="Times New Roman" w:hAnsi="Times New Roman" w:cs="Times New Roman"/>
        </w:rPr>
        <w:t>definition</w:t>
      </w:r>
      <w:r w:rsidR="00AB0186">
        <w:rPr>
          <w:rFonts w:ascii="Times New Roman" w:hAnsi="Times New Roman" w:cs="Times New Roman"/>
        </w:rPr>
        <w:t xml:space="preserve"> and instead has clarified that Major NSR in </w:t>
      </w:r>
      <w:r w:rsidR="00AB0186" w:rsidRPr="00CA268A">
        <w:rPr>
          <w:rFonts w:ascii="Times New Roman" w:hAnsi="Times New Roman" w:cs="Times New Roman"/>
        </w:rPr>
        <w:t>nonattainment, reattainment or maintenance</w:t>
      </w:r>
      <w:r w:rsidR="00AB0186">
        <w:rPr>
          <w:rFonts w:ascii="Times New Roman" w:hAnsi="Times New Roman" w:cs="Times New Roman"/>
        </w:rPr>
        <w:t xml:space="preserve"> areas applies to sources with potential to emit 100 tons per year or more of the </w:t>
      </w:r>
      <w:r w:rsidR="00AB0186" w:rsidRPr="00CA268A">
        <w:rPr>
          <w:rFonts w:ascii="Times New Roman" w:hAnsi="Times New Roman" w:cs="Times New Roman"/>
        </w:rPr>
        <w:t>regulated pollutant for which the area is designated</w:t>
      </w:r>
      <w:r w:rsidR="00AB0186">
        <w:rPr>
          <w:rFonts w:ascii="Times New Roman" w:hAnsi="Times New Roman" w:cs="Times New Roman"/>
        </w:rPr>
        <w:t>.</w:t>
      </w:r>
    </w:p>
    <w:p w:rsidR="00C36CEC" w:rsidRPr="00CA268A" w:rsidRDefault="00C36CEC" w:rsidP="007E3A69">
      <w:pPr>
        <w:spacing w:after="0" w:line="240" w:lineRule="auto"/>
        <w:rPr>
          <w:rFonts w:ascii="Times New Roman" w:hAnsi="Times New Roman" w:cs="Times New Roman"/>
        </w:rPr>
      </w:pPr>
    </w:p>
    <w:p w:rsidR="005C0132" w:rsidRPr="00CA268A" w:rsidRDefault="005C0132" w:rsidP="00CC3501">
      <w:pPr>
        <w:spacing w:after="0" w:line="240" w:lineRule="auto"/>
        <w:rPr>
          <w:rFonts w:ascii="Times New Roman" w:hAnsi="Times New Roman" w:cs="Times New Roman"/>
          <w:b/>
        </w:rPr>
      </w:pPr>
    </w:p>
    <w:p w:rsidR="00CC3501" w:rsidRPr="00CA268A" w:rsidRDefault="00CC350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Sustainment and Reattainment Areas</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Based upon levels of air pollutants, geographic areas are classified by EPA as attainment or nonattainment areas.</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A geographic area that meets or has pollutant levels below the national ambient air quality standards (</w:t>
      </w:r>
      <w:r w:rsidR="004F6043">
        <w:rPr>
          <w:rFonts w:ascii="Times New Roman" w:hAnsi="Times New Roman" w:cs="Times New Roman"/>
          <w:bCs/>
        </w:rPr>
        <w:t>AAQS</w:t>
      </w:r>
      <w:r w:rsidRPr="00CA268A">
        <w:rPr>
          <w:rFonts w:ascii="Times New Roman" w:hAnsi="Times New Roman" w:cs="Times New Roman"/>
          <w:bCs/>
        </w:rPr>
        <w:t>) is called an attainment area.</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 xml:space="preserve">An area that exceeds the </w:t>
      </w:r>
      <w:r w:rsidR="004F6043">
        <w:rPr>
          <w:rFonts w:ascii="Times New Roman" w:hAnsi="Times New Roman" w:cs="Times New Roman"/>
          <w:bCs/>
        </w:rPr>
        <w:t>AAQS</w:t>
      </w:r>
      <w:r w:rsidRPr="00CA268A">
        <w:rPr>
          <w:rFonts w:ascii="Times New Roman" w:hAnsi="Times New Roman" w:cs="Times New Roman"/>
          <w:bCs/>
        </w:rPr>
        <w:t xml:space="preserve"> is designated a nonattainment area.</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Each nonattainment area is declared for a specific pollutant. Nonattainment areas for different pollutants may overlap each other or share common boundaries.</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w:t>
      </w:r>
      <w:r w:rsidR="00CD0B8E">
        <w:rPr>
          <w:rFonts w:ascii="Times New Roman" w:hAnsi="Times New Roman" w:cs="Times New Roman"/>
          <w:bCs/>
        </w:rPr>
        <w:t xml:space="preserve">. Lastly, it is costly and time </w:t>
      </w:r>
      <w:r w:rsidRPr="00CA268A">
        <w:rPr>
          <w:rFonts w:ascii="Times New Roman" w:hAnsi="Times New Roman" w:cs="Times New Roman"/>
          <w:bCs/>
        </w:rPr>
        <w:t>consuming to develop and implement plans to bring areas back into attainment.</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In addition to areas classified as attainment and nonattainment, some areas are described as “maintenance areas.” Maintenance areas are those geographic areas that</w:t>
      </w:r>
      <w:r w:rsidR="00E747C5" w:rsidRPr="00CA268A">
        <w:rPr>
          <w:rFonts w:ascii="Times New Roman" w:hAnsi="Times New Roman" w:cs="Times New Roman"/>
          <w:bCs/>
        </w:rPr>
        <w:t xml:space="preserve"> at one time</w:t>
      </w:r>
      <w:r w:rsidRPr="00CA268A">
        <w:rPr>
          <w:rFonts w:ascii="Times New Roman" w:hAnsi="Times New Roman" w:cs="Times New Roman"/>
          <w:bCs/>
        </w:rPr>
        <w:t xml:space="preserve"> were classified as nonattainment, but are now consistently meeting the </w:t>
      </w:r>
      <w:r w:rsidR="004F6043">
        <w:rPr>
          <w:rFonts w:ascii="Times New Roman" w:hAnsi="Times New Roman" w:cs="Times New Roman"/>
          <w:bCs/>
        </w:rPr>
        <w:t>AAQS</w:t>
      </w:r>
      <w:r w:rsidRPr="00CA268A">
        <w:rPr>
          <w:rFonts w:ascii="Times New Roman" w:hAnsi="Times New Roman" w:cs="Times New Roman"/>
          <w:bCs/>
        </w:rPr>
        <w:t xml:space="preserve">. Maintenance areas have been redesignated by the EPA from "nonattainment" to "attainment with a maintenance plan"; commonly called "maintenance areas." These areas have demonstrated through monitoring and modeling that they have sufficient controls in place to continue to meet the </w:t>
      </w:r>
      <w:r w:rsidR="004F6043">
        <w:rPr>
          <w:rFonts w:ascii="Times New Roman" w:hAnsi="Times New Roman" w:cs="Times New Roman"/>
          <w:bCs/>
        </w:rPr>
        <w:t>AAQS</w:t>
      </w:r>
      <w:r w:rsidRPr="00CA268A">
        <w:rPr>
          <w:rFonts w:ascii="Times New Roman" w:hAnsi="Times New Roman" w:cs="Times New Roman"/>
          <w:bCs/>
        </w:rPr>
        <w:t>. They also have contingency measures in place that would be implemented should the areas start showing exceedances again.</w:t>
      </w:r>
    </w:p>
    <w:p w:rsidR="00570896" w:rsidRPr="00CA268A" w:rsidRDefault="00570896"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As mentioned above, DEQ proposes adding two new a</w:t>
      </w:r>
      <w:r w:rsidR="007F1B2C">
        <w:rPr>
          <w:rFonts w:ascii="Times New Roman" w:hAnsi="Times New Roman" w:cs="Times New Roman"/>
        </w:rPr>
        <w:t>rea designations to the rules: s</w:t>
      </w:r>
      <w:r w:rsidRPr="00CA268A">
        <w:rPr>
          <w:rFonts w:ascii="Times New Roman" w:hAnsi="Times New Roman" w:cs="Times New Roman"/>
        </w:rPr>
        <w:t xml:space="preserve">ustainment and </w:t>
      </w:r>
      <w:r w:rsidR="007F1B2C">
        <w:rPr>
          <w:rFonts w:ascii="Times New Roman" w:hAnsi="Times New Roman" w:cs="Times New Roman"/>
        </w:rPr>
        <w:t>reattainment a</w:t>
      </w:r>
      <w:r w:rsidRPr="00CA268A">
        <w:rPr>
          <w:rFonts w:ascii="Times New Roman" w:hAnsi="Times New Roman" w:cs="Times New Roman"/>
        </w:rPr>
        <w:t>reas</w:t>
      </w:r>
      <w:r w:rsidR="00C038E4" w:rsidRPr="00CA268A">
        <w:rPr>
          <w:rFonts w:ascii="Times New Roman" w:hAnsi="Times New Roman" w:cs="Times New Roman"/>
        </w:rPr>
        <w:t xml:space="preserve">. </w:t>
      </w:r>
      <w:r w:rsidRPr="00CA268A">
        <w:rPr>
          <w:rFonts w:ascii="Times New Roman" w:hAnsi="Times New Roman" w:cs="Times New Roman"/>
        </w:rPr>
        <w:t>These would be areas designated by the EQC, but not by EPA</w:t>
      </w:r>
      <w:r w:rsidR="00E747C5" w:rsidRPr="00CA268A">
        <w:rPr>
          <w:rFonts w:ascii="Times New Roman" w:hAnsi="Times New Roman" w:cs="Times New Roman"/>
        </w:rPr>
        <w:t>; as such, these new area designations would not override the EPA designations, but</w:t>
      </w:r>
      <w:r w:rsidR="002678DB" w:rsidRPr="00CA268A">
        <w:rPr>
          <w:rFonts w:ascii="Times New Roman" w:hAnsi="Times New Roman" w:cs="Times New Roman"/>
        </w:rPr>
        <w:t xml:space="preserve"> instead</w:t>
      </w:r>
      <w:r w:rsidR="00E747C5" w:rsidRPr="00CA268A">
        <w:rPr>
          <w:rFonts w:ascii="Times New Roman" w:hAnsi="Times New Roman" w:cs="Times New Roman"/>
        </w:rPr>
        <w:t xml:space="preserve"> would overlay them</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Sustainment areas would be areas</w:t>
      </w:r>
      <w:r w:rsidR="00623067" w:rsidRPr="00CA268A">
        <w:rPr>
          <w:rFonts w:ascii="Times New Roman" w:hAnsi="Times New Roman" w:cs="Times New Roman"/>
        </w:rPr>
        <w:t xml:space="preserve"> that are offic</w:t>
      </w:r>
      <w:r w:rsidR="003E4CE2" w:rsidRPr="00CA268A">
        <w:rPr>
          <w:rFonts w:ascii="Times New Roman" w:hAnsi="Times New Roman" w:cs="Times New Roman"/>
        </w:rPr>
        <w:t>i</w:t>
      </w:r>
      <w:r w:rsidR="00623067" w:rsidRPr="00CA268A">
        <w:rPr>
          <w:rFonts w:ascii="Times New Roman" w:hAnsi="Times New Roman" w:cs="Times New Roman"/>
        </w:rPr>
        <w:t>a</w:t>
      </w:r>
      <w:r w:rsidR="003E4CE2" w:rsidRPr="00CA268A">
        <w:rPr>
          <w:rFonts w:ascii="Times New Roman" w:hAnsi="Times New Roman" w:cs="Times New Roman"/>
        </w:rPr>
        <w:t>lly designated as attainment</w:t>
      </w:r>
      <w:r w:rsidR="008F04A7">
        <w:rPr>
          <w:rFonts w:ascii="Times New Roman" w:hAnsi="Times New Roman" w:cs="Times New Roman"/>
        </w:rPr>
        <w:t xml:space="preserve"> or unclassified</w:t>
      </w:r>
      <w:r w:rsidR="003E4CE2" w:rsidRPr="00CA268A">
        <w:rPr>
          <w:rFonts w:ascii="Times New Roman" w:hAnsi="Times New Roman" w:cs="Times New Roman"/>
        </w:rPr>
        <w:t xml:space="preserve"> areas by EPA, but </w:t>
      </w:r>
      <w:r w:rsidRPr="00CA268A">
        <w:rPr>
          <w:rFonts w:ascii="Times New Roman" w:hAnsi="Times New Roman" w:cs="Times New Roman"/>
        </w:rPr>
        <w:t>ambient monitoring data</w:t>
      </w:r>
      <w:r w:rsidR="003E4CE2" w:rsidRPr="00CA268A">
        <w:rPr>
          <w:rFonts w:ascii="Times New Roman" w:hAnsi="Times New Roman" w:cs="Times New Roman"/>
        </w:rPr>
        <w:t xml:space="preserve"> has demonstrated tha</w:t>
      </w:r>
      <w:r w:rsidR="00623067" w:rsidRPr="00CA268A">
        <w:rPr>
          <w:rFonts w:ascii="Times New Roman" w:hAnsi="Times New Roman" w:cs="Times New Roman"/>
        </w:rPr>
        <w:t>t</w:t>
      </w:r>
      <w:r w:rsidR="003E4CE2" w:rsidRPr="00CA268A">
        <w:rPr>
          <w:rFonts w:ascii="Times New Roman" w:hAnsi="Times New Roman" w:cs="Times New Roman"/>
        </w:rPr>
        <w:t xml:space="preserve"> the air quality levels are</w:t>
      </w:r>
      <w:r w:rsidRPr="00CA268A">
        <w:rPr>
          <w:rFonts w:ascii="Times New Roman" w:hAnsi="Times New Roman" w:cs="Times New Roman"/>
        </w:rPr>
        <w:t xml:space="preserve"> close to or above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Major NSR</w:t>
      </w:r>
      <w:r w:rsidR="007F1B2C">
        <w:rPr>
          <w:rFonts w:ascii="Times New Roman" w:hAnsi="Times New Roman" w:cs="Times New Roman"/>
        </w:rPr>
        <w:t xml:space="preserve"> locating in s</w:t>
      </w:r>
      <w:r w:rsidR="008D0B65" w:rsidRPr="00CA268A">
        <w:rPr>
          <w:rFonts w:ascii="Times New Roman" w:hAnsi="Times New Roman" w:cs="Times New Roman"/>
        </w:rPr>
        <w:t>ustainment areas would be required to satisfy the requirements for attainment or unclassified areas plus some additional requirements for obtaining offsets and demonstrating a net air quality benefit to address the air quality problems in the area</w:t>
      </w:r>
      <w:r w:rsidR="00C038E4" w:rsidRPr="00CA268A">
        <w:rPr>
          <w:rFonts w:ascii="Times New Roman" w:hAnsi="Times New Roman" w:cs="Times New Roman"/>
        </w:rPr>
        <w:t xml:space="preserve">. </w:t>
      </w: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could either demonstrate that they would not cause or contribute to an exceedance of the ambient air quality standards and PSD increments; </w:t>
      </w:r>
      <w:r w:rsidR="00807D89">
        <w:rPr>
          <w:rFonts w:ascii="Times New Roman" w:hAnsi="Times New Roman" w:cs="Times New Roman"/>
        </w:rPr>
        <w:t>alternatively</w:t>
      </w:r>
      <w:r w:rsidR="008D0B65" w:rsidRPr="00CA268A">
        <w:rPr>
          <w:rFonts w:ascii="Times New Roman" w:hAnsi="Times New Roman" w:cs="Times New Roman"/>
        </w:rPr>
        <w:t xml:space="preserve">, the source </w:t>
      </w:r>
      <w:r w:rsidR="008D0B65" w:rsidRPr="00CA268A">
        <w:rPr>
          <w:rFonts w:ascii="Times New Roman" w:hAnsi="Times New Roman" w:cs="Times New Roman"/>
        </w:rPr>
        <w:lastRenderedPageBreak/>
        <w:t>may obtain offsets and demonstrate a net air quality benefit</w:t>
      </w:r>
      <w:r w:rsidR="00C038E4" w:rsidRPr="00CA268A">
        <w:rPr>
          <w:rFonts w:ascii="Times New Roman" w:hAnsi="Times New Roman" w:cs="Times New Roman"/>
        </w:rPr>
        <w:t xml:space="preserve">. </w:t>
      </w:r>
      <w:r w:rsidR="008D0B65" w:rsidRPr="00CA268A">
        <w:rPr>
          <w:rFonts w:ascii="Times New Roman" w:hAnsi="Times New Roman" w:cs="Times New Roman"/>
        </w:rPr>
        <w:t xml:space="preserve">For </w:t>
      </w:r>
      <w:r w:rsidRPr="00CA268A">
        <w:rPr>
          <w:rFonts w:ascii="Times New Roman" w:hAnsi="Times New Roman" w:cs="Times New Roman"/>
        </w:rPr>
        <w:t>these</w:t>
      </w:r>
      <w:r w:rsidR="008D0B65" w:rsidRPr="00CA268A">
        <w:rPr>
          <w:rFonts w:ascii="Times New Roman" w:hAnsi="Times New Roman" w:cs="Times New Roman"/>
        </w:rPr>
        <w:t xml:space="preserve"> sources, the offset ratio would</w:t>
      </w:r>
      <w:r w:rsidR="00820BD8">
        <w:rPr>
          <w:rFonts w:ascii="Times New Roman" w:hAnsi="Times New Roman" w:cs="Times New Roman"/>
        </w:rPr>
        <w:t xml:space="preserve"> be specified when the area was designated as a sustainment area. In the first area proposed to be designated as a sustainment area (Lakeview), the proposed offset ratio is</w:t>
      </w:r>
      <w:r w:rsidR="008D0B65" w:rsidRPr="00CA268A">
        <w:rPr>
          <w:rFonts w:ascii="Times New Roman" w:hAnsi="Times New Roman" w:cs="Times New Roman"/>
        </w:rPr>
        <w:t xml:space="preserve"> 0.1 to 1 (e.g</w:t>
      </w:r>
      <w:r w:rsidR="009C0BFB" w:rsidRPr="00CA268A">
        <w:rPr>
          <w:rFonts w:ascii="Times New Roman" w:hAnsi="Times New Roman" w:cs="Times New Roman"/>
        </w:rPr>
        <w:t>.</w:t>
      </w:r>
      <w:r w:rsidR="008D0B65" w:rsidRPr="00CA268A">
        <w:rPr>
          <w:rFonts w:ascii="Times New Roman" w:hAnsi="Times New Roman" w:cs="Times New Roman"/>
        </w:rPr>
        <w:t>, 10% offset) that could be reduced to 0.05 to 1 (e.g., 5% offset) if the offsets come fr</w:t>
      </w:r>
      <w:r w:rsidR="007F1B2C">
        <w:rPr>
          <w:rFonts w:ascii="Times New Roman" w:hAnsi="Times New Roman" w:cs="Times New Roman"/>
        </w:rPr>
        <w:t>om priority sources within the s</w:t>
      </w:r>
      <w:r w:rsidR="008D0B65" w:rsidRPr="00CA268A">
        <w:rPr>
          <w:rFonts w:ascii="Times New Roman" w:hAnsi="Times New Roman" w:cs="Times New Roman"/>
        </w:rPr>
        <w:t>ustainment area</w:t>
      </w:r>
      <w:r w:rsidR="00C038E4" w:rsidRPr="00CA268A">
        <w:rPr>
          <w:rFonts w:ascii="Times New Roman" w:hAnsi="Times New Roman" w:cs="Times New Roman"/>
        </w:rPr>
        <w:t xml:space="preserve">. </w:t>
      </w:r>
      <w:r w:rsidR="008D0B65" w:rsidRPr="00CA268A">
        <w:rPr>
          <w:rFonts w:ascii="Times New Roman" w:hAnsi="Times New Roman" w:cs="Times New Roman"/>
        </w:rPr>
        <w:t>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w:t>
      </w:r>
      <w:r w:rsidR="007F1B2C">
        <w:rPr>
          <w:rFonts w:ascii="Times New Roman" w:hAnsi="Times New Roman" w:cs="Times New Roman"/>
        </w:rPr>
        <w:t xml:space="preserve"> the s</w:t>
      </w:r>
      <w:r w:rsidR="008D0B65" w:rsidRPr="00CA268A">
        <w:rPr>
          <w:rFonts w:ascii="Times New Roman" w:hAnsi="Times New Roman" w:cs="Times New Roman"/>
        </w:rPr>
        <w:t>ustainment area.</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Reattainment areas would be areas that are officially designated as nonattainment areas by EPA, but ambient monitoring data has demonstrated that the air quality levels are below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w:t>
      </w:r>
      <w:r w:rsidR="0052770B" w:rsidRPr="00CA268A">
        <w:rPr>
          <w:rFonts w:ascii="Times New Roman" w:hAnsi="Times New Roman" w:cs="Times New Roman"/>
        </w:rPr>
        <w:t>t</w:t>
      </w:r>
      <w:r w:rsidRPr="00CA268A">
        <w:rPr>
          <w:rFonts w:ascii="Times New Roman" w:hAnsi="Times New Roman" w:cs="Times New Roman"/>
        </w:rPr>
        <w:t xml:space="preserve"> to Major NSR</w:t>
      </w:r>
      <w:r w:rsidR="008D0B65" w:rsidRPr="00CA268A">
        <w:rPr>
          <w:rFonts w:ascii="Times New Roman" w:hAnsi="Times New Roman" w:cs="Times New Roman"/>
        </w:rPr>
        <w:t xml:space="preserve"> within reattainment areas would still have to comply with the rules for nonattainment areas.</w:t>
      </w: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would have different requirements that are focused on keeping the ambient air quality levels below the ambient standards</w:t>
      </w:r>
      <w:r w:rsidRPr="00CA268A">
        <w:rPr>
          <w:rFonts w:ascii="Times New Roman" w:hAnsi="Times New Roman" w:cs="Times New Roman"/>
        </w:rPr>
        <w:t>. Such sources would have to</w:t>
      </w:r>
      <w:r w:rsidR="008D0B65" w:rsidRPr="00CA268A">
        <w:rPr>
          <w:rFonts w:ascii="Times New Roman" w:hAnsi="Times New Roman" w:cs="Times New Roman"/>
        </w:rPr>
        <w:t xml:space="preserve"> obtain offsets and demonstrat</w:t>
      </w:r>
      <w:r w:rsidRPr="00CA268A">
        <w:rPr>
          <w:rFonts w:ascii="Times New Roman" w:hAnsi="Times New Roman" w:cs="Times New Roman"/>
        </w:rPr>
        <w:t>e</w:t>
      </w:r>
      <w:r w:rsidR="008D0B65" w:rsidRPr="00CA268A">
        <w:rPr>
          <w:rFonts w:ascii="Times New Roman" w:hAnsi="Times New Roman" w:cs="Times New Roman"/>
        </w:rPr>
        <w:t xml:space="preserve"> a net air quality benefit</w:t>
      </w:r>
      <w:r w:rsidRPr="00CA268A">
        <w:rPr>
          <w:rFonts w:ascii="Times New Roman" w:hAnsi="Times New Roman" w:cs="Times New Roman"/>
        </w:rPr>
        <w:t>, with the</w:t>
      </w:r>
      <w:r w:rsidR="008D0B65" w:rsidRPr="00CA268A">
        <w:rPr>
          <w:rFonts w:ascii="Times New Roman" w:hAnsi="Times New Roman" w:cs="Times New Roman"/>
        </w:rPr>
        <w:t xml:space="preserve"> focus more on the priority sources that have in the past contributed the most to the air quality problems in the area</w:t>
      </w:r>
      <w:r w:rsidR="00C038E4" w:rsidRPr="00CA268A">
        <w:rPr>
          <w:rFonts w:ascii="Times New Roman" w:hAnsi="Times New Roman" w:cs="Times New Roman"/>
        </w:rPr>
        <w:t xml:space="preserve">. </w:t>
      </w:r>
    </w:p>
    <w:p w:rsidR="00CC3501" w:rsidRPr="00CA268A" w:rsidRDefault="00CC3501" w:rsidP="007E3A69">
      <w:pPr>
        <w:spacing w:after="0" w:line="240" w:lineRule="auto"/>
        <w:rPr>
          <w:rFonts w:ascii="Times New Roman" w:hAnsi="Times New Roman" w:cs="Times New Roman"/>
        </w:rPr>
      </w:pPr>
    </w:p>
    <w:p w:rsidR="00CA268A" w:rsidRDefault="00CA268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p>
    <w:p w:rsidR="00570896" w:rsidRPr="00CA268A" w:rsidRDefault="00570896"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State New Source Review Program (component of overall Minor New Source Review Program)</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DEQ is proposing a State NSR program </w:t>
      </w:r>
      <w:r w:rsidR="00260C3F">
        <w:rPr>
          <w:rFonts w:ascii="Times New Roman" w:hAnsi="Times New Roman" w:cs="Times New Roman"/>
          <w:bCs/>
        </w:rPr>
        <w:t>that</w:t>
      </w:r>
      <w:r w:rsidRPr="00CA268A">
        <w:rPr>
          <w:rFonts w:ascii="Times New Roman" w:hAnsi="Times New Roman" w:cs="Times New Roman"/>
          <w:bCs/>
        </w:rPr>
        <w:t xml:space="preserve"> will cover the following:</w:t>
      </w:r>
    </w:p>
    <w:p w:rsidR="001C31F2" w:rsidRPr="00CA268A" w:rsidRDefault="001C31F2" w:rsidP="00570896">
      <w:pPr>
        <w:spacing w:after="0" w:line="240" w:lineRule="auto"/>
        <w:rPr>
          <w:rFonts w:ascii="Times New Roman" w:hAnsi="Times New Roman" w:cs="Times New Roman"/>
          <w:bCs/>
        </w:rPr>
      </w:pP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PSEL increases</w:t>
      </w:r>
      <w:r w:rsidR="00A51D44" w:rsidRPr="00CA268A">
        <w:rPr>
          <w:rFonts w:ascii="Times New Roman" w:hAnsi="Times New Roman" w:cs="Times New Roman"/>
        </w:rPr>
        <w:t xml:space="preserve"> equal to or</w:t>
      </w:r>
      <w:r w:rsidRPr="00CA268A">
        <w:rPr>
          <w:rFonts w:ascii="Times New Roman" w:hAnsi="Times New Roman" w:cs="Times New Roman"/>
        </w:rPr>
        <w:t xml:space="preserve"> greater than the </w:t>
      </w:r>
      <w:r w:rsidR="0003730D">
        <w:rPr>
          <w:rFonts w:ascii="Times New Roman" w:hAnsi="Times New Roman" w:cs="Times New Roman"/>
        </w:rPr>
        <w:t>significant emission rate</w:t>
      </w:r>
      <w:r w:rsidRPr="00CA268A">
        <w:rPr>
          <w:rFonts w:ascii="Times New Roman" w:hAnsi="Times New Roman" w:cs="Times New Roman"/>
        </w:rPr>
        <w:t xml:space="preserve"> that do not involve a physical change or change in the method of operation for all sources in the state, both </w:t>
      </w:r>
      <w:r w:rsidR="009C1FB8">
        <w:rPr>
          <w:rFonts w:ascii="Times New Roman" w:hAnsi="Times New Roman" w:cs="Times New Roman"/>
        </w:rPr>
        <w:t xml:space="preserve">major </w:t>
      </w:r>
      <w:r w:rsidRPr="00CA268A">
        <w:rPr>
          <w:rFonts w:ascii="Times New Roman" w:hAnsi="Times New Roman" w:cs="Times New Roman"/>
        </w:rPr>
        <w:t>and</w:t>
      </w:r>
      <w:r w:rsidR="009C1FB8">
        <w:rPr>
          <w:rFonts w:ascii="Times New Roman" w:hAnsi="Times New Roman" w:cs="Times New Roman"/>
        </w:rPr>
        <w:t xml:space="preserve"> minor</w:t>
      </w:r>
      <w:r w:rsidR="00A51D44" w:rsidRPr="00CA268A">
        <w:rPr>
          <w:rFonts w:ascii="Times New Roman" w:hAnsi="Times New Roman" w:cs="Times New Roman"/>
        </w:rPr>
        <w:t>;</w:t>
      </w:r>
      <w:r w:rsidRPr="00CA268A">
        <w:rPr>
          <w:rFonts w:ascii="Times New Roman" w:hAnsi="Times New Roman" w:cs="Times New Roman"/>
        </w:rPr>
        <w:t xml:space="preserve"> and</w:t>
      </w: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 xml:space="preserve">Construction and modification at sources that </w:t>
      </w:r>
      <w:r w:rsidR="00664F5A" w:rsidRPr="00CA268A">
        <w:rPr>
          <w:rFonts w:ascii="Times New Roman" w:hAnsi="Times New Roman" w:cs="Times New Roman"/>
        </w:rPr>
        <w:t>have emissions equal to or greater than</w:t>
      </w:r>
      <w:r w:rsidRPr="00CA268A">
        <w:rPr>
          <w:rFonts w:ascii="Times New Roman" w:hAnsi="Times New Roman" w:cs="Times New Roman"/>
        </w:rPr>
        <w:t xml:space="preserve"> the </w:t>
      </w:r>
      <w:r w:rsidR="0003730D">
        <w:rPr>
          <w:rFonts w:ascii="Times New Roman" w:hAnsi="Times New Roman" w:cs="Times New Roman"/>
        </w:rPr>
        <w:t>significant emission rate</w:t>
      </w:r>
      <w:r w:rsidRPr="00CA268A">
        <w:rPr>
          <w:rFonts w:ascii="Times New Roman" w:hAnsi="Times New Roman" w:cs="Times New Roman"/>
        </w:rPr>
        <w:t xml:space="preserve"> </w:t>
      </w:r>
      <w:r w:rsidR="00664F5A" w:rsidRPr="00CA268A">
        <w:rPr>
          <w:rFonts w:ascii="Times New Roman" w:hAnsi="Times New Roman" w:cs="Times New Roman"/>
        </w:rPr>
        <w:t>but less than</w:t>
      </w:r>
      <w:r w:rsidRPr="00CA268A">
        <w:rPr>
          <w:rFonts w:ascii="Times New Roman" w:hAnsi="Times New Roman" w:cs="Times New Roman"/>
        </w:rPr>
        <w:t xml:space="preserve"> 100 tons per year.</w:t>
      </w:r>
    </w:p>
    <w:p w:rsidR="00570896" w:rsidRPr="00CA268A" w:rsidRDefault="00570896" w:rsidP="00FF5EB4">
      <w:pPr>
        <w:spacing w:after="0" w:line="240" w:lineRule="auto"/>
        <w:rPr>
          <w:rFonts w:ascii="Times New Roman" w:hAnsi="Times New Roman" w:cs="Times New Roman"/>
        </w:rPr>
      </w:pPr>
    </w:p>
    <w:p w:rsidR="00A4597D" w:rsidRPr="00CA268A" w:rsidRDefault="00570896" w:rsidP="00A4597D">
      <w:pPr>
        <w:spacing w:after="0" w:line="240" w:lineRule="auto"/>
        <w:rPr>
          <w:rFonts w:ascii="Times New Roman" w:hAnsi="Times New Roman" w:cs="Times New Roman"/>
          <w:bCs/>
        </w:rPr>
      </w:pPr>
      <w:r w:rsidRPr="00CA268A">
        <w:rPr>
          <w:rFonts w:ascii="Times New Roman" w:hAnsi="Times New Roman" w:cs="Times New Roman"/>
          <w:bCs/>
        </w:rPr>
        <w:t xml:space="preserve">For sources </w:t>
      </w:r>
      <w:r w:rsidR="00081C50" w:rsidRPr="00CA268A">
        <w:rPr>
          <w:rFonts w:ascii="Times New Roman" w:hAnsi="Times New Roman" w:cs="Times New Roman"/>
          <w:bCs/>
        </w:rPr>
        <w:t>in</w:t>
      </w:r>
      <w:r w:rsidRPr="00CA268A">
        <w:rPr>
          <w:rFonts w:ascii="Times New Roman" w:hAnsi="Times New Roman" w:cs="Times New Roman"/>
          <w:bCs/>
        </w:rPr>
        <w:t xml:space="preserve"> the </w:t>
      </w:r>
      <w:r w:rsidR="0003730D">
        <w:rPr>
          <w:rFonts w:ascii="Times New Roman" w:hAnsi="Times New Roman" w:cs="Times New Roman"/>
          <w:bCs/>
        </w:rPr>
        <w:t>significant emission rate</w:t>
      </w:r>
      <w:r w:rsidRPr="00CA268A">
        <w:rPr>
          <w:rFonts w:ascii="Times New Roman" w:hAnsi="Times New Roman" w:cs="Times New Roman"/>
          <w:bCs/>
        </w:rPr>
        <w:t xml:space="preserve"> </w:t>
      </w:r>
      <w:r w:rsidR="00081C50" w:rsidRPr="00CA268A">
        <w:rPr>
          <w:rFonts w:ascii="Times New Roman" w:hAnsi="Times New Roman" w:cs="Times New Roman"/>
          <w:bCs/>
        </w:rPr>
        <w:t>to</w:t>
      </w:r>
      <w:r w:rsidRPr="00CA268A">
        <w:rPr>
          <w:rFonts w:ascii="Times New Roman" w:hAnsi="Times New Roman" w:cs="Times New Roman"/>
          <w:bCs/>
        </w:rPr>
        <w:t xml:space="preserve"> 100 tons per year</w:t>
      </w:r>
      <w:r w:rsidR="00081C50" w:rsidRPr="00CA268A">
        <w:rPr>
          <w:rFonts w:ascii="Times New Roman" w:hAnsi="Times New Roman" w:cs="Times New Roman"/>
          <w:bCs/>
        </w:rPr>
        <w:t xml:space="preserve"> range</w:t>
      </w:r>
      <w:r w:rsidRPr="00CA268A">
        <w:rPr>
          <w:rFonts w:ascii="Times New Roman" w:hAnsi="Times New Roman" w:cs="Times New Roman"/>
          <w:bCs/>
        </w:rPr>
        <w:t xml:space="preserve">, the State NSR </w:t>
      </w:r>
      <w:r w:rsidR="009C1FB8">
        <w:rPr>
          <w:rFonts w:ascii="Times New Roman" w:hAnsi="Times New Roman" w:cs="Times New Roman"/>
          <w:bCs/>
        </w:rPr>
        <w:t>program</w:t>
      </w:r>
      <w:r w:rsidR="00566814">
        <w:rPr>
          <w:rFonts w:ascii="Times New Roman" w:hAnsi="Times New Roman" w:cs="Times New Roman"/>
          <w:bCs/>
        </w:rPr>
        <w:t xml:space="preserve"> for sources located in nonattainment and maintenance areas that make a major modification</w:t>
      </w:r>
      <w:r w:rsidR="009C1FB8">
        <w:rPr>
          <w:rFonts w:ascii="Times New Roman" w:hAnsi="Times New Roman" w:cs="Times New Roman"/>
          <w:bCs/>
        </w:rPr>
        <w:t xml:space="preserve"> is very similar to the M</w:t>
      </w:r>
      <w:r w:rsidRPr="00CA268A">
        <w:rPr>
          <w:rFonts w:ascii="Times New Roman" w:hAnsi="Times New Roman" w:cs="Times New Roman"/>
          <w:bCs/>
        </w:rPr>
        <w:t xml:space="preserve">ajor </w:t>
      </w:r>
      <w:r w:rsidR="009C1FB8">
        <w:rPr>
          <w:rFonts w:ascii="Times New Roman" w:hAnsi="Times New Roman" w:cs="Times New Roman"/>
          <w:bCs/>
        </w:rPr>
        <w:t xml:space="preserve">NSR </w:t>
      </w:r>
      <w:r w:rsidRPr="00CA268A">
        <w:rPr>
          <w:rFonts w:ascii="Times New Roman" w:hAnsi="Times New Roman" w:cs="Times New Roman"/>
          <w:bCs/>
        </w:rPr>
        <w:t xml:space="preserve">program under which they were previously regulated. For sources that emit less than the </w:t>
      </w:r>
      <w:r w:rsidR="0003730D">
        <w:rPr>
          <w:rFonts w:ascii="Times New Roman" w:hAnsi="Times New Roman" w:cs="Times New Roman"/>
          <w:bCs/>
        </w:rPr>
        <w:t>significant emission rate</w:t>
      </w:r>
      <w:r w:rsidRPr="00CA268A">
        <w:rPr>
          <w:rFonts w:ascii="Times New Roman" w:hAnsi="Times New Roman" w:cs="Times New Roman"/>
          <w:bCs/>
        </w:rPr>
        <w:t>,</w:t>
      </w:r>
      <w:r w:rsidR="00566814">
        <w:rPr>
          <w:rFonts w:ascii="Times New Roman" w:hAnsi="Times New Roman" w:cs="Times New Roman"/>
          <w:bCs/>
        </w:rPr>
        <w:t xml:space="preserve"> or that increase emissions without making a major modification,</w:t>
      </w:r>
      <w:r w:rsidRPr="00CA268A">
        <w:rPr>
          <w:rFonts w:ascii="Times New Roman" w:hAnsi="Times New Roman" w:cs="Times New Roman"/>
          <w:bCs/>
        </w:rPr>
        <w:t xml:space="preserve"> the State NSR program is similar to the existing PSEL program. </w:t>
      </w:r>
    </w:p>
    <w:p w:rsidR="00A4597D" w:rsidRPr="00CA268A" w:rsidRDefault="00A4597D" w:rsidP="00A4597D">
      <w:pPr>
        <w:spacing w:after="0" w:line="240" w:lineRule="auto"/>
        <w:rPr>
          <w:rFonts w:ascii="Times New Roman" w:hAnsi="Times New Roman" w:cs="Times New Roman"/>
          <w:bCs/>
        </w:rPr>
      </w:pPr>
    </w:p>
    <w:p w:rsidR="00570896" w:rsidRPr="00CA268A" w:rsidRDefault="00A4597D"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CA268A">
        <w:rPr>
          <w:rFonts w:ascii="Times New Roman" w:hAnsi="Times New Roman" w:cs="Times New Roman"/>
          <w:bCs/>
        </w:rPr>
        <w:t xml:space="preserve">The main reason for developing the State NSR program is to be able to address the sources that are causing the majority of the air quality problem in sustainment and nonattainment areas. DEQ has created a provision for the EQC to identify these sources as “priority” sources. Current PM nonattainment areas are the result of smoke from residential wood burning. Under the federal NSR program for major sources, offsets from residential wood burning are only allowed in Klamath Falls, whereas more flexibility is allowed in permitting minor sources. Therefore, a proposal for the State NSR program allows sources in the </w:t>
      </w:r>
      <w:r w:rsidR="0003730D">
        <w:rPr>
          <w:rFonts w:ascii="Times New Roman" w:hAnsi="Times New Roman" w:cs="Times New Roman"/>
          <w:bCs/>
        </w:rPr>
        <w:t>significant emission rate</w:t>
      </w:r>
      <w:r w:rsidR="00570896" w:rsidRPr="00CA268A">
        <w:rPr>
          <w:rFonts w:ascii="Times New Roman" w:hAnsi="Times New Roman" w:cs="Times New Roman"/>
          <w:bCs/>
        </w:rPr>
        <w:t xml:space="preserve"> to 100 ton</w:t>
      </w:r>
      <w:r w:rsidR="00081C50" w:rsidRPr="00CA268A">
        <w:rPr>
          <w:rFonts w:ascii="Times New Roman" w:hAnsi="Times New Roman" w:cs="Times New Roman"/>
          <w:bCs/>
        </w:rPr>
        <w:t>s</w:t>
      </w:r>
      <w:r w:rsidR="00570896" w:rsidRPr="00CA268A">
        <w:rPr>
          <w:rFonts w:ascii="Times New Roman" w:hAnsi="Times New Roman" w:cs="Times New Roman"/>
          <w:bCs/>
        </w:rPr>
        <w:t xml:space="preserve"> per year range to get offsets from priority sources defined by the EQC. This will directly address the air quality problem in these areas, helping the area meet the ambient air quality standards more quickly. DEQ is also providing </w:t>
      </w:r>
      <w:r w:rsidR="00570896" w:rsidRPr="00CA268A">
        <w:rPr>
          <w:rFonts w:ascii="Times New Roman" w:hAnsi="Times New Roman" w:cs="Times New Roman"/>
          <w:bCs/>
        </w:rPr>
        <w:lastRenderedPageBreak/>
        <w:t xml:space="preserve">incentives, such as a lower offset ratio, for sources that offset </w:t>
      </w:r>
      <w:r w:rsidR="00D32A35">
        <w:rPr>
          <w:rFonts w:ascii="Times New Roman" w:hAnsi="Times New Roman" w:cs="Times New Roman"/>
          <w:bCs/>
        </w:rPr>
        <w:t xml:space="preserve">part of </w:t>
      </w:r>
      <w:r w:rsidR="00570896" w:rsidRPr="00CA268A">
        <w:rPr>
          <w:rFonts w:ascii="Times New Roman" w:hAnsi="Times New Roman" w:cs="Times New Roman"/>
          <w:bCs/>
        </w:rPr>
        <w:t xml:space="preserve">their emissions with emissions from priority sources. </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following table shows the differences in permitting requirements for the sources that emit between the </w:t>
      </w:r>
      <w:r w:rsidR="0003730D">
        <w:rPr>
          <w:rFonts w:ascii="Times New Roman" w:hAnsi="Times New Roman" w:cs="Times New Roman"/>
          <w:bCs/>
        </w:rPr>
        <w:t>significant emission rate (SER)</w:t>
      </w:r>
      <w:r w:rsidRPr="00CA268A">
        <w:rPr>
          <w:rFonts w:ascii="Times New Roman" w:hAnsi="Times New Roman" w:cs="Times New Roman"/>
          <w:bCs/>
        </w:rPr>
        <w:t xml:space="preserve"> and 100 tons per year before and after the proposed rule changes:</w:t>
      </w:r>
    </w:p>
    <w:p w:rsidR="00570896" w:rsidRPr="00CA268A" w:rsidRDefault="00570896" w:rsidP="00FF5EB4">
      <w:pPr>
        <w:rPr>
          <w:rFonts w:ascii="Times New Roman" w:hAnsi="Times New Roman" w:cs="Times New Roman"/>
          <w:bCs/>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CA268A" w:rsidTr="00C51EE7">
        <w:trPr>
          <w:tblHeader/>
          <w:jc w:val="center"/>
        </w:trPr>
        <w:tc>
          <w:tcPr>
            <w:tcW w:w="2542"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CA268A" w:rsidRDefault="0025530C" w:rsidP="0025530C">
            <w:pPr>
              <w:jc w:val="center"/>
              <w:rPr>
                <w:rFonts w:ascii="Times New Roman" w:hAnsi="Times New Roman" w:cs="Times New Roman"/>
                <w:bCs/>
              </w:rPr>
            </w:pPr>
            <w:r w:rsidRPr="00CA268A">
              <w:rPr>
                <w:rFonts w:ascii="Times New Roman" w:hAnsi="Times New Roman" w:cs="Times New Roman"/>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NONATTAINMENT</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542"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241"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74" w:type="dxa"/>
            <w:tcBorders>
              <w:top w:val="single" w:sz="4" w:space="0" w:color="auto"/>
              <w:bottom w:val="doub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542"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241" w:type="dxa"/>
            <w:tcBorders>
              <w:top w:val="doub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74" w:type="dxa"/>
            <w:tcBorders>
              <w:top w:val="doub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LAER *</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
                <w:bCs/>
                <w:i/>
              </w:rPr>
              <w:t>BACT</w:t>
            </w:r>
            <w:r w:rsidRPr="00CA268A">
              <w:rPr>
                <w:rFonts w:ascii="Times New Roman" w:hAnsi="Times New Roman" w:cs="Times New Roman"/>
                <w:bCs/>
                <w:i/>
              </w:rPr>
              <w:t xml:space="preserve"> </w:t>
            </w:r>
            <w:r w:rsidRPr="00CA268A">
              <w:rPr>
                <w:rFonts w:ascii="Times New Roman" w:hAnsi="Times New Roman" w:cs="Times New Roman"/>
                <w:bCs/>
              </w:rPr>
              <w:t>*</w:t>
            </w:r>
          </w:p>
        </w:tc>
      </w:tr>
      <w:tr w:rsidR="00570896" w:rsidRPr="00CA268A" w:rsidTr="00C51EE7">
        <w:trPr>
          <w:trHeight w:val="2240"/>
          <w:jc w:val="center"/>
        </w:trPr>
        <w:tc>
          <w:tcPr>
            <w:tcW w:w="2542"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241"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Impacts less than SIL at all receptors</w:t>
            </w:r>
          </w:p>
        </w:tc>
        <w:tc>
          <w:tcPr>
            <w:tcW w:w="3374"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a major modification is involved</w:t>
      </w:r>
    </w:p>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Offset ratio varies for certain areas such as Medford-Ashland AQMA for PM</w:t>
      </w:r>
      <w:r w:rsidRPr="00A23C9F">
        <w:rPr>
          <w:rFonts w:ascii="Arial" w:hAnsi="Arial" w:cs="Arial"/>
          <w:bCs/>
          <w:sz w:val="16"/>
          <w:szCs w:val="16"/>
          <w:vertAlign w:val="subscript"/>
        </w:rPr>
        <w:t>10</w:t>
      </w:r>
      <w:r w:rsidRPr="00A23C9F">
        <w:rPr>
          <w:rFonts w:ascii="Arial" w:hAnsi="Arial" w:cs="Arial"/>
          <w:bCs/>
          <w:sz w:val="16"/>
          <w:szCs w:val="16"/>
        </w:rPr>
        <w:t>, etc.</w:t>
      </w:r>
    </w:p>
    <w:p w:rsidR="007D2458" w:rsidRPr="00CA268A" w:rsidRDefault="007D2458">
      <w:pPr>
        <w:rPr>
          <w:rFonts w:ascii="Times New Roman" w:hAnsi="Times New Roman" w:cs="Times New Roman"/>
          <w:bCs/>
        </w:rPr>
      </w:pPr>
      <w:r w:rsidRPr="00CA268A">
        <w:rPr>
          <w:rFonts w:ascii="Times New Roman" w:hAnsi="Times New Roman" w:cs="Times New Roman"/>
          <w:bCs/>
        </w:rPr>
        <w:br w:type="page"/>
      </w: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CA268A" w:rsidTr="00C51EE7">
        <w:trPr>
          <w:tblHeader/>
          <w:jc w:val="center"/>
        </w:trPr>
        <w:tc>
          <w:tcPr>
            <w:tcW w:w="2497"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37" w:type="dxa"/>
            <w:gridSpan w:val="2"/>
            <w:tcBorders>
              <w:left w:val="double" w:sz="4" w:space="0" w:color="auto"/>
              <w:bottom w:val="single" w:sz="4" w:space="0" w:color="auto"/>
            </w:tcBorders>
          </w:tcPr>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MAINTENANCE</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497"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330"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07" w:type="dxa"/>
            <w:tcBorders>
              <w:top w:val="sing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497"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330" w:type="dxa"/>
            <w:tcBorders>
              <w:top w:val="double" w:sz="4" w:space="0" w:color="auto"/>
              <w:lef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07" w:type="dxa"/>
            <w:tcBorders>
              <w:top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330" w:type="dxa"/>
            <w:tcBorders>
              <w:left w:val="double" w:sz="4" w:space="0" w:color="auto"/>
            </w:tcBorders>
            <w:vAlign w:val="center"/>
          </w:tcPr>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Yes***</w:t>
            </w:r>
          </w:p>
        </w:tc>
        <w:tc>
          <w:tcPr>
            <w:tcW w:w="3307" w:type="dxa"/>
            <w:vAlign w:val="center"/>
          </w:tcPr>
          <w:p w:rsidR="00570896" w:rsidRPr="00CA268A" w:rsidRDefault="00570896" w:rsidP="00C51EE7">
            <w:pPr>
              <w:jc w:val="center"/>
              <w:rPr>
                <w:rFonts w:ascii="Times New Roman" w:hAnsi="Times New Roman" w:cs="Times New Roman"/>
                <w:b/>
                <w:bCs/>
                <w:i/>
              </w:rPr>
            </w:pPr>
            <w:r w:rsidRPr="00CA268A">
              <w:rPr>
                <w:rFonts w:ascii="Times New Roman" w:hAnsi="Times New Roman" w:cs="Times New Roman"/>
                <w:b/>
                <w:bCs/>
                <w:i/>
              </w:rPr>
              <w:t>No</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330" w:type="dxa"/>
            <w:tcBorders>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c>
          <w:tcPr>
            <w:tcW w:w="3307" w:type="dxa"/>
            <w:tcBorders>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r>
      <w:tr w:rsidR="00570896" w:rsidRPr="00CA268A" w:rsidTr="00C51EE7">
        <w:trPr>
          <w:trHeight w:val="3140"/>
          <w:jc w:val="center"/>
        </w:trPr>
        <w:tc>
          <w:tcPr>
            <w:tcW w:w="2497"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330"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 and NAQB</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Impacts less than SIL at all receptors</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c>
          <w:tcPr>
            <w:tcW w:w="3307" w:type="dxa"/>
            <w:tcBorders>
              <w:top w:val="sing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r w:rsidRPr="00CA268A">
              <w:rPr>
                <w:rFonts w:ascii="Times New Roman" w:hAnsi="Times New Roman" w:cs="Times New Roman"/>
                <w:b/>
                <w:i/>
              </w:rPr>
              <w:t xml:space="preserve"> </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impacts are greater than the Significant Monitoring Concentration (current exemptions will still apply, as well)</w:t>
      </w:r>
    </w:p>
    <w:p w:rsidR="00FF5EB4" w:rsidRPr="00CA268A" w:rsidRDefault="00FF5EB4" w:rsidP="00570896">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1E6BAD" w:rsidRPr="00CA268A" w:rsidRDefault="001E6BAD"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 Air Quality Benefit</w:t>
      </w:r>
    </w:p>
    <w:p w:rsidR="00D20406" w:rsidRPr="00CA268A" w:rsidRDefault="000E2E46" w:rsidP="007E3A69">
      <w:pPr>
        <w:spacing w:after="0" w:line="240" w:lineRule="auto"/>
        <w:rPr>
          <w:rFonts w:ascii="Times New Roman" w:hAnsi="Times New Roman" w:cs="Times New Roman"/>
        </w:rPr>
      </w:pPr>
      <w:r w:rsidRPr="00CA268A">
        <w:rPr>
          <w:rFonts w:ascii="Times New Roman" w:hAnsi="Times New Roman" w:cs="Times New Roman"/>
        </w:rPr>
        <w:t>In addition to the offset requirements, DEQ rules currently have very prescriptive requirements for demonstrating the net air quality benefit associated with the offsets</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The federal program includes reference to “net air quality benefit” but does not </w:t>
      </w:r>
      <w:r w:rsidR="00CC3501" w:rsidRPr="00CA268A">
        <w:rPr>
          <w:rFonts w:ascii="Times New Roman" w:hAnsi="Times New Roman" w:cs="Times New Roman"/>
        </w:rPr>
        <w:t xml:space="preserve">provide </w:t>
      </w:r>
      <w:r w:rsidR="00D20406" w:rsidRPr="00CA268A">
        <w:rPr>
          <w:rFonts w:ascii="Times New Roman" w:hAnsi="Times New Roman" w:cs="Times New Roman"/>
        </w:rPr>
        <w:t>specific criteria for demonstrating net air quality benefit</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Presumably, the net air quality benefit associated with offsets under the federal program is determined on a case-by-case qualitative </w:t>
      </w:r>
      <w:r w:rsidR="000542B2">
        <w:rPr>
          <w:rFonts w:ascii="Times New Roman" w:hAnsi="Times New Roman" w:cs="Times New Roman"/>
        </w:rPr>
        <w:t>(</w:t>
      </w:r>
      <w:r w:rsidR="00D20406" w:rsidRPr="00CA268A">
        <w:rPr>
          <w:rFonts w:ascii="Times New Roman" w:hAnsi="Times New Roman" w:cs="Times New Roman"/>
        </w:rPr>
        <w:t>rather than quantitative</w:t>
      </w:r>
      <w:r w:rsidR="000542B2">
        <w:rPr>
          <w:rFonts w:ascii="Times New Roman" w:hAnsi="Times New Roman" w:cs="Times New Roman"/>
        </w:rPr>
        <w:t>)</w:t>
      </w:r>
      <w:r w:rsidR="00D20406" w:rsidRPr="00CA268A">
        <w:rPr>
          <w:rFonts w:ascii="Times New Roman" w:hAnsi="Times New Roman" w:cs="Times New Roman"/>
        </w:rPr>
        <w:t xml:space="preserve"> basis</w:t>
      </w:r>
      <w:r w:rsidR="00C038E4" w:rsidRPr="00CA268A">
        <w:rPr>
          <w:rFonts w:ascii="Times New Roman" w:hAnsi="Times New Roman" w:cs="Times New Roman"/>
        </w:rPr>
        <w:t xml:space="preserve">. </w:t>
      </w:r>
      <w:r w:rsidR="00D20406" w:rsidRPr="00CA268A">
        <w:rPr>
          <w:rFonts w:ascii="Times New Roman" w:hAnsi="Times New Roman" w:cs="Times New Roman"/>
        </w:rPr>
        <w:t>DEQ has reviewed other state programs approved by EPA and found that most programs rely merely on offsets for the demonstration of net air quality benefit.</w:t>
      </w:r>
    </w:p>
    <w:p w:rsidR="00D20406" w:rsidRPr="00CA268A" w:rsidRDefault="00D20406" w:rsidP="007E3A69">
      <w:pPr>
        <w:spacing w:after="0" w:line="240" w:lineRule="auto"/>
        <w:rPr>
          <w:rFonts w:ascii="Times New Roman" w:hAnsi="Times New Roman" w:cs="Times New Roman"/>
        </w:rPr>
      </w:pPr>
    </w:p>
    <w:p w:rsidR="001E6BAD" w:rsidRPr="00CA268A" w:rsidRDefault="00D20406" w:rsidP="007E3A69">
      <w:pPr>
        <w:spacing w:after="0" w:line="240" w:lineRule="auto"/>
        <w:rPr>
          <w:rFonts w:ascii="Times New Roman" w:hAnsi="Times New Roman" w:cs="Times New Roman"/>
        </w:rPr>
      </w:pPr>
      <w:r w:rsidRPr="00CA268A">
        <w:rPr>
          <w:rFonts w:ascii="Times New Roman" w:hAnsi="Times New Roman" w:cs="Times New Roman"/>
        </w:rPr>
        <w:t xml:space="preserve">DEQ’s rules currently have two criteria for determining whether offsets provide </w:t>
      </w:r>
      <w:r w:rsidR="00EE194D">
        <w:rPr>
          <w:rFonts w:ascii="Times New Roman" w:hAnsi="Times New Roman" w:cs="Times New Roman"/>
        </w:rPr>
        <w:t xml:space="preserve">a </w:t>
      </w:r>
      <w:r w:rsidRPr="00CA268A">
        <w:rPr>
          <w:rFonts w:ascii="Times New Roman" w:hAnsi="Times New Roman" w:cs="Times New Roman"/>
        </w:rPr>
        <w:t>net air quality benefit</w:t>
      </w:r>
      <w:r w:rsidR="00947B98" w:rsidRPr="00CA268A">
        <w:rPr>
          <w:rFonts w:ascii="Times New Roman" w:hAnsi="Times New Roman" w:cs="Times New Roman"/>
        </w:rPr>
        <w:t>; b</w:t>
      </w:r>
      <w:r w:rsidRPr="00CA268A">
        <w:rPr>
          <w:rFonts w:ascii="Times New Roman" w:hAnsi="Times New Roman" w:cs="Times New Roman"/>
        </w:rPr>
        <w:t>oth rely on modeling</w:t>
      </w:r>
      <w:r w:rsidR="00C038E4" w:rsidRPr="00CA268A">
        <w:rPr>
          <w:rFonts w:ascii="Times New Roman" w:hAnsi="Times New Roman" w:cs="Times New Roman"/>
        </w:rPr>
        <w:t xml:space="preserve">. </w:t>
      </w:r>
      <w:r w:rsidR="001A0E1F" w:rsidRPr="00CA268A">
        <w:rPr>
          <w:rFonts w:ascii="Times New Roman" w:hAnsi="Times New Roman" w:cs="Times New Roman"/>
        </w:rPr>
        <w:t>The first criterion is that the offsets must reduce the proposed source’s impacts at a majority of the receptors</w:t>
      </w:r>
      <w:r w:rsidR="00CC3501" w:rsidRPr="00CA268A">
        <w:rPr>
          <w:rFonts w:ascii="Times New Roman" w:hAnsi="Times New Roman" w:cs="Times New Roman"/>
        </w:rPr>
        <w:t xml:space="preserve"> within the designated area</w:t>
      </w:r>
      <w:r w:rsidR="00C038E4" w:rsidRPr="00CA268A">
        <w:rPr>
          <w:rFonts w:ascii="Times New Roman" w:hAnsi="Times New Roman" w:cs="Times New Roman"/>
        </w:rPr>
        <w:t xml:space="preserve">. </w:t>
      </w:r>
      <w:r w:rsidR="001A0E1F" w:rsidRPr="00CA268A">
        <w:rPr>
          <w:rFonts w:ascii="Times New Roman" w:hAnsi="Times New Roman" w:cs="Times New Roman"/>
        </w:rPr>
        <w:t xml:space="preserve">The second criteria is that the source’s emissions along with the </w:t>
      </w:r>
      <w:r w:rsidR="00DF3750" w:rsidRPr="00CA268A">
        <w:rPr>
          <w:rFonts w:ascii="Times New Roman" w:hAnsi="Times New Roman" w:cs="Times New Roman"/>
        </w:rPr>
        <w:t xml:space="preserve">required </w:t>
      </w:r>
      <w:r w:rsidR="001A0E1F" w:rsidRPr="00CA268A">
        <w:rPr>
          <w:rFonts w:ascii="Times New Roman" w:hAnsi="Times New Roman" w:cs="Times New Roman"/>
        </w:rPr>
        <w:t>offsets will result in impacts less than the significant impact level (SIL) at all receptors within the nonattainment area</w:t>
      </w:r>
      <w:r w:rsidR="00C038E4" w:rsidRPr="00CA268A">
        <w:rPr>
          <w:rFonts w:ascii="Times New Roman" w:hAnsi="Times New Roman" w:cs="Times New Roman"/>
        </w:rPr>
        <w:t xml:space="preserve">. </w:t>
      </w:r>
      <w:r w:rsidR="001A0E1F" w:rsidRPr="00CA268A">
        <w:rPr>
          <w:rFonts w:ascii="Times New Roman" w:hAnsi="Times New Roman" w:cs="Times New Roman"/>
        </w:rPr>
        <w:t>These two criteria were establish</w:t>
      </w:r>
      <w:r w:rsidR="00BA68E8" w:rsidRPr="00CA268A">
        <w:rPr>
          <w:rFonts w:ascii="Times New Roman" w:hAnsi="Times New Roman" w:cs="Times New Roman"/>
        </w:rPr>
        <w:t>ed</w:t>
      </w:r>
      <w:r w:rsidR="001A0E1F" w:rsidRPr="00CA268A">
        <w:rPr>
          <w:rFonts w:ascii="Times New Roman" w:hAnsi="Times New Roman" w:cs="Times New Roman"/>
        </w:rPr>
        <w:t xml:space="preserve"> in 2001 and were never fully evaluated before they were adopted</w:t>
      </w:r>
      <w:r w:rsidR="00C038E4" w:rsidRPr="00CA268A">
        <w:rPr>
          <w:rFonts w:ascii="Times New Roman" w:hAnsi="Times New Roman" w:cs="Times New Roman"/>
        </w:rPr>
        <w:t xml:space="preserve">. </w:t>
      </w:r>
      <w:r w:rsidR="00BA68E8" w:rsidRPr="00CA268A">
        <w:rPr>
          <w:rFonts w:ascii="Times New Roman" w:hAnsi="Times New Roman" w:cs="Times New Roman"/>
        </w:rPr>
        <w:t>As it turns out, DEQ has found that these two criteria are virtually impossible to meet because emissions from different locations do not impact the same receptors</w:t>
      </w:r>
      <w:r w:rsidR="00C038E4" w:rsidRPr="00CA268A">
        <w:rPr>
          <w:rFonts w:ascii="Times New Roman" w:hAnsi="Times New Roman" w:cs="Times New Roman"/>
        </w:rPr>
        <w:t xml:space="preserve">. </w:t>
      </w:r>
      <w:r w:rsidR="00BA68E8" w:rsidRPr="00CA268A">
        <w:rPr>
          <w:rFonts w:ascii="Times New Roman" w:hAnsi="Times New Roman" w:cs="Times New Roman"/>
        </w:rPr>
        <w:t xml:space="preserve">In order </w:t>
      </w:r>
      <w:r w:rsidR="00BA68E8" w:rsidRPr="00CA268A">
        <w:rPr>
          <w:rFonts w:ascii="Times New Roman" w:hAnsi="Times New Roman" w:cs="Times New Roman"/>
        </w:rPr>
        <w:lastRenderedPageBreak/>
        <w:t>to satisfy the criteria, the offsets would have to come from almost the same location as the proposed project.</w:t>
      </w:r>
    </w:p>
    <w:p w:rsidR="00571832" w:rsidRPr="00CA268A" w:rsidRDefault="00571832" w:rsidP="007E3A69">
      <w:pPr>
        <w:spacing w:after="0" w:line="240" w:lineRule="auto"/>
        <w:rPr>
          <w:rFonts w:ascii="Times New Roman" w:hAnsi="Times New Roman" w:cs="Times New Roman"/>
        </w:rPr>
      </w:pPr>
    </w:p>
    <w:p w:rsidR="00571832" w:rsidRPr="00CA268A" w:rsidRDefault="00EE194D" w:rsidP="00571832">
      <w:pPr>
        <w:spacing w:after="0" w:line="240" w:lineRule="auto"/>
        <w:rPr>
          <w:rFonts w:ascii="Times New Roman" w:hAnsi="Times New Roman" w:cs="Times New Roman"/>
          <w:bCs/>
        </w:rPr>
      </w:pPr>
      <w:r>
        <w:rPr>
          <w:rFonts w:ascii="Times New Roman" w:hAnsi="Times New Roman" w:cs="Times New Roman"/>
          <w:bCs/>
        </w:rPr>
        <w:t>From</w:t>
      </w:r>
      <w:r w:rsidR="00571832" w:rsidRPr="00CA268A">
        <w:rPr>
          <w:rFonts w:ascii="Times New Roman" w:hAnsi="Times New Roman" w:cs="Times New Roman"/>
          <w:bCs/>
        </w:rPr>
        <w:t xml:space="preserve"> adoption</w:t>
      </w:r>
      <w:r>
        <w:rPr>
          <w:rFonts w:ascii="Times New Roman" w:hAnsi="Times New Roman" w:cs="Times New Roman"/>
          <w:bCs/>
        </w:rPr>
        <w:t xml:space="preserve"> of these requirements in 2001 until 2009</w:t>
      </w:r>
      <w:r w:rsidR="00571832" w:rsidRPr="00CA268A">
        <w:rPr>
          <w:rFonts w:ascii="Times New Roman" w:hAnsi="Times New Roman" w:cs="Times New Roman"/>
          <w:bCs/>
        </w:rPr>
        <w:t xml:space="preserve">, meeting the requirements of net air quality benefit </w:t>
      </w:r>
      <w:r>
        <w:rPr>
          <w:rFonts w:ascii="Times New Roman" w:hAnsi="Times New Roman" w:cs="Times New Roman"/>
          <w:bCs/>
        </w:rPr>
        <w:t>was</w:t>
      </w:r>
      <w:r w:rsidR="00571832" w:rsidRPr="00CA268A">
        <w:rPr>
          <w:rFonts w:ascii="Times New Roman" w:hAnsi="Times New Roman" w:cs="Times New Roman"/>
          <w:bCs/>
        </w:rPr>
        <w:t xml:space="preserve"> not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CA268A" w:rsidRDefault="00571832" w:rsidP="00571832">
      <w:pPr>
        <w:spacing w:after="0" w:line="240" w:lineRule="auto"/>
        <w:rPr>
          <w:rFonts w:ascii="Times New Roman" w:hAnsi="Times New Roman" w:cs="Times New Roman"/>
          <w:bCs/>
        </w:rPr>
      </w:pPr>
    </w:p>
    <w:p w:rsidR="00571832" w:rsidRPr="00CA268A" w:rsidRDefault="00571832" w:rsidP="00571832">
      <w:pPr>
        <w:spacing w:after="0" w:line="240" w:lineRule="auto"/>
        <w:rPr>
          <w:rFonts w:ascii="Times New Roman" w:hAnsi="Times New Roman" w:cs="Times New Roman"/>
          <w:bCs/>
        </w:rPr>
      </w:pPr>
      <w:r w:rsidRPr="00CA268A">
        <w:rPr>
          <w:rFonts w:ascii="Times New Roman" w:hAnsi="Times New Roman" w:cs="Times New Roman"/>
          <w:bCs/>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w:t>
      </w:r>
      <w:r w:rsidR="006B0143">
        <w:rPr>
          <w:rFonts w:ascii="Times New Roman" w:hAnsi="Times New Roman" w:cs="Times New Roman"/>
          <w:bCs/>
        </w:rPr>
        <w:t>the net air quality benefit test</w:t>
      </w:r>
      <w:r w:rsidRPr="00CA268A">
        <w:rPr>
          <w:rFonts w:ascii="Times New Roman" w:hAnsi="Times New Roman" w:cs="Times New Roman"/>
          <w:bCs/>
        </w:rPr>
        <w:t xml:space="preserv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Pr="00CA268A" w:rsidRDefault="00BA68E8" w:rsidP="007E3A69">
      <w:pPr>
        <w:spacing w:after="0" w:line="240" w:lineRule="auto"/>
        <w:rPr>
          <w:rFonts w:ascii="Times New Roman" w:hAnsi="Times New Roman" w:cs="Times New Roman"/>
        </w:rPr>
      </w:pPr>
    </w:p>
    <w:p w:rsidR="00BA68E8" w:rsidRPr="00CA268A" w:rsidRDefault="00BA68E8" w:rsidP="007E3A69">
      <w:pPr>
        <w:spacing w:after="0" w:line="240" w:lineRule="auto"/>
        <w:rPr>
          <w:rFonts w:ascii="Times New Roman" w:hAnsi="Times New Roman" w:cs="Times New Roman"/>
        </w:rPr>
      </w:pPr>
      <w:r w:rsidRPr="00CA268A">
        <w:rPr>
          <w:rFonts w:ascii="Times New Roman" w:hAnsi="Times New Roman" w:cs="Times New Roman"/>
        </w:rPr>
        <w:t>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w:t>
      </w:r>
      <w:r w:rsidR="00C038E4" w:rsidRPr="00CA268A">
        <w:rPr>
          <w:rFonts w:ascii="Times New Roman" w:hAnsi="Times New Roman" w:cs="Times New Roman"/>
        </w:rPr>
        <w:t xml:space="preserve">. </w:t>
      </w:r>
      <w:r w:rsidR="005F7D31" w:rsidRPr="00CA268A">
        <w:rPr>
          <w:rFonts w:ascii="Times New Roman" w:hAnsi="Times New Roman" w:cs="Times New Roman"/>
        </w:rPr>
        <w:t>Further</w:t>
      </w:r>
      <w:r w:rsidRPr="00CA268A">
        <w:rPr>
          <w:rFonts w:ascii="Times New Roman" w:hAnsi="Times New Roman" w:cs="Times New Roman"/>
        </w:rPr>
        <w:t>, DEQ does not believe that the criteria established in 2001 can be met</w:t>
      </w:r>
      <w:r w:rsidR="00C038E4" w:rsidRPr="00CA268A">
        <w:rPr>
          <w:rFonts w:ascii="Times New Roman" w:hAnsi="Times New Roman" w:cs="Times New Roman"/>
        </w:rPr>
        <w:t xml:space="preserve">. </w:t>
      </w:r>
      <w:r w:rsidR="001F40DA" w:rsidRPr="00CA268A">
        <w:rPr>
          <w:rFonts w:ascii="Times New Roman" w:hAnsi="Times New Roman" w:cs="Times New Roman"/>
        </w:rPr>
        <w:t>On the other hand</w:t>
      </w:r>
      <w:r w:rsidRPr="00CA268A">
        <w:rPr>
          <w:rFonts w:ascii="Times New Roman" w:hAnsi="Times New Roman" w:cs="Times New Roman"/>
        </w:rPr>
        <w:t>, DEQ believe</w:t>
      </w:r>
      <w:r w:rsidR="005F7D31" w:rsidRPr="00CA268A">
        <w:rPr>
          <w:rFonts w:ascii="Times New Roman" w:hAnsi="Times New Roman" w:cs="Times New Roman"/>
        </w:rPr>
        <w:t>s</w:t>
      </w:r>
      <w:r w:rsidRPr="00CA268A">
        <w:rPr>
          <w:rFonts w:ascii="Times New Roman" w:hAnsi="Times New Roman" w:cs="Times New Roman"/>
        </w:rPr>
        <w:t xml:space="preserve"> that offsets by themselves are</w:t>
      </w:r>
      <w:r w:rsidR="005F7D31" w:rsidRPr="00CA268A">
        <w:rPr>
          <w:rFonts w:ascii="Times New Roman" w:hAnsi="Times New Roman" w:cs="Times New Roman"/>
        </w:rPr>
        <w:t xml:space="preserve"> not</w:t>
      </w:r>
      <w:r w:rsidRPr="00CA268A">
        <w:rPr>
          <w:rFonts w:ascii="Times New Roman" w:hAnsi="Times New Roman" w:cs="Times New Roman"/>
        </w:rPr>
        <w:t xml:space="preserve"> a sufficient demonstration of net air quality benefit</w:t>
      </w:r>
      <w:r w:rsidR="00C038E4" w:rsidRPr="00CA268A">
        <w:rPr>
          <w:rFonts w:ascii="Times New Roman" w:hAnsi="Times New Roman" w:cs="Times New Roman"/>
        </w:rPr>
        <w:t xml:space="preserve">. </w:t>
      </w:r>
      <w:r w:rsidRPr="00CA268A">
        <w:rPr>
          <w:rFonts w:ascii="Times New Roman" w:hAnsi="Times New Roman" w:cs="Times New Roman"/>
        </w:rPr>
        <w:t xml:space="preserve">Even though the emissions from a proposed project may be fully offset so that there is no net increase in emissions </w:t>
      </w:r>
      <w:r w:rsidR="001F40DA" w:rsidRPr="00CA268A">
        <w:rPr>
          <w:rFonts w:ascii="Times New Roman" w:hAnsi="Times New Roman" w:cs="Times New Roman"/>
        </w:rPr>
        <w:t>within</w:t>
      </w:r>
      <w:r w:rsidRPr="00CA268A">
        <w:rPr>
          <w:rFonts w:ascii="Times New Roman" w:hAnsi="Times New Roman" w:cs="Times New Roman"/>
        </w:rPr>
        <w:t xml:space="preserve"> the nonattainment area, the impacts of the source</w:t>
      </w:r>
      <w:r w:rsidR="00C66D98" w:rsidRPr="00CA268A">
        <w:rPr>
          <w:rFonts w:ascii="Times New Roman" w:hAnsi="Times New Roman" w:cs="Times New Roman"/>
        </w:rPr>
        <w:t>’</w:t>
      </w:r>
      <w:r w:rsidRPr="00CA268A">
        <w:rPr>
          <w:rFonts w:ascii="Times New Roman" w:hAnsi="Times New Roman" w:cs="Times New Roman"/>
        </w:rPr>
        <w:t>s emissions c</w:t>
      </w:r>
      <w:r w:rsidR="00BA72D7" w:rsidRPr="00CA268A">
        <w:rPr>
          <w:rFonts w:ascii="Times New Roman" w:hAnsi="Times New Roman" w:cs="Times New Roman"/>
        </w:rPr>
        <w:t>ould</w:t>
      </w:r>
      <w:r w:rsidRPr="00CA268A">
        <w:rPr>
          <w:rFonts w:ascii="Times New Roman" w:hAnsi="Times New Roman" w:cs="Times New Roman"/>
        </w:rPr>
        <w:t xml:space="preserve"> </w:t>
      </w:r>
      <w:r w:rsidR="005F7D31" w:rsidRPr="00CA268A">
        <w:rPr>
          <w:rFonts w:ascii="Times New Roman" w:hAnsi="Times New Roman" w:cs="Times New Roman"/>
        </w:rPr>
        <w:t xml:space="preserve">still </w:t>
      </w:r>
      <w:r w:rsidRPr="00CA268A">
        <w:rPr>
          <w:rFonts w:ascii="Times New Roman" w:hAnsi="Times New Roman" w:cs="Times New Roman"/>
        </w:rPr>
        <w:t xml:space="preserve">adversely </w:t>
      </w:r>
      <w:r w:rsidR="00BA72D7" w:rsidRPr="00CA268A">
        <w:rPr>
          <w:rFonts w:ascii="Times New Roman" w:hAnsi="Times New Roman" w:cs="Times New Roman"/>
        </w:rPr>
        <w:t>a</w:t>
      </w:r>
      <w:r w:rsidRPr="00CA268A">
        <w:rPr>
          <w:rFonts w:ascii="Times New Roman" w:hAnsi="Times New Roman" w:cs="Times New Roman"/>
        </w:rPr>
        <w:t>ffect specific areas within the nonattainment area</w:t>
      </w:r>
      <w:r w:rsidR="00C038E4" w:rsidRPr="00CA268A">
        <w:rPr>
          <w:rFonts w:ascii="Times New Roman" w:hAnsi="Times New Roman" w:cs="Times New Roman"/>
        </w:rPr>
        <w:t xml:space="preserve">. </w:t>
      </w:r>
    </w:p>
    <w:p w:rsidR="00BA68E8" w:rsidRPr="00CA268A" w:rsidRDefault="00BA68E8" w:rsidP="007E3A69">
      <w:pPr>
        <w:spacing w:after="0" w:line="240" w:lineRule="auto"/>
        <w:rPr>
          <w:rFonts w:ascii="Times New Roman" w:hAnsi="Times New Roman" w:cs="Times New Roman"/>
        </w:rPr>
      </w:pPr>
    </w:p>
    <w:p w:rsidR="00BA72D7" w:rsidRPr="00CA268A" w:rsidRDefault="00C66D98" w:rsidP="007E3A69">
      <w:pPr>
        <w:spacing w:after="0" w:line="240" w:lineRule="auto"/>
        <w:rPr>
          <w:rFonts w:ascii="Times New Roman" w:hAnsi="Times New Roman" w:cs="Times New Roman"/>
        </w:rPr>
      </w:pPr>
      <w:r w:rsidRPr="00CA268A">
        <w:rPr>
          <w:rFonts w:ascii="Times New Roman" w:hAnsi="Times New Roman" w:cs="Times New Roman"/>
        </w:rPr>
        <w:t>Therefore, DEQ proposes modifying the criteria for demonstrating net air quality benefit as follows:</w:t>
      </w:r>
    </w:p>
    <w:p w:rsidR="00C66D98" w:rsidRPr="00CA268A" w:rsidRDefault="00C66D98" w:rsidP="007E3A69">
      <w:pPr>
        <w:spacing w:after="0" w:line="240" w:lineRule="auto"/>
        <w:rPr>
          <w:rFonts w:ascii="Times New Roman" w:hAnsi="Times New Roman" w:cs="Times New Roman"/>
        </w:rPr>
      </w:pPr>
    </w:p>
    <w:p w:rsidR="00C66D98"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Obtain offsets in accordance with the provisions discussed above, which provide incentives for obtaining offsets from the priority sources</w:t>
      </w:r>
      <w:r w:rsidR="000751AD" w:rsidRPr="00CA268A">
        <w:rPr>
          <w:rFonts w:ascii="Times New Roman" w:hAnsi="Times New Roman" w:cs="Times New Roman"/>
        </w:rPr>
        <w:t>; and</w:t>
      </w:r>
    </w:p>
    <w:p w:rsidR="001F40DA"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Conduct modeling that</w:t>
      </w:r>
      <w:r w:rsidR="000751AD" w:rsidRPr="00CA268A">
        <w:rPr>
          <w:rFonts w:ascii="Times New Roman" w:hAnsi="Times New Roman" w:cs="Times New Roman"/>
        </w:rPr>
        <w:t>:</w:t>
      </w:r>
    </w:p>
    <w:p w:rsidR="001F40DA" w:rsidRPr="00CA268A"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Demonstrates that t</w:t>
      </w:r>
      <w:r w:rsidR="001F40DA" w:rsidRPr="00CA268A">
        <w:rPr>
          <w:rFonts w:ascii="Times New Roman" w:hAnsi="Times New Roman" w:cs="Times New Roman"/>
        </w:rPr>
        <w:t>he source’s impacts without taking into consideration any offsets are less than the significant impac</w:t>
      </w:r>
      <w:r w:rsidRPr="00CA268A">
        <w:rPr>
          <w:rFonts w:ascii="Times New Roman" w:hAnsi="Times New Roman" w:cs="Times New Roman"/>
        </w:rPr>
        <w:t>t level at all receptors with</w:t>
      </w:r>
      <w:r w:rsidR="00B36C1B" w:rsidRPr="00CA268A">
        <w:rPr>
          <w:rFonts w:ascii="Times New Roman" w:hAnsi="Times New Roman" w:cs="Times New Roman"/>
        </w:rPr>
        <w:t>in</w:t>
      </w:r>
      <w:r w:rsidRPr="00CA268A">
        <w:rPr>
          <w:rFonts w:ascii="Times New Roman" w:hAnsi="Times New Roman" w:cs="Times New Roman"/>
        </w:rPr>
        <w:t xml:space="preserve"> the designated area; or</w:t>
      </w:r>
    </w:p>
    <w:p w:rsidR="008D2FDF"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 xml:space="preserve">Demonstrates that the source’s impacts without taking into consideration any offsets are less than the significant impact level at receptors in the neighborhood of the monitoring site used for </w:t>
      </w:r>
      <w:r w:rsidR="00B36C1B" w:rsidRPr="00CA268A">
        <w:rPr>
          <w:rFonts w:ascii="Times New Roman" w:hAnsi="Times New Roman" w:cs="Times New Roman"/>
        </w:rPr>
        <w:t xml:space="preserve">the </w:t>
      </w:r>
      <w:r w:rsidRPr="00CA268A">
        <w:rPr>
          <w:rFonts w:ascii="Times New Roman" w:hAnsi="Times New Roman" w:cs="Times New Roman"/>
        </w:rPr>
        <w:t>designation of the area;</w:t>
      </w:r>
    </w:p>
    <w:p w:rsidR="000751AD" w:rsidRPr="00CA268A" w:rsidRDefault="000751AD" w:rsidP="008D2FDF">
      <w:pPr>
        <w:pStyle w:val="ListParagraph"/>
        <w:spacing w:after="0" w:line="240" w:lineRule="auto"/>
        <w:ind w:left="1440"/>
        <w:rPr>
          <w:rFonts w:ascii="Times New Roman" w:hAnsi="Times New Roman" w:cs="Times New Roman"/>
        </w:rPr>
      </w:pPr>
      <w:r w:rsidRPr="00CA268A">
        <w:rPr>
          <w:rFonts w:ascii="Times New Roman" w:hAnsi="Times New Roman" w:cs="Times New Roman"/>
          <w:u w:val="single"/>
        </w:rPr>
        <w:t>and</w:t>
      </w:r>
    </w:p>
    <w:p w:rsidR="000751AD" w:rsidRPr="00CA268A" w:rsidRDefault="000751AD" w:rsidP="00302B0F">
      <w:pPr>
        <w:pStyle w:val="ListParagraph"/>
        <w:spacing w:after="0" w:line="240" w:lineRule="auto"/>
        <w:ind w:left="1440"/>
        <w:rPr>
          <w:rFonts w:ascii="Times New Roman" w:hAnsi="Times New Roman" w:cs="Times New Roman"/>
        </w:rPr>
      </w:pPr>
      <w:r w:rsidRPr="00CA268A">
        <w:rPr>
          <w:rFonts w:ascii="Times New Roman" w:hAnsi="Times New Roman" w:cs="Times New Roman"/>
        </w:rPr>
        <w:t xml:space="preserve">Demonstrates that the source’s impacts </w:t>
      </w:r>
      <w:r w:rsidR="00B36C1B" w:rsidRPr="00CA268A">
        <w:rPr>
          <w:rFonts w:ascii="Times New Roman" w:hAnsi="Times New Roman" w:cs="Times New Roman"/>
        </w:rPr>
        <w:t>after subtracting offsets from priority source’s plus the impacts from all other emission increases</w:t>
      </w:r>
      <w:r w:rsidR="00AA6745" w:rsidRPr="00CA268A">
        <w:rPr>
          <w:rFonts w:ascii="Times New Roman" w:hAnsi="Times New Roman" w:cs="Times New Roman"/>
        </w:rPr>
        <w:t xml:space="preserve"> (including contemporaneous offsets)</w:t>
      </w:r>
      <w:r w:rsidR="00B36C1B" w:rsidRPr="00CA268A">
        <w:rPr>
          <w:rFonts w:ascii="Times New Roman" w:hAnsi="Times New Roman" w:cs="Times New Roman"/>
        </w:rPr>
        <w:t xml:space="preserve"> and decreases since the area was designated are less than 10% of </w:t>
      </w:r>
      <w:r w:rsidR="004F6043">
        <w:rPr>
          <w:rFonts w:ascii="Times New Roman" w:hAnsi="Times New Roman" w:cs="Times New Roman"/>
        </w:rPr>
        <w:t>AAQS</w:t>
      </w:r>
      <w:r w:rsidR="00723F53" w:rsidRPr="00CA268A">
        <w:rPr>
          <w:rStyle w:val="FootnoteReference"/>
          <w:rFonts w:ascii="Times New Roman" w:hAnsi="Times New Roman" w:cs="Times New Roman"/>
        </w:rPr>
        <w:footnoteReference w:id="11"/>
      </w:r>
      <w:r w:rsidR="00B36C1B" w:rsidRPr="00CA268A">
        <w:rPr>
          <w:rFonts w:ascii="Times New Roman" w:hAnsi="Times New Roman" w:cs="Times New Roman"/>
        </w:rPr>
        <w:t xml:space="preserve"> at all other receptors within the designated area.</w:t>
      </w:r>
    </w:p>
    <w:p w:rsidR="00BA68E8" w:rsidRPr="00CA268A" w:rsidRDefault="00BA68E8" w:rsidP="007E3A69">
      <w:pPr>
        <w:spacing w:after="0" w:line="240" w:lineRule="auto"/>
        <w:rPr>
          <w:rFonts w:ascii="Times New Roman" w:hAnsi="Times New Roman" w:cs="Times New Roman"/>
        </w:rPr>
      </w:pPr>
    </w:p>
    <w:p w:rsidR="00BA68E8" w:rsidRPr="00CA268A" w:rsidRDefault="00EA161C" w:rsidP="007E3A69">
      <w:pPr>
        <w:spacing w:after="0" w:line="240" w:lineRule="auto"/>
        <w:rPr>
          <w:rFonts w:ascii="Times New Roman" w:hAnsi="Times New Roman" w:cs="Times New Roman"/>
        </w:rPr>
      </w:pPr>
      <w:r w:rsidRPr="00CA268A">
        <w:rPr>
          <w:rFonts w:ascii="Times New Roman" w:hAnsi="Times New Roman" w:cs="Times New Roman"/>
        </w:rPr>
        <w:t>DEQ believes that the demonstrations above will ensure that the air quality in a designated area will not get worse as a result of new or modified sources</w:t>
      </w:r>
      <w:r w:rsidR="001A4739">
        <w:rPr>
          <w:rFonts w:ascii="Times New Roman" w:hAnsi="Times New Roman" w:cs="Times New Roman"/>
        </w:rPr>
        <w:t>,</w:t>
      </w:r>
      <w:r w:rsidRPr="00CA268A">
        <w:rPr>
          <w:rFonts w:ascii="Times New Roman" w:hAnsi="Times New Roman" w:cs="Times New Roman"/>
        </w:rPr>
        <w:t xml:space="preserve"> and in most cases will improve</w:t>
      </w:r>
      <w:r w:rsidR="001A4739">
        <w:rPr>
          <w:rFonts w:ascii="Times New Roman" w:hAnsi="Times New Roman" w:cs="Times New Roman"/>
        </w:rPr>
        <w:t>,</w:t>
      </w:r>
      <w:r w:rsidRPr="00CA268A">
        <w:rPr>
          <w:rFonts w:ascii="Times New Roman" w:hAnsi="Times New Roman" w:cs="Times New Roman"/>
        </w:rPr>
        <w:t xml:space="preserve"> especially </w:t>
      </w:r>
      <w:r w:rsidR="00AA6745" w:rsidRPr="00CA268A">
        <w:rPr>
          <w:rFonts w:ascii="Times New Roman" w:hAnsi="Times New Roman" w:cs="Times New Roman"/>
        </w:rPr>
        <w:t>i</w:t>
      </w:r>
      <w:r w:rsidRPr="00CA268A">
        <w:rPr>
          <w:rFonts w:ascii="Times New Roman" w:hAnsi="Times New Roman" w:cs="Times New Roman"/>
        </w:rPr>
        <w:t>f the proposed source obtain</w:t>
      </w:r>
      <w:r w:rsidR="00AA6745" w:rsidRPr="00CA268A">
        <w:rPr>
          <w:rFonts w:ascii="Times New Roman" w:hAnsi="Times New Roman" w:cs="Times New Roman"/>
        </w:rPr>
        <w:t>s</w:t>
      </w:r>
      <w:r w:rsidRPr="00CA268A">
        <w:rPr>
          <w:rFonts w:ascii="Times New Roman" w:hAnsi="Times New Roman" w:cs="Times New Roman"/>
        </w:rPr>
        <w:t xml:space="preserve"> offsets from other priority sources within the designated area.</w:t>
      </w:r>
    </w:p>
    <w:p w:rsidR="00BA68E8" w:rsidRPr="00CA268A" w:rsidRDefault="00BA68E8" w:rsidP="007E3A69">
      <w:pPr>
        <w:spacing w:after="0" w:line="240" w:lineRule="auto"/>
        <w:rPr>
          <w:rFonts w:ascii="Times New Roman" w:hAnsi="Times New Roman" w:cs="Times New Roman"/>
        </w:rPr>
      </w:pPr>
    </w:p>
    <w:p w:rsidR="00956648" w:rsidRPr="00CA268A" w:rsidRDefault="00C20DEC" w:rsidP="00A37A5E">
      <w:pPr>
        <w:spacing w:after="0" w:line="240" w:lineRule="auto"/>
        <w:rPr>
          <w:rFonts w:ascii="Times New Roman" w:hAnsi="Times New Roman" w:cs="Times New Roman"/>
          <w:bCs/>
        </w:rPr>
      </w:pPr>
      <w:r>
        <w:rPr>
          <w:rFonts w:ascii="Times New Roman" w:hAnsi="Times New Roman" w:cs="Times New Roman"/>
          <w:bCs/>
        </w:rPr>
        <w:lastRenderedPageBreak/>
        <w:t>When priority sources are identified for an area and appropriate offset allowances are established, sources subject to either Major or State NSR may obtain offsets from priority sources. In most areas, but not all, sources can reduce the offset ratio by obtaining part of their offsets from priority sources. In nonattainment, reattainment and maintenance areas, the minimum offset ratio allowed for the underlying federal designations is 1</w:t>
      </w:r>
      <w:r w:rsidR="00A37A5E">
        <w:rPr>
          <w:rFonts w:ascii="Times New Roman" w:hAnsi="Times New Roman" w:cs="Times New Roman"/>
          <w:bCs/>
        </w:rPr>
        <w:t>.0</w:t>
      </w:r>
      <w:r>
        <w:rPr>
          <w:rFonts w:ascii="Times New Roman" w:hAnsi="Times New Roman" w:cs="Times New Roman"/>
          <w:bCs/>
        </w:rPr>
        <w:t>:1.</w:t>
      </w:r>
      <w:r w:rsidR="00A37A5E">
        <w:rPr>
          <w:rFonts w:ascii="Times New Roman" w:hAnsi="Times New Roman" w:cs="Times New Roman"/>
          <w:bCs/>
        </w:rPr>
        <w:t xml:space="preserve"> In nonattainment and reattainment areas DEQ has increased the offset ratio to 1.2:1, which may be reduced to 1.0:1 by obtaining priority source offsets for both Major and State NSR. In maintenance areas the offset ratio of 1.0:1 is being retained. Since the minimum allowed offset ratio for Major NSR is 1.0:1, it is not reducible, but it is reducible for State NSR.</w:t>
      </w:r>
      <w:r w:rsidR="00956648" w:rsidRPr="00CA268A">
        <w:rPr>
          <w:rFonts w:ascii="Times New Roman" w:hAnsi="Times New Roman" w:cs="Times New Roman"/>
          <w:bCs/>
        </w:rPr>
        <w:t xml:space="preserve"> Since the minimum requirement of 1.0:1 offsets</w:t>
      </w:r>
      <w:r w:rsidR="00A37A5E">
        <w:rPr>
          <w:rFonts w:ascii="Times New Roman" w:hAnsi="Times New Roman" w:cs="Times New Roman"/>
          <w:bCs/>
        </w:rPr>
        <w:t xml:space="preserve"> for Major NSR</w:t>
      </w:r>
      <w:r w:rsidR="00956648" w:rsidRPr="00CA268A">
        <w:rPr>
          <w:rFonts w:ascii="Times New Roman" w:hAnsi="Times New Roman" w:cs="Times New Roman"/>
          <w:bCs/>
        </w:rPr>
        <w:t xml:space="preserve"> is still the same as the federal NSR program, offsetting with priority source emissions should be approvable by EPA. </w:t>
      </w:r>
    </w:p>
    <w:p w:rsidR="00956648" w:rsidRPr="00CA268A" w:rsidRDefault="00956648" w:rsidP="00956648">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BA68E8" w:rsidRPr="00CA268A" w:rsidRDefault="00BA68E8"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 xml:space="preserve">New Violation of </w:t>
      </w:r>
      <w:r w:rsidR="004F6043">
        <w:rPr>
          <w:rFonts w:ascii="Arial" w:eastAsia="Times New Roman" w:hAnsi="Arial" w:cs="Arial"/>
          <w:bCs w:val="0"/>
          <w:spacing w:val="-3"/>
          <w:sz w:val="24"/>
          <w:szCs w:val="20"/>
        </w:rPr>
        <w:t>AAQS</w:t>
      </w:r>
    </w:p>
    <w:p w:rsidR="001E6BAD" w:rsidRPr="00CA268A" w:rsidRDefault="002B34A6" w:rsidP="007E3A69">
      <w:pPr>
        <w:spacing w:after="0" w:line="240" w:lineRule="auto"/>
        <w:rPr>
          <w:rFonts w:ascii="Times New Roman" w:hAnsi="Times New Roman" w:cs="Times New Roman"/>
        </w:rPr>
      </w:pPr>
      <w:r w:rsidRPr="00CA268A">
        <w:rPr>
          <w:rFonts w:ascii="Times New Roman" w:hAnsi="Times New Roman" w:cs="Times New Roman"/>
        </w:rPr>
        <w:t xml:space="preserve">OAR 340-202-0050(2) provides general authority for DEQ to prohibit construction of a new or modified </w:t>
      </w:r>
      <w:r w:rsidR="00A3600E" w:rsidRPr="00CA268A">
        <w:rPr>
          <w:rFonts w:ascii="Times New Roman" w:hAnsi="Times New Roman" w:cs="Times New Roman"/>
        </w:rPr>
        <w:t xml:space="preserve">source </w:t>
      </w:r>
      <w:r w:rsidRPr="00CA268A">
        <w:rPr>
          <w:rFonts w:ascii="Times New Roman" w:hAnsi="Times New Roman" w:cs="Times New Roman"/>
        </w:rPr>
        <w:t>if the source</w:t>
      </w:r>
      <w:r w:rsidR="002D24E0" w:rsidRPr="00CA268A">
        <w:rPr>
          <w:rFonts w:ascii="Times New Roman" w:hAnsi="Times New Roman" w:cs="Times New Roman"/>
        </w:rPr>
        <w:t xml:space="preserve"> by itself</w:t>
      </w:r>
      <w:r w:rsidRPr="00CA268A">
        <w:rPr>
          <w:rFonts w:ascii="Times New Roman" w:hAnsi="Times New Roman" w:cs="Times New Roman"/>
        </w:rPr>
        <w:t xml:space="preserve"> would cause or contribute to a violation of </w:t>
      </w:r>
      <w:r w:rsidR="00D23564" w:rsidRPr="00CA268A">
        <w:rPr>
          <w:rFonts w:ascii="Times New Roman" w:hAnsi="Times New Roman" w:cs="Times New Roman"/>
        </w:rPr>
        <w:t>an</w:t>
      </w:r>
      <w:r w:rsidRPr="00CA268A">
        <w:rPr>
          <w:rFonts w:ascii="Times New Roman" w:hAnsi="Times New Roman" w:cs="Times New Roman"/>
        </w:rPr>
        <w:t xml:space="preserve"> </w:t>
      </w:r>
      <w:r w:rsidR="004F6043">
        <w:rPr>
          <w:rFonts w:ascii="Times New Roman" w:hAnsi="Times New Roman" w:cs="Times New Roman"/>
        </w:rPr>
        <w:t>AAQS</w:t>
      </w:r>
      <w:r w:rsidR="00C038E4" w:rsidRPr="00CA268A">
        <w:rPr>
          <w:rFonts w:ascii="Times New Roman" w:hAnsi="Times New Roman" w:cs="Times New Roman"/>
        </w:rPr>
        <w:t xml:space="preserve">. </w:t>
      </w:r>
      <w:r w:rsidRPr="00CA268A">
        <w:rPr>
          <w:rFonts w:ascii="Times New Roman" w:hAnsi="Times New Roman" w:cs="Times New Roman"/>
        </w:rPr>
        <w:t xml:space="preserve">DEQ has added </w:t>
      </w:r>
      <w:r w:rsidR="00A3600E" w:rsidRPr="00CA268A">
        <w:rPr>
          <w:rFonts w:ascii="Times New Roman" w:hAnsi="Times New Roman" w:cs="Times New Roman"/>
        </w:rPr>
        <w:t>this</w:t>
      </w:r>
      <w:r w:rsidRPr="00CA268A">
        <w:rPr>
          <w:rFonts w:ascii="Times New Roman" w:hAnsi="Times New Roman" w:cs="Times New Roman"/>
        </w:rPr>
        <w:t xml:space="preserve"> requirement to </w:t>
      </w:r>
      <w:r w:rsidR="00A3600E" w:rsidRPr="00CA268A">
        <w:rPr>
          <w:rFonts w:ascii="Times New Roman" w:hAnsi="Times New Roman" w:cs="Times New Roman"/>
        </w:rPr>
        <w:t xml:space="preserve">the </w:t>
      </w:r>
      <w:r w:rsidRPr="00CA268A">
        <w:rPr>
          <w:rFonts w:ascii="Times New Roman" w:hAnsi="Times New Roman" w:cs="Times New Roman"/>
        </w:rPr>
        <w:t>NSR rules for each designated area</w:t>
      </w:r>
      <w:r w:rsidR="00C038E4" w:rsidRPr="00CA268A">
        <w:rPr>
          <w:rFonts w:ascii="Times New Roman" w:hAnsi="Times New Roman" w:cs="Times New Roman"/>
        </w:rPr>
        <w:t xml:space="preserve">. </w:t>
      </w:r>
      <w:r w:rsidR="00EA161C" w:rsidRPr="00CA268A">
        <w:rPr>
          <w:rFonts w:ascii="Times New Roman" w:hAnsi="Times New Roman" w:cs="Times New Roman"/>
        </w:rPr>
        <w:t xml:space="preserve">The proposed rules also include a provision that new and modified sources </w:t>
      </w:r>
      <w:r w:rsidRPr="00CA268A">
        <w:rPr>
          <w:rFonts w:ascii="Times New Roman" w:hAnsi="Times New Roman" w:cs="Times New Roman"/>
        </w:rPr>
        <w:t xml:space="preserve">cannot cause or contribute to a </w:t>
      </w:r>
      <w:r w:rsidRPr="00CA268A">
        <w:rPr>
          <w:rFonts w:ascii="Times New Roman" w:hAnsi="Times New Roman" w:cs="Times New Roman"/>
          <w:i/>
          <w:u w:val="single"/>
        </w:rPr>
        <w:t>new</w:t>
      </w:r>
      <w:r w:rsidRPr="00CA268A">
        <w:rPr>
          <w:rFonts w:ascii="Times New Roman" w:hAnsi="Times New Roman" w:cs="Times New Roman"/>
        </w:rPr>
        <w:t xml:space="preserve"> violation of a</w:t>
      </w:r>
      <w:r w:rsidR="00191EEC" w:rsidRPr="00CA268A">
        <w:rPr>
          <w:rFonts w:ascii="Times New Roman" w:hAnsi="Times New Roman" w:cs="Times New Roman"/>
        </w:rPr>
        <w:t>n ambient air quality standard or PSD increment</w:t>
      </w:r>
      <w:r w:rsidR="00C038E4" w:rsidRPr="00CA268A">
        <w:rPr>
          <w:rFonts w:ascii="Times New Roman" w:hAnsi="Times New Roman" w:cs="Times New Roman"/>
        </w:rPr>
        <w:t xml:space="preserve">. </w:t>
      </w:r>
      <w:r w:rsidR="00A3600E" w:rsidRPr="00CA268A">
        <w:rPr>
          <w:rFonts w:ascii="Times New Roman" w:hAnsi="Times New Roman" w:cs="Times New Roman"/>
        </w:rPr>
        <w:t>DEQ interprets this requirement as follows:</w:t>
      </w:r>
    </w:p>
    <w:p w:rsidR="00406E89" w:rsidRPr="00CA268A" w:rsidRDefault="00406E89" w:rsidP="007E3A69">
      <w:pPr>
        <w:spacing w:after="0" w:line="240" w:lineRule="auto"/>
        <w:rPr>
          <w:rFonts w:ascii="Times New Roman" w:hAnsi="Times New Roman" w:cs="Times New Roman"/>
        </w:rPr>
      </w:pPr>
    </w:p>
    <w:p w:rsidR="00E715EB" w:rsidRPr="00CA268A" w:rsidRDefault="00470657" w:rsidP="001E6BAD">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where the background concentration is above the </w:t>
      </w:r>
      <w:r w:rsidR="004F6043">
        <w:rPr>
          <w:rFonts w:ascii="Times New Roman" w:hAnsi="Times New Roman" w:cs="Times New Roman"/>
          <w:u w:val="single"/>
        </w:rPr>
        <w:t>AAQS</w:t>
      </w:r>
      <w:r w:rsidR="00A3600E" w:rsidRPr="00CA268A">
        <w:rPr>
          <w:rFonts w:ascii="Times New Roman" w:hAnsi="Times New Roman" w:cs="Times New Roman"/>
        </w:rPr>
        <w:t>:</w:t>
      </w:r>
      <w:r w:rsidR="00E8055D" w:rsidRPr="00CA268A">
        <w:rPr>
          <w:rFonts w:ascii="Times New Roman" w:hAnsi="Times New Roman" w:cs="Times New Roman"/>
        </w:rPr>
        <w:t xml:space="preserve"> </w:t>
      </w:r>
      <w:r w:rsidR="00A3600E" w:rsidRPr="00CA268A">
        <w:rPr>
          <w:rFonts w:ascii="Times New Roman" w:hAnsi="Times New Roman" w:cs="Times New Roman"/>
        </w:rPr>
        <w:t xml:space="preserve">A new or modified source can’t cause or contribute to a new violation because the area is already violating the </w:t>
      </w:r>
      <w:r w:rsidR="004F6043">
        <w:rPr>
          <w:rFonts w:ascii="Times New Roman" w:hAnsi="Times New Roman" w:cs="Times New Roman"/>
        </w:rPr>
        <w:t>AAQS</w:t>
      </w:r>
      <w:r w:rsidR="00C038E4" w:rsidRPr="00CA268A">
        <w:rPr>
          <w:rFonts w:ascii="Times New Roman" w:hAnsi="Times New Roman" w:cs="Times New Roman"/>
        </w:rPr>
        <w:t xml:space="preserve">. </w:t>
      </w:r>
      <w:r w:rsidR="00A3600E" w:rsidRPr="00CA268A">
        <w:rPr>
          <w:rFonts w:ascii="Times New Roman" w:hAnsi="Times New Roman" w:cs="Times New Roman"/>
        </w:rPr>
        <w:t>In this case, the rules are intended to improve the air quality in the general area</w:t>
      </w:r>
      <w:r w:rsidR="004C60CB">
        <w:rPr>
          <w:rFonts w:ascii="Times New Roman" w:hAnsi="Times New Roman" w:cs="Times New Roman"/>
        </w:rPr>
        <w:t>,</w:t>
      </w:r>
      <w:r w:rsidR="00A3600E" w:rsidRPr="00CA268A">
        <w:rPr>
          <w:rFonts w:ascii="Times New Roman" w:hAnsi="Times New Roman" w:cs="Times New Roman"/>
        </w:rPr>
        <w:t xml:space="preserve"> or at least prevent the air quality from getting worse as a result of the proposed new or modified source by</w:t>
      </w:r>
      <w:r w:rsidR="00B2731F" w:rsidRPr="00CA268A">
        <w:rPr>
          <w:rFonts w:ascii="Times New Roman" w:hAnsi="Times New Roman" w:cs="Times New Roman"/>
        </w:rPr>
        <w:t xml:space="preserve"> </w:t>
      </w:r>
      <w:r w:rsidR="00E8055D" w:rsidRPr="00CA268A">
        <w:rPr>
          <w:rFonts w:ascii="Times New Roman" w:hAnsi="Times New Roman" w:cs="Times New Roman"/>
        </w:rPr>
        <w:t>requiring</w:t>
      </w:r>
      <w:r w:rsidR="00E715EB" w:rsidRPr="00CA268A">
        <w:rPr>
          <w:rFonts w:ascii="Times New Roman" w:hAnsi="Times New Roman" w:cs="Times New Roman"/>
        </w:rPr>
        <w:t xml:space="preserve"> offsets and:</w:t>
      </w:r>
    </w:p>
    <w:p w:rsidR="00B2731F" w:rsidRPr="00CA268A" w:rsidRDefault="00B2731F" w:rsidP="001E6BAD">
      <w:pPr>
        <w:spacing w:after="0" w:line="240" w:lineRule="auto"/>
        <w:ind w:left="720"/>
        <w:rPr>
          <w:rFonts w:ascii="Times New Roman" w:hAnsi="Times New Roman" w:cs="Times New Roman"/>
        </w:rPr>
      </w:pP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SIL to show that the source will not make the air quality worse in the neighborhood around the monitoring site(s). </w:t>
      </w: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10% of </w:t>
      </w:r>
      <w:r w:rsidR="004F6043">
        <w:rPr>
          <w:rFonts w:ascii="Times New Roman" w:hAnsi="Times New Roman" w:cs="Times New Roman"/>
        </w:rPr>
        <w:t>AAQS</w:t>
      </w:r>
      <w:r w:rsidR="00FB263A"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p>
    <w:p w:rsidR="00406E89" w:rsidRPr="00CA268A" w:rsidRDefault="00406E89" w:rsidP="001E6BAD">
      <w:pPr>
        <w:spacing w:after="0" w:line="240" w:lineRule="auto"/>
        <w:ind w:left="720"/>
        <w:rPr>
          <w:rFonts w:ascii="Times New Roman" w:hAnsi="Times New Roman" w:cs="Times New Roman"/>
        </w:rPr>
      </w:pPr>
    </w:p>
    <w:p w:rsidR="00406E89" w:rsidRPr="00CA268A" w:rsidRDefault="00470657" w:rsidP="00406E89">
      <w:pPr>
        <w:spacing w:after="0" w:line="240" w:lineRule="auto"/>
        <w:ind w:left="720"/>
        <w:rPr>
          <w:rFonts w:ascii="Times New Roman" w:hAnsi="Times New Roman" w:cs="Times New Roman"/>
        </w:rPr>
      </w:pPr>
      <w:r w:rsidRPr="00CA268A">
        <w:rPr>
          <w:rFonts w:ascii="Times New Roman" w:hAnsi="Times New Roman" w:cs="Times New Roman"/>
          <w:u w:val="single"/>
        </w:rPr>
        <w:t>For areas with background within an SIL of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038E4" w:rsidRPr="00CA268A">
        <w:rPr>
          <w:rFonts w:ascii="Times New Roman" w:hAnsi="Times New Roman" w:cs="Times New Roman"/>
        </w:rPr>
        <w:t xml:space="preserve">. </w:t>
      </w:r>
      <w:r w:rsidR="000737B1">
        <w:rPr>
          <w:rFonts w:ascii="Times New Roman" w:hAnsi="Times New Roman" w:cs="Times New Roman"/>
        </w:rPr>
        <w:t>Sources subject to Major NSR would be</w:t>
      </w:r>
      <w:r w:rsidR="00AA6745" w:rsidRPr="00CA268A">
        <w:rPr>
          <w:rFonts w:ascii="Times New Roman" w:hAnsi="Times New Roman" w:cs="Times New Roman"/>
        </w:rPr>
        <w:t xml:space="preserve"> required </w:t>
      </w:r>
      <w:r w:rsidR="00406E89" w:rsidRPr="00CA268A">
        <w:rPr>
          <w:rFonts w:ascii="Times New Roman" w:hAnsi="Times New Roman" w:cs="Times New Roman"/>
        </w:rPr>
        <w:t>to demonstrate that their impact when added to the background does not cause a violation of the standard</w:t>
      </w:r>
      <w:r w:rsidR="00C038E4" w:rsidRPr="00CA268A">
        <w:rPr>
          <w:rFonts w:ascii="Times New Roman" w:hAnsi="Times New Roman" w:cs="Times New Roman"/>
        </w:rPr>
        <w:t xml:space="preserve">. </w:t>
      </w:r>
      <w:r w:rsidR="00406E89" w:rsidRPr="00CA268A">
        <w:rPr>
          <w:rFonts w:ascii="Times New Roman" w:hAnsi="Times New Roman" w:cs="Times New Roman"/>
        </w:rPr>
        <w:t>This analysis needs to include the impacts of other sources if the</w:t>
      </w:r>
      <w:r w:rsidR="00E8055D" w:rsidRPr="00CA268A">
        <w:rPr>
          <w:rFonts w:ascii="Times New Roman" w:hAnsi="Times New Roman" w:cs="Times New Roman"/>
        </w:rPr>
        <w:t>y</w:t>
      </w:r>
      <w:r w:rsidR="00406E89" w:rsidRPr="00CA268A">
        <w:rPr>
          <w:rFonts w:ascii="Times New Roman" w:hAnsi="Times New Roman" w:cs="Times New Roman"/>
        </w:rPr>
        <w:t xml:space="preserve"> are not included in the background monitoring data</w:t>
      </w:r>
      <w:r w:rsidR="00C038E4" w:rsidRPr="00CA268A">
        <w:rPr>
          <w:rFonts w:ascii="Times New Roman" w:hAnsi="Times New Roman" w:cs="Times New Roman"/>
        </w:rPr>
        <w:t xml:space="preserve">. </w:t>
      </w:r>
      <w:r w:rsidR="00E715EB" w:rsidRPr="00CA268A">
        <w:rPr>
          <w:rFonts w:ascii="Times New Roman" w:hAnsi="Times New Roman" w:cs="Times New Roman"/>
        </w:rPr>
        <w:t>The analysis would also account for offsets (e.g., emission reductions as a result of the project)</w:t>
      </w:r>
      <w:r w:rsidR="00C038E4" w:rsidRPr="00CA268A">
        <w:rPr>
          <w:rFonts w:ascii="Times New Roman" w:hAnsi="Times New Roman" w:cs="Times New Roman"/>
        </w:rPr>
        <w:t xml:space="preserve">. </w:t>
      </w:r>
      <w:r w:rsidR="000737B1">
        <w:rPr>
          <w:rFonts w:ascii="Times New Roman" w:hAnsi="Times New Roman" w:cs="Times New Roman"/>
        </w:rPr>
        <w:t>S</w:t>
      </w:r>
      <w:r w:rsidR="00AA6745" w:rsidRPr="00CA268A">
        <w:rPr>
          <w:rFonts w:ascii="Times New Roman" w:hAnsi="Times New Roman" w:cs="Times New Roman"/>
        </w:rPr>
        <w:t>ource</w:t>
      </w:r>
      <w:r w:rsidR="00E8055D" w:rsidRPr="00CA268A">
        <w:rPr>
          <w:rFonts w:ascii="Times New Roman" w:hAnsi="Times New Roman" w:cs="Times New Roman"/>
        </w:rPr>
        <w:t>s</w:t>
      </w:r>
      <w:r w:rsidR="000737B1">
        <w:rPr>
          <w:rFonts w:ascii="Times New Roman" w:hAnsi="Times New Roman" w:cs="Times New Roman"/>
        </w:rPr>
        <w:t xml:space="preserve"> subject to State NSR</w:t>
      </w:r>
      <w:r w:rsidR="00AA6745" w:rsidRPr="00CA268A">
        <w:rPr>
          <w:rFonts w:ascii="Times New Roman" w:hAnsi="Times New Roman" w:cs="Times New Roman"/>
        </w:rPr>
        <w:t xml:space="preserve"> may either satisfy the requirement </w:t>
      </w:r>
      <w:r w:rsidR="00E8055D" w:rsidRPr="00CA268A">
        <w:rPr>
          <w:rFonts w:ascii="Times New Roman" w:hAnsi="Times New Roman" w:cs="Times New Roman"/>
        </w:rPr>
        <w:t>a</w:t>
      </w:r>
      <w:r w:rsidR="00AA6745" w:rsidRPr="00CA268A">
        <w:rPr>
          <w:rFonts w:ascii="Times New Roman" w:hAnsi="Times New Roman" w:cs="Times New Roman"/>
        </w:rPr>
        <w:t>s specified above</w:t>
      </w:r>
      <w:r w:rsidR="00F13CAC" w:rsidRPr="00CA268A">
        <w:rPr>
          <w:rFonts w:ascii="Times New Roman" w:hAnsi="Times New Roman" w:cs="Times New Roman"/>
        </w:rPr>
        <w:t xml:space="preserve"> for </w:t>
      </w:r>
      <w:r w:rsidR="000737B1">
        <w:rPr>
          <w:rFonts w:ascii="Times New Roman" w:hAnsi="Times New Roman" w:cs="Times New Roman"/>
        </w:rPr>
        <w:t>M</w:t>
      </w:r>
      <w:r w:rsidR="00F13CAC" w:rsidRPr="00CA268A">
        <w:rPr>
          <w:rFonts w:ascii="Times New Roman" w:hAnsi="Times New Roman" w:cs="Times New Roman"/>
        </w:rPr>
        <w:t xml:space="preserve">ajor </w:t>
      </w:r>
      <w:r w:rsidR="000737B1">
        <w:rPr>
          <w:rFonts w:ascii="Times New Roman" w:hAnsi="Times New Roman" w:cs="Times New Roman"/>
        </w:rPr>
        <w:t>NSR</w:t>
      </w:r>
      <w:r w:rsidR="00AA6745" w:rsidRPr="00CA268A">
        <w:rPr>
          <w:rFonts w:ascii="Times New Roman" w:hAnsi="Times New Roman" w:cs="Times New Roman"/>
        </w:rPr>
        <w:t xml:space="preserve"> or obtain offsets and demonstrate net air quality benefit as required for sources locating in nonattainment areas.</w:t>
      </w:r>
    </w:p>
    <w:p w:rsidR="00406E89" w:rsidRPr="00CA268A" w:rsidRDefault="00406E89" w:rsidP="00406E89">
      <w:pPr>
        <w:spacing w:after="0" w:line="240" w:lineRule="auto"/>
        <w:ind w:left="720"/>
        <w:rPr>
          <w:rFonts w:ascii="Times New Roman" w:hAnsi="Times New Roman" w:cs="Times New Roman"/>
        </w:rPr>
      </w:pPr>
    </w:p>
    <w:p w:rsidR="00C35D4E" w:rsidRPr="00CA268A" w:rsidRDefault="00470657" w:rsidP="00C35D4E">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with background </w:t>
      </w:r>
      <w:r w:rsidR="00280062" w:rsidRPr="00CA268A">
        <w:rPr>
          <w:rFonts w:ascii="Times New Roman" w:hAnsi="Times New Roman" w:cs="Times New Roman"/>
          <w:u w:val="single"/>
        </w:rPr>
        <w:t xml:space="preserve">more </w:t>
      </w:r>
      <w:r w:rsidRPr="00CA268A">
        <w:rPr>
          <w:rFonts w:ascii="Times New Roman" w:hAnsi="Times New Roman" w:cs="Times New Roman"/>
          <w:u w:val="single"/>
        </w:rPr>
        <w:t>than the SIL below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35D4E" w:rsidRPr="00CA268A">
        <w:rPr>
          <w:rFonts w:ascii="Times New Roman" w:hAnsi="Times New Roman" w:cs="Times New Roman"/>
        </w:rPr>
        <w:t xml:space="preserve"> if the source’s impacts are greater than the SIL.</w:t>
      </w:r>
      <w:r w:rsidR="00E8055D" w:rsidRPr="00CA268A">
        <w:rPr>
          <w:rFonts w:ascii="Times New Roman" w:hAnsi="Times New Roman" w:cs="Times New Roman"/>
        </w:rPr>
        <w:t xml:space="preserve"> </w:t>
      </w:r>
      <w:r w:rsidR="00AA6745" w:rsidRPr="00CA268A">
        <w:rPr>
          <w:rFonts w:ascii="Times New Roman" w:hAnsi="Times New Roman" w:cs="Times New Roman"/>
        </w:rPr>
        <w:t>T</w:t>
      </w:r>
      <w:r w:rsidR="00406E89" w:rsidRPr="00CA268A">
        <w:rPr>
          <w:rFonts w:ascii="Times New Roman" w:hAnsi="Times New Roman" w:cs="Times New Roman"/>
        </w:rPr>
        <w:t xml:space="preserve">he PSD analysis </w:t>
      </w:r>
      <w:r w:rsidR="00AA6745" w:rsidRPr="00CA268A">
        <w:rPr>
          <w:rFonts w:ascii="Times New Roman" w:hAnsi="Times New Roman" w:cs="Times New Roman"/>
        </w:rPr>
        <w:t xml:space="preserve">is required </w:t>
      </w:r>
      <w:r w:rsidR="00406E89" w:rsidRPr="00CA268A">
        <w:rPr>
          <w:rFonts w:ascii="Times New Roman" w:hAnsi="Times New Roman" w:cs="Times New Roman"/>
        </w:rPr>
        <w:t>to show that a source will not cause or contribute to a violation of the standard</w:t>
      </w:r>
      <w:r w:rsidR="00C35D4E" w:rsidRPr="00CA268A">
        <w:rPr>
          <w:rFonts w:ascii="Times New Roman" w:hAnsi="Times New Roman" w:cs="Times New Roman"/>
        </w:rPr>
        <w:t>; or</w:t>
      </w:r>
      <w:r w:rsidR="000737B1">
        <w:rPr>
          <w:rFonts w:ascii="Times New Roman" w:hAnsi="Times New Roman" w:cs="Times New Roman"/>
        </w:rPr>
        <w:t>,</w:t>
      </w:r>
      <w:r w:rsidR="000C3D4E" w:rsidRPr="00CA268A">
        <w:rPr>
          <w:rFonts w:ascii="Times New Roman" w:hAnsi="Times New Roman" w:cs="Times New Roman"/>
        </w:rPr>
        <w:t xml:space="preserve"> f</w:t>
      </w:r>
      <w:r w:rsidR="00C35D4E" w:rsidRPr="00CA268A">
        <w:rPr>
          <w:rFonts w:ascii="Times New Roman" w:hAnsi="Times New Roman" w:cs="Times New Roman"/>
        </w:rPr>
        <w:t xml:space="preserve">or sustainment areas </w:t>
      </w:r>
      <w:r w:rsidR="009F2CD4" w:rsidRPr="00CA268A">
        <w:rPr>
          <w:rFonts w:ascii="Times New Roman" w:hAnsi="Times New Roman" w:cs="Times New Roman"/>
        </w:rPr>
        <w:t xml:space="preserve">a source must </w:t>
      </w:r>
      <w:r w:rsidR="00C35D4E" w:rsidRPr="00CA268A">
        <w:rPr>
          <w:rFonts w:ascii="Times New Roman" w:hAnsi="Times New Roman" w:cs="Times New Roman"/>
        </w:rPr>
        <w:t>obtain offsets and:</w:t>
      </w:r>
    </w:p>
    <w:p w:rsidR="00B2731F" w:rsidRPr="00CA268A" w:rsidRDefault="00B2731F" w:rsidP="00C35D4E">
      <w:pPr>
        <w:spacing w:after="0" w:line="240" w:lineRule="auto"/>
        <w:ind w:left="720"/>
        <w:rPr>
          <w:rFonts w:ascii="Times New Roman" w:hAnsi="Times New Roman" w:cs="Times New Roman"/>
        </w:rPr>
      </w:pPr>
    </w:p>
    <w:p w:rsidR="00B8525B"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Use</w:t>
      </w:r>
      <w:r w:rsidR="000737B1">
        <w:rPr>
          <w:rFonts w:ascii="Times New Roman" w:hAnsi="Times New Roman" w:cs="Times New Roman"/>
        </w:rPr>
        <w:t xml:space="preserve"> the</w:t>
      </w:r>
      <w:r w:rsidRPr="00CA268A">
        <w:rPr>
          <w:rFonts w:ascii="Times New Roman" w:hAnsi="Times New Roman" w:cs="Times New Roman"/>
        </w:rPr>
        <w:t xml:space="preserve"> SIL to show that the source will not make the air quality </w:t>
      </w:r>
      <w:r w:rsidR="004B534F" w:rsidRPr="00CA268A">
        <w:rPr>
          <w:rFonts w:ascii="Times New Roman" w:hAnsi="Times New Roman" w:cs="Times New Roman"/>
        </w:rPr>
        <w:t xml:space="preserve">significantly </w:t>
      </w:r>
      <w:r w:rsidRPr="00CA268A">
        <w:rPr>
          <w:rFonts w:ascii="Times New Roman" w:hAnsi="Times New Roman" w:cs="Times New Roman"/>
        </w:rPr>
        <w:t xml:space="preserve">worse in the neighborhood area around the monitoring site(s). </w:t>
      </w:r>
    </w:p>
    <w:p w:rsidR="002E4423"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 xml:space="preserve">Use 10% of </w:t>
      </w:r>
      <w:r w:rsidR="004F6043">
        <w:rPr>
          <w:rFonts w:ascii="Times New Roman" w:hAnsi="Times New Roman" w:cs="Times New Roman"/>
        </w:rPr>
        <w:t>AAQS</w:t>
      </w:r>
      <w:r w:rsidR="00C038E4"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bookmarkStart w:id="0" w:name="_GoBack"/>
      <w:bookmarkEnd w:id="0"/>
    </w:p>
    <w:sectPr w:rsidR="002E4423" w:rsidRPr="00CA268A" w:rsidSect="000870F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DEC" w:rsidRDefault="00C20DEC" w:rsidP="008B1F9D">
      <w:pPr>
        <w:spacing w:after="0" w:line="240" w:lineRule="auto"/>
      </w:pPr>
      <w:r>
        <w:separator/>
      </w:r>
    </w:p>
  </w:endnote>
  <w:endnote w:type="continuationSeparator" w:id="0">
    <w:p w:rsidR="00C20DEC" w:rsidRDefault="00C20DEC"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EC" w:rsidRPr="00CA268A" w:rsidRDefault="00C20DEC" w:rsidP="00EE5A41">
    <w:pPr>
      <w:pStyle w:val="Footer"/>
      <w:rPr>
        <w:rFonts w:ascii="Arial" w:hAnsi="Arial" w:cs="Arial"/>
        <w:sz w:val="20"/>
        <w:szCs w:val="20"/>
      </w:rPr>
    </w:pPr>
    <w:r>
      <w:rPr>
        <w:rFonts w:ascii="Arial" w:hAnsi="Arial" w:cs="Arial"/>
        <w:sz w:val="20"/>
        <w:szCs w:val="20"/>
      </w:rPr>
      <w:t>12/15</w:t>
    </w:r>
    <w:r w:rsidRPr="00CA268A">
      <w:rPr>
        <w:rFonts w:ascii="Arial" w:hAnsi="Arial" w:cs="Arial"/>
        <w:sz w:val="20"/>
        <w:szCs w:val="20"/>
      </w:rPr>
      <w:t>/14</w:t>
    </w:r>
    <w:r>
      <w:rPr>
        <w:rFonts w:ascii="Arial" w:hAnsi="Arial" w:cs="Arial"/>
        <w:sz w:val="20"/>
        <w:szCs w:val="20"/>
      </w:rPr>
      <w:tab/>
      <w:t>New Source Review Program Supplemental Discussion</w:t>
    </w:r>
    <w:r w:rsidRPr="00CA268A">
      <w:rPr>
        <w:rFonts w:ascii="Arial" w:hAnsi="Arial" w:cs="Arial"/>
        <w:sz w:val="20"/>
        <w:szCs w:val="20"/>
      </w:rPr>
      <w:tab/>
      <w:t xml:space="preserve">Page | </w:t>
    </w:r>
    <w:r w:rsidR="00193D76" w:rsidRPr="00CA268A">
      <w:rPr>
        <w:rFonts w:ascii="Arial" w:hAnsi="Arial" w:cs="Arial"/>
        <w:sz w:val="20"/>
        <w:szCs w:val="20"/>
      </w:rPr>
      <w:fldChar w:fldCharType="begin"/>
    </w:r>
    <w:r w:rsidRPr="00CA268A">
      <w:rPr>
        <w:rFonts w:ascii="Arial" w:hAnsi="Arial" w:cs="Arial"/>
        <w:sz w:val="20"/>
        <w:szCs w:val="20"/>
      </w:rPr>
      <w:instrText xml:space="preserve"> PAGE   \* MERGEFORMAT </w:instrText>
    </w:r>
    <w:r w:rsidR="00193D76" w:rsidRPr="00CA268A">
      <w:rPr>
        <w:rFonts w:ascii="Arial" w:hAnsi="Arial" w:cs="Arial"/>
        <w:sz w:val="20"/>
        <w:szCs w:val="20"/>
      </w:rPr>
      <w:fldChar w:fldCharType="separate"/>
    </w:r>
    <w:r w:rsidR="00E36C3B">
      <w:rPr>
        <w:rFonts w:ascii="Arial" w:hAnsi="Arial" w:cs="Arial"/>
        <w:noProof/>
        <w:sz w:val="20"/>
        <w:szCs w:val="20"/>
      </w:rPr>
      <w:t>11</w:t>
    </w:r>
    <w:r w:rsidR="00193D76" w:rsidRPr="00CA268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DEC" w:rsidRDefault="00C20DEC" w:rsidP="008B1F9D">
      <w:pPr>
        <w:spacing w:after="0" w:line="240" w:lineRule="auto"/>
      </w:pPr>
      <w:r>
        <w:separator/>
      </w:r>
    </w:p>
  </w:footnote>
  <w:footnote w:type="continuationSeparator" w:id="0">
    <w:p w:rsidR="00C20DEC" w:rsidRDefault="00C20DEC" w:rsidP="008B1F9D">
      <w:pPr>
        <w:spacing w:after="0" w:line="240" w:lineRule="auto"/>
      </w:pPr>
      <w:r>
        <w:continuationSeparator/>
      </w:r>
    </w:p>
  </w:footnote>
  <w:footnote w:id="1">
    <w:p w:rsidR="00C20DEC" w:rsidRPr="00A23C9F" w:rsidRDefault="00C20DEC" w:rsidP="00104607">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As used in this discussion document, “NSR” is an umbrella term for the prevention of signi</w:t>
      </w:r>
      <w:r>
        <w:rPr>
          <w:rFonts w:ascii="Arial" w:hAnsi="Arial" w:cs="Arial"/>
          <w:sz w:val="16"/>
          <w:szCs w:val="16"/>
        </w:rPr>
        <w:t>ficant deterioration (PSD), and nonattainment</w:t>
      </w:r>
      <w:r w:rsidRPr="00A23C9F">
        <w:rPr>
          <w:rFonts w:ascii="Arial" w:hAnsi="Arial" w:cs="Arial"/>
          <w:sz w:val="16"/>
          <w:szCs w:val="16"/>
        </w:rPr>
        <w:t xml:space="preserve"> and maintenance area </w:t>
      </w:r>
      <w:r>
        <w:rPr>
          <w:rFonts w:ascii="Arial" w:hAnsi="Arial" w:cs="Arial"/>
          <w:sz w:val="16"/>
          <w:szCs w:val="16"/>
        </w:rPr>
        <w:t xml:space="preserve">NSR </w:t>
      </w:r>
      <w:r w:rsidRPr="00A23C9F">
        <w:rPr>
          <w:rFonts w:ascii="Arial" w:hAnsi="Arial" w:cs="Arial"/>
          <w:sz w:val="16"/>
          <w:szCs w:val="16"/>
        </w:rPr>
        <w:t xml:space="preserve">programs. PSD applies to sources locating in areas that are in attainment with the </w:t>
      </w:r>
      <w:r>
        <w:rPr>
          <w:rFonts w:ascii="Arial" w:hAnsi="Arial" w:cs="Arial"/>
          <w:sz w:val="16"/>
          <w:szCs w:val="16"/>
        </w:rPr>
        <w:t>Ambient Air Quality Standards</w:t>
      </w:r>
      <w:r w:rsidRPr="00A23C9F">
        <w:rPr>
          <w:rFonts w:ascii="Arial" w:hAnsi="Arial" w:cs="Arial"/>
          <w:sz w:val="16"/>
          <w:szCs w:val="16"/>
        </w:rPr>
        <w:t xml:space="preserve"> or otherwise not classified. Nonattainment NSR applies to sources locating in areas that are designated as nonattainment for the nonattainment pollutant only. Maintenance NSR applies to sources locating in maintenance areas for the maintenance pollutant only. Designations and redesignations are actions that must be reviewed and approved by Oregon’s Environmental Quality Commission and EPA.</w:t>
      </w:r>
    </w:p>
  </w:footnote>
  <w:footnote w:id="2">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Intended </w:t>
      </w:r>
      <w:r>
        <w:rPr>
          <w:rFonts w:ascii="Arial" w:hAnsi="Arial" w:cs="Arial"/>
          <w:sz w:val="16"/>
          <w:szCs w:val="16"/>
        </w:rPr>
        <w:t>in part to complement</w:t>
      </w:r>
      <w:r w:rsidRPr="00A23C9F">
        <w:rPr>
          <w:rFonts w:ascii="Arial" w:hAnsi="Arial" w:cs="Arial"/>
          <w:sz w:val="16"/>
          <w:szCs w:val="16"/>
        </w:rPr>
        <w:t xml:space="preserve"> EPA’s PM Advance Program</w:t>
      </w:r>
      <w:r>
        <w:rPr>
          <w:rFonts w:ascii="Arial" w:hAnsi="Arial" w:cs="Arial"/>
          <w:sz w:val="16"/>
          <w:szCs w:val="16"/>
        </w:rPr>
        <w:t>.</w:t>
      </w:r>
    </w:p>
  </w:footnote>
  <w:footnote w:id="3">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Current rules include a hybrid approach for Maintenance Areas.</w:t>
      </w:r>
    </w:p>
  </w:footnote>
  <w:footnote w:id="4">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w:t>
      </w:r>
      <w:r>
        <w:rPr>
          <w:rFonts w:ascii="Arial" w:hAnsi="Arial" w:cs="Arial"/>
          <w:sz w:val="16"/>
          <w:szCs w:val="16"/>
        </w:rPr>
        <w:t>,</w:t>
      </w:r>
      <w:r w:rsidRPr="00A23C9F">
        <w:rPr>
          <w:rFonts w:ascii="Arial" w:hAnsi="Arial" w:cs="Arial"/>
          <w:sz w:val="16"/>
          <w:szCs w:val="16"/>
        </w:rPr>
        <w:t xml:space="preserve"> and for sulfur dioxide (SO</w:t>
      </w:r>
      <w:r w:rsidRPr="00A23C9F">
        <w:rPr>
          <w:rFonts w:ascii="Arial" w:hAnsi="Arial" w:cs="Arial"/>
          <w:sz w:val="16"/>
          <w:szCs w:val="16"/>
          <w:vertAlign w:val="subscript"/>
        </w:rPr>
        <w:t>2</w:t>
      </w:r>
      <w:r w:rsidRPr="00A23C9F">
        <w:rPr>
          <w:rFonts w:ascii="Arial" w:hAnsi="Arial" w:cs="Arial"/>
          <w:sz w:val="16"/>
          <w:szCs w:val="16"/>
        </w:rPr>
        <w:t>) the significant emission rate is 40 tons per year.</w:t>
      </w:r>
    </w:p>
  </w:footnote>
  <w:footnote w:id="6">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PM and SO</w:t>
      </w:r>
      <w:r w:rsidRPr="00A23C9F">
        <w:rPr>
          <w:rFonts w:ascii="Arial" w:hAnsi="Arial" w:cs="Arial"/>
          <w:sz w:val="16"/>
          <w:szCs w:val="16"/>
          <w:vertAlign w:val="subscript"/>
        </w:rPr>
        <w:t>2</w:t>
      </w:r>
      <w:r w:rsidRPr="00A23C9F">
        <w:rPr>
          <w:rFonts w:ascii="Arial" w:hAnsi="Arial" w:cs="Arial"/>
          <w:sz w:val="16"/>
          <w:szCs w:val="16"/>
        </w:rPr>
        <w:t xml:space="preserve"> are used in these examples because they were the only two pollutants regulated under the NSR program when it was first approved in the early 1980’s.</w:t>
      </w:r>
    </w:p>
  </w:footnote>
  <w:footnote w:id="7">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EPA and DEQ rules include lower thresholds, depending on the severity of the nonattainment area classification.</w:t>
      </w:r>
    </w:p>
  </w:footnote>
  <w:footnote w:id="8">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establishes higher ratios for ozone precursors, depending on the severity of the ozone non-attainment area. DEQ does not propose any changes to the ozone precursor ratios that are in the current rules.</w:t>
      </w:r>
    </w:p>
  </w:footnote>
  <w:footnote w:id="9">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DEQ’s current rules require 1:1 offsets.</w:t>
      </w:r>
    </w:p>
  </w:footnote>
  <w:footnote w:id="10">
    <w:p w:rsidR="00C20DEC" w:rsidRPr="00A23C9F" w:rsidRDefault="00C20DEC">
      <w:pPr>
        <w:pStyle w:val="FootnoteText"/>
        <w:rPr>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rules do not require offsets for minor sources.</w:t>
      </w:r>
    </w:p>
  </w:footnote>
  <w:footnote w:id="11">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 xml:space="preserve">This is analogous to the PSD increment, but using 10% of the </w:t>
      </w:r>
      <w:r>
        <w:rPr>
          <w:rFonts w:ascii="Arial" w:hAnsi="Arial" w:cs="Arial"/>
          <w:sz w:val="16"/>
          <w:szCs w:val="16"/>
        </w:rPr>
        <w:t>AAQS</w:t>
      </w:r>
      <w:r w:rsidRPr="00A23C9F">
        <w:rPr>
          <w:rFonts w:ascii="Arial" w:hAnsi="Arial" w:cs="Arial"/>
          <w:sz w:val="16"/>
          <w:szCs w:val="16"/>
        </w:rPr>
        <w:t xml:space="preserve">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3730D"/>
    <w:rsid w:val="000542B2"/>
    <w:rsid w:val="0006239C"/>
    <w:rsid w:val="000654F7"/>
    <w:rsid w:val="00066351"/>
    <w:rsid w:val="000737B1"/>
    <w:rsid w:val="000751AD"/>
    <w:rsid w:val="000802D8"/>
    <w:rsid w:val="00081C50"/>
    <w:rsid w:val="00086844"/>
    <w:rsid w:val="000870F6"/>
    <w:rsid w:val="0009584C"/>
    <w:rsid w:val="00096A08"/>
    <w:rsid w:val="000C3D4E"/>
    <w:rsid w:val="000D006C"/>
    <w:rsid w:val="000D2BDE"/>
    <w:rsid w:val="000E26F7"/>
    <w:rsid w:val="000E2E46"/>
    <w:rsid w:val="00101F57"/>
    <w:rsid w:val="00104607"/>
    <w:rsid w:val="00110F3C"/>
    <w:rsid w:val="00120BB6"/>
    <w:rsid w:val="00127E71"/>
    <w:rsid w:val="00152AA1"/>
    <w:rsid w:val="001553F6"/>
    <w:rsid w:val="00164836"/>
    <w:rsid w:val="00165889"/>
    <w:rsid w:val="00176C16"/>
    <w:rsid w:val="00191EEC"/>
    <w:rsid w:val="00193D76"/>
    <w:rsid w:val="001A0E1F"/>
    <w:rsid w:val="001A4739"/>
    <w:rsid w:val="001B2E6A"/>
    <w:rsid w:val="001B51E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3524F"/>
    <w:rsid w:val="002409BA"/>
    <w:rsid w:val="0025352F"/>
    <w:rsid w:val="0025530C"/>
    <w:rsid w:val="00255A81"/>
    <w:rsid w:val="00260C3F"/>
    <w:rsid w:val="002615A2"/>
    <w:rsid w:val="002678DB"/>
    <w:rsid w:val="00280062"/>
    <w:rsid w:val="00297B68"/>
    <w:rsid w:val="002B34A6"/>
    <w:rsid w:val="002C0E3A"/>
    <w:rsid w:val="002C7316"/>
    <w:rsid w:val="002D24E0"/>
    <w:rsid w:val="002D5724"/>
    <w:rsid w:val="002E315B"/>
    <w:rsid w:val="002E4423"/>
    <w:rsid w:val="002E7658"/>
    <w:rsid w:val="002F26AC"/>
    <w:rsid w:val="00302B0F"/>
    <w:rsid w:val="003255EE"/>
    <w:rsid w:val="0033582A"/>
    <w:rsid w:val="00337D3C"/>
    <w:rsid w:val="003478CD"/>
    <w:rsid w:val="00354767"/>
    <w:rsid w:val="003A08F1"/>
    <w:rsid w:val="003A453E"/>
    <w:rsid w:val="003B1C47"/>
    <w:rsid w:val="003C0904"/>
    <w:rsid w:val="003C17B0"/>
    <w:rsid w:val="003E4CE2"/>
    <w:rsid w:val="004002C6"/>
    <w:rsid w:val="00406E89"/>
    <w:rsid w:val="00407408"/>
    <w:rsid w:val="00424401"/>
    <w:rsid w:val="004351B5"/>
    <w:rsid w:val="0044298E"/>
    <w:rsid w:val="0045567E"/>
    <w:rsid w:val="00460D61"/>
    <w:rsid w:val="00462FE2"/>
    <w:rsid w:val="00470657"/>
    <w:rsid w:val="0047555F"/>
    <w:rsid w:val="0048523B"/>
    <w:rsid w:val="004A32B1"/>
    <w:rsid w:val="004B534F"/>
    <w:rsid w:val="004C3372"/>
    <w:rsid w:val="004C60CB"/>
    <w:rsid w:val="004E7023"/>
    <w:rsid w:val="004F1954"/>
    <w:rsid w:val="004F6043"/>
    <w:rsid w:val="00513E56"/>
    <w:rsid w:val="005246F4"/>
    <w:rsid w:val="0052770B"/>
    <w:rsid w:val="0053365B"/>
    <w:rsid w:val="00534C19"/>
    <w:rsid w:val="005448FF"/>
    <w:rsid w:val="00545907"/>
    <w:rsid w:val="005610F8"/>
    <w:rsid w:val="00566814"/>
    <w:rsid w:val="005668CA"/>
    <w:rsid w:val="00567513"/>
    <w:rsid w:val="00570896"/>
    <w:rsid w:val="00571832"/>
    <w:rsid w:val="00575F92"/>
    <w:rsid w:val="005972AF"/>
    <w:rsid w:val="005A4640"/>
    <w:rsid w:val="005B3021"/>
    <w:rsid w:val="005C0132"/>
    <w:rsid w:val="005C2D03"/>
    <w:rsid w:val="005D3877"/>
    <w:rsid w:val="005E13AE"/>
    <w:rsid w:val="005E3CF6"/>
    <w:rsid w:val="005F7D31"/>
    <w:rsid w:val="00601001"/>
    <w:rsid w:val="00620949"/>
    <w:rsid w:val="00623067"/>
    <w:rsid w:val="006352B5"/>
    <w:rsid w:val="00642AEA"/>
    <w:rsid w:val="006439ED"/>
    <w:rsid w:val="00651196"/>
    <w:rsid w:val="00661219"/>
    <w:rsid w:val="00664F5A"/>
    <w:rsid w:val="00676064"/>
    <w:rsid w:val="00676CA3"/>
    <w:rsid w:val="00677A8C"/>
    <w:rsid w:val="00697864"/>
    <w:rsid w:val="006B0143"/>
    <w:rsid w:val="006F0BC5"/>
    <w:rsid w:val="006F2246"/>
    <w:rsid w:val="006F5CFB"/>
    <w:rsid w:val="00714221"/>
    <w:rsid w:val="00723F53"/>
    <w:rsid w:val="00727F87"/>
    <w:rsid w:val="00730E71"/>
    <w:rsid w:val="00751E4C"/>
    <w:rsid w:val="00753693"/>
    <w:rsid w:val="007673D5"/>
    <w:rsid w:val="0077751D"/>
    <w:rsid w:val="007901ED"/>
    <w:rsid w:val="00791E8B"/>
    <w:rsid w:val="007B0862"/>
    <w:rsid w:val="007B161B"/>
    <w:rsid w:val="007C6CF2"/>
    <w:rsid w:val="007D2458"/>
    <w:rsid w:val="007D54C8"/>
    <w:rsid w:val="007D6894"/>
    <w:rsid w:val="007E3A69"/>
    <w:rsid w:val="007F1B2C"/>
    <w:rsid w:val="00804A9C"/>
    <w:rsid w:val="00807D89"/>
    <w:rsid w:val="00820BD8"/>
    <w:rsid w:val="008329BA"/>
    <w:rsid w:val="00833EF7"/>
    <w:rsid w:val="008472B4"/>
    <w:rsid w:val="0085078C"/>
    <w:rsid w:val="008579C7"/>
    <w:rsid w:val="00880B35"/>
    <w:rsid w:val="0089527B"/>
    <w:rsid w:val="008B1F9D"/>
    <w:rsid w:val="008D0B65"/>
    <w:rsid w:val="008D2FDF"/>
    <w:rsid w:val="008E6027"/>
    <w:rsid w:val="008E7E06"/>
    <w:rsid w:val="008F04A7"/>
    <w:rsid w:val="008F1C6E"/>
    <w:rsid w:val="00906BE4"/>
    <w:rsid w:val="00911A2C"/>
    <w:rsid w:val="00921DB2"/>
    <w:rsid w:val="009361F4"/>
    <w:rsid w:val="00947B98"/>
    <w:rsid w:val="00956648"/>
    <w:rsid w:val="00962E20"/>
    <w:rsid w:val="00965F22"/>
    <w:rsid w:val="009668BC"/>
    <w:rsid w:val="009739AD"/>
    <w:rsid w:val="00980A48"/>
    <w:rsid w:val="009A50ED"/>
    <w:rsid w:val="009B1A8A"/>
    <w:rsid w:val="009C0BFB"/>
    <w:rsid w:val="009C1FB8"/>
    <w:rsid w:val="009D6976"/>
    <w:rsid w:val="009E1646"/>
    <w:rsid w:val="009E4374"/>
    <w:rsid w:val="009F2CD4"/>
    <w:rsid w:val="009F77EE"/>
    <w:rsid w:val="009F7C3E"/>
    <w:rsid w:val="00A02663"/>
    <w:rsid w:val="00A042C6"/>
    <w:rsid w:val="00A14378"/>
    <w:rsid w:val="00A23C9F"/>
    <w:rsid w:val="00A264B3"/>
    <w:rsid w:val="00A32550"/>
    <w:rsid w:val="00A34278"/>
    <w:rsid w:val="00A3600E"/>
    <w:rsid w:val="00A37A5E"/>
    <w:rsid w:val="00A40886"/>
    <w:rsid w:val="00A44C6A"/>
    <w:rsid w:val="00A4597D"/>
    <w:rsid w:val="00A5035B"/>
    <w:rsid w:val="00A51D44"/>
    <w:rsid w:val="00A70E6A"/>
    <w:rsid w:val="00A819B5"/>
    <w:rsid w:val="00AA089D"/>
    <w:rsid w:val="00AA6745"/>
    <w:rsid w:val="00AB0186"/>
    <w:rsid w:val="00AB100A"/>
    <w:rsid w:val="00B046E9"/>
    <w:rsid w:val="00B138AA"/>
    <w:rsid w:val="00B25D72"/>
    <w:rsid w:val="00B2731F"/>
    <w:rsid w:val="00B36C1B"/>
    <w:rsid w:val="00B45E6F"/>
    <w:rsid w:val="00B60A67"/>
    <w:rsid w:val="00B75C5D"/>
    <w:rsid w:val="00B8525B"/>
    <w:rsid w:val="00B85294"/>
    <w:rsid w:val="00B926E3"/>
    <w:rsid w:val="00BA68E8"/>
    <w:rsid w:val="00BA72D7"/>
    <w:rsid w:val="00BC5FE9"/>
    <w:rsid w:val="00BE54C7"/>
    <w:rsid w:val="00BE6E16"/>
    <w:rsid w:val="00BF0C74"/>
    <w:rsid w:val="00C038E4"/>
    <w:rsid w:val="00C20DEC"/>
    <w:rsid w:val="00C262E2"/>
    <w:rsid w:val="00C32EC4"/>
    <w:rsid w:val="00C35D4E"/>
    <w:rsid w:val="00C36CEC"/>
    <w:rsid w:val="00C50F4F"/>
    <w:rsid w:val="00C51EE7"/>
    <w:rsid w:val="00C66D98"/>
    <w:rsid w:val="00C8254A"/>
    <w:rsid w:val="00C86355"/>
    <w:rsid w:val="00CA268A"/>
    <w:rsid w:val="00CB1613"/>
    <w:rsid w:val="00CC2696"/>
    <w:rsid w:val="00CC3501"/>
    <w:rsid w:val="00CD0B8E"/>
    <w:rsid w:val="00CD5AEF"/>
    <w:rsid w:val="00CE15D9"/>
    <w:rsid w:val="00D02B6B"/>
    <w:rsid w:val="00D11B60"/>
    <w:rsid w:val="00D20406"/>
    <w:rsid w:val="00D23564"/>
    <w:rsid w:val="00D32A35"/>
    <w:rsid w:val="00D379DF"/>
    <w:rsid w:val="00D465FE"/>
    <w:rsid w:val="00D758AC"/>
    <w:rsid w:val="00D85805"/>
    <w:rsid w:val="00D960FF"/>
    <w:rsid w:val="00D9776C"/>
    <w:rsid w:val="00DA0DA4"/>
    <w:rsid w:val="00DB38CA"/>
    <w:rsid w:val="00DB6624"/>
    <w:rsid w:val="00DC354A"/>
    <w:rsid w:val="00DF204D"/>
    <w:rsid w:val="00DF3750"/>
    <w:rsid w:val="00E043C8"/>
    <w:rsid w:val="00E04A0B"/>
    <w:rsid w:val="00E1565E"/>
    <w:rsid w:val="00E3210D"/>
    <w:rsid w:val="00E3568E"/>
    <w:rsid w:val="00E36C3B"/>
    <w:rsid w:val="00E5069D"/>
    <w:rsid w:val="00E64917"/>
    <w:rsid w:val="00E65E04"/>
    <w:rsid w:val="00E66293"/>
    <w:rsid w:val="00E715EB"/>
    <w:rsid w:val="00E747C5"/>
    <w:rsid w:val="00E8055D"/>
    <w:rsid w:val="00E9047C"/>
    <w:rsid w:val="00E94995"/>
    <w:rsid w:val="00EA161C"/>
    <w:rsid w:val="00EA19BD"/>
    <w:rsid w:val="00EA3C84"/>
    <w:rsid w:val="00EA62ED"/>
    <w:rsid w:val="00EC2C38"/>
    <w:rsid w:val="00ED553E"/>
    <w:rsid w:val="00EE194D"/>
    <w:rsid w:val="00EE5A41"/>
    <w:rsid w:val="00EE7313"/>
    <w:rsid w:val="00F01967"/>
    <w:rsid w:val="00F02C90"/>
    <w:rsid w:val="00F04214"/>
    <w:rsid w:val="00F119AF"/>
    <w:rsid w:val="00F13CAC"/>
    <w:rsid w:val="00F201FA"/>
    <w:rsid w:val="00F400D6"/>
    <w:rsid w:val="00F40BCB"/>
    <w:rsid w:val="00F54C3C"/>
    <w:rsid w:val="00F5772B"/>
    <w:rsid w:val="00F701FE"/>
    <w:rsid w:val="00F85DCD"/>
    <w:rsid w:val="00F87656"/>
    <w:rsid w:val="00F971E1"/>
    <w:rsid w:val="00FB0CD3"/>
    <w:rsid w:val="00FB263A"/>
    <w:rsid w:val="00FB6DE9"/>
    <w:rsid w:val="00FB75EE"/>
    <w:rsid w:val="00FD22B4"/>
    <w:rsid w:val="00FE36D2"/>
    <w:rsid w:val="00FF0B87"/>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paragraph" w:styleId="Heading1">
    <w:name w:val="heading 1"/>
    <w:aliases w:val="H1 Permit Overview"/>
    <w:basedOn w:val="Normal"/>
    <w:next w:val="Normal"/>
    <w:link w:val="Heading1Char"/>
    <w:qFormat/>
    <w:rsid w:val="00CA268A"/>
    <w:pPr>
      <w:keepNext/>
      <w:keepLines/>
      <w:spacing w:before="480" w:after="0" w:line="240" w:lineRule="auto"/>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 w:type="character" w:customStyle="1" w:styleId="Heading1Char">
    <w:name w:val="Heading 1 Char"/>
    <w:aliases w:val="H1 Permit Overview Char"/>
    <w:basedOn w:val="DefaultParagraphFont"/>
    <w:link w:val="Heading1"/>
    <w:rsid w:val="00CA268A"/>
    <w:rPr>
      <w:rFonts w:ascii="Times New Roman" w:eastAsiaTheme="majorEastAsia" w:hAnsi="Times New Roman" w:cstheme="majorBidi"/>
      <w:b/>
      <w:bCs/>
      <w:sz w:val="28"/>
      <w:szCs w:val="28"/>
    </w:rPr>
  </w:style>
  <w:style w:type="paragraph" w:styleId="Revision">
    <w:name w:val="Revision"/>
    <w:hidden/>
    <w:uiPriority w:val="99"/>
    <w:semiHidden/>
    <w:rsid w:val="00727F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4BEBF-B5B8-422B-A92B-93843B02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61F94-7231-4D90-BD90-0A8D6CA34A7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DD4EEB4-F7CD-4AC7-983C-994175952FBD}">
  <ds:schemaRefs>
    <ds:schemaRef ds:uri="http://schemas.microsoft.com/sharepoint/v3/contenttype/forms"/>
  </ds:schemaRefs>
</ds:datastoreItem>
</file>

<file path=customXml/itemProps4.xml><?xml version="1.0" encoding="utf-8"?>
<ds:datastoreItem xmlns:ds="http://schemas.openxmlformats.org/officeDocument/2006/customXml" ds:itemID="{11EDF275-A25E-4D3A-9ABE-055691BE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5258</Words>
  <Characters>29976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jinahar</cp:lastModifiedBy>
  <cp:revision>2</cp:revision>
  <cp:lastPrinted>2014-06-02T21:10:00Z</cp:lastPrinted>
  <dcterms:created xsi:type="dcterms:W3CDTF">2015-02-03T00:07:00Z</dcterms:created>
  <dcterms:modified xsi:type="dcterms:W3CDTF">2015-02-03T00:07:00Z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