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61A" w:rsidRPr="008C3FCA" w:rsidRDefault="00B308E5" w:rsidP="005A4391">
      <w:pPr>
        <w:spacing w:after="0" w:line="240" w:lineRule="auto"/>
        <w:jc w:val="center"/>
        <w:rPr>
          <w:rFonts w:cs="Times New Roman"/>
          <w:b/>
          <w:sz w:val="28"/>
          <w:szCs w:val="28"/>
        </w:rPr>
      </w:pPr>
      <w:r w:rsidRPr="008C3FCA">
        <w:rPr>
          <w:rFonts w:cs="Times New Roman"/>
          <w:b/>
          <w:sz w:val="28"/>
          <w:szCs w:val="28"/>
        </w:rPr>
        <w:t>SIP Development Plan</w:t>
      </w:r>
    </w:p>
    <w:p w:rsidR="005A4391" w:rsidRPr="00DF39CD" w:rsidRDefault="005A4391" w:rsidP="005A4391">
      <w:pPr>
        <w:spacing w:after="0" w:line="240" w:lineRule="auto"/>
        <w:jc w:val="center"/>
        <w:rPr>
          <w:rFonts w:cs="Times New Roman"/>
        </w:rPr>
      </w:pPr>
    </w:p>
    <w:p w:rsidR="008548C3" w:rsidRPr="00DF39CD" w:rsidRDefault="008548C3" w:rsidP="005A4391">
      <w:pPr>
        <w:spacing w:after="0" w:line="240" w:lineRule="auto"/>
        <w:jc w:val="center"/>
        <w:rPr>
          <w:rFonts w:cs="Times New Roman"/>
        </w:rPr>
      </w:pPr>
      <w:r w:rsidRPr="00DF39CD">
        <w:rPr>
          <w:rFonts w:cs="Times New Roman"/>
        </w:rPr>
        <w:t>Updated</w:t>
      </w:r>
      <w:r w:rsidR="00601A85">
        <w:rPr>
          <w:rFonts w:cs="Times New Roman"/>
        </w:rPr>
        <w:t xml:space="preserve"> </w:t>
      </w:r>
      <w:r w:rsidR="00581DC8">
        <w:rPr>
          <w:rFonts w:cs="Times New Roman"/>
        </w:rPr>
        <w:t>March 13</w:t>
      </w:r>
      <w:r w:rsidR="00601A85">
        <w:rPr>
          <w:rFonts w:cs="Times New Roman"/>
        </w:rPr>
        <w:t>, 2014</w:t>
      </w:r>
    </w:p>
    <w:p w:rsidR="00B308E5" w:rsidRPr="00DF39CD" w:rsidRDefault="00B308E5" w:rsidP="005A4391">
      <w:pPr>
        <w:spacing w:after="0" w:line="240" w:lineRule="auto"/>
        <w:rPr>
          <w:rFonts w:cs="Times New Roman"/>
        </w:rPr>
      </w:pPr>
    </w:p>
    <w:p w:rsidR="001B7167" w:rsidRPr="001B7167" w:rsidRDefault="001B7167" w:rsidP="001B7167">
      <w:pPr>
        <w:spacing w:after="0" w:line="240" w:lineRule="auto"/>
        <w:rPr>
          <w:rFonts w:cs="Times New Roman"/>
        </w:rPr>
      </w:pPr>
    </w:p>
    <w:p w:rsidR="001B7167" w:rsidRPr="001B7167" w:rsidRDefault="001B7167" w:rsidP="001B7167">
      <w:pPr>
        <w:spacing w:after="0" w:line="240" w:lineRule="auto"/>
        <w:rPr>
          <w:rFonts w:cs="Times New Roman"/>
        </w:rPr>
      </w:pPr>
      <w:r w:rsidRPr="001B7167">
        <w:rPr>
          <w:rFonts w:cs="Times New Roman"/>
          <w:b/>
        </w:rPr>
        <w:t>Purpose</w:t>
      </w:r>
      <w:r w:rsidRPr="001B7167">
        <w:rPr>
          <w:rFonts w:cs="Times New Roman"/>
        </w:rPr>
        <w:t>:</w:t>
      </w:r>
      <w:r>
        <w:rPr>
          <w:rFonts w:cs="Times New Roman"/>
        </w:rPr>
        <w:t xml:space="preserve"> </w:t>
      </w:r>
      <w:r w:rsidRPr="001B7167">
        <w:rPr>
          <w:rFonts w:cs="Times New Roman"/>
        </w:rPr>
        <w:t xml:space="preserve">The purpose of this document is to present a basic approach to the </w:t>
      </w:r>
      <w:r w:rsidR="00581DC8">
        <w:rPr>
          <w:rFonts w:cs="Times New Roman"/>
        </w:rPr>
        <w:t>Grants Pass PM10</w:t>
      </w:r>
      <w:r w:rsidR="009C5F9F">
        <w:rPr>
          <w:rFonts w:cs="Times New Roman"/>
        </w:rPr>
        <w:t xml:space="preserve"> </w:t>
      </w:r>
      <w:r w:rsidRPr="001B7167">
        <w:rPr>
          <w:rFonts w:cs="Times New Roman"/>
        </w:rPr>
        <w:t>SIP development process, including major milestones and due dates. It presents the basic SIP elements the Clean Air Act requires.  It also presents any potential issues that will need t</w:t>
      </w:r>
      <w:r w:rsidR="009C5F9F">
        <w:rPr>
          <w:rFonts w:cs="Times New Roman"/>
        </w:rPr>
        <w:t xml:space="preserve">o be addressed in the process. </w:t>
      </w:r>
      <w:r w:rsidRPr="001B7167">
        <w:rPr>
          <w:rFonts w:cs="Times New Roman"/>
        </w:rPr>
        <w:t>More detailed elements of the technical approach will be presented in the Inventory Preparation Plan (IPP).</w:t>
      </w:r>
    </w:p>
    <w:p w:rsidR="001B7167" w:rsidRPr="001B7167" w:rsidRDefault="001B7167" w:rsidP="005A4391">
      <w:pPr>
        <w:spacing w:after="0" w:line="240" w:lineRule="auto"/>
        <w:rPr>
          <w:rFonts w:cs="Times New Roman"/>
        </w:rPr>
      </w:pPr>
    </w:p>
    <w:p w:rsidR="00F472E4" w:rsidRPr="00DF39CD" w:rsidRDefault="00B308E5" w:rsidP="005A4391">
      <w:pPr>
        <w:spacing w:after="0" w:line="240" w:lineRule="auto"/>
        <w:rPr>
          <w:rFonts w:cs="Times New Roman"/>
        </w:rPr>
      </w:pPr>
      <w:r w:rsidRPr="001B7167">
        <w:rPr>
          <w:rFonts w:cs="Times New Roman"/>
          <w:b/>
        </w:rPr>
        <w:t>Title</w:t>
      </w:r>
      <w:r w:rsidRPr="00DF39CD">
        <w:rPr>
          <w:rFonts w:cs="Times New Roman"/>
        </w:rPr>
        <w:t xml:space="preserve">: </w:t>
      </w:r>
      <w:r w:rsidR="009C5F9F">
        <w:rPr>
          <w:rFonts w:cs="Times New Roman"/>
        </w:rPr>
        <w:t>Grants Pass Limited Maintenance Plans for PM10</w:t>
      </w:r>
      <w:r w:rsidRPr="00DF39CD">
        <w:rPr>
          <w:rFonts w:cs="Times New Roman"/>
        </w:rPr>
        <w:t xml:space="preserve"> </w:t>
      </w:r>
      <w:r w:rsidRPr="00DF39CD">
        <w:rPr>
          <w:rFonts w:cs="Times New Roman"/>
        </w:rPr>
        <w:tab/>
      </w:r>
    </w:p>
    <w:p w:rsidR="005A4391" w:rsidRPr="00DF39CD" w:rsidRDefault="005A4391" w:rsidP="005A4391">
      <w:pPr>
        <w:spacing w:after="0" w:line="240" w:lineRule="auto"/>
        <w:rPr>
          <w:rFonts w:cs="Times New Roman"/>
        </w:rPr>
      </w:pPr>
    </w:p>
    <w:p w:rsidR="005A4391" w:rsidRDefault="00B308E5" w:rsidP="005A4391">
      <w:pPr>
        <w:spacing w:after="0" w:line="240" w:lineRule="auto"/>
        <w:rPr>
          <w:rFonts w:cs="Times New Roman"/>
        </w:rPr>
      </w:pPr>
      <w:r w:rsidRPr="00DF39CD">
        <w:rPr>
          <w:rFonts w:cs="Times New Roman"/>
          <w:b/>
        </w:rPr>
        <w:t>EPA Team</w:t>
      </w:r>
      <w:r w:rsidRPr="00DF39CD">
        <w:rPr>
          <w:rFonts w:cs="Times New Roman"/>
        </w:rPr>
        <w:t xml:space="preserve">:  </w:t>
      </w:r>
      <w:r w:rsidR="00581DC8">
        <w:rPr>
          <w:rFonts w:cs="Times New Roman"/>
        </w:rPr>
        <w:t>Lucy Edmonds</w:t>
      </w:r>
      <w:r w:rsidR="009C5F9F">
        <w:rPr>
          <w:rFonts w:cs="Times New Roman"/>
        </w:rPr>
        <w:t xml:space="preserve"> (</w:t>
      </w:r>
      <w:r w:rsidRPr="00DF39CD">
        <w:rPr>
          <w:rFonts w:cs="Times New Roman"/>
        </w:rPr>
        <w:t>lead)</w:t>
      </w:r>
    </w:p>
    <w:p w:rsidR="009C5F9F" w:rsidRPr="00DF39CD" w:rsidRDefault="009C5F9F" w:rsidP="005A4391">
      <w:pPr>
        <w:spacing w:after="0" w:line="240" w:lineRule="auto"/>
        <w:rPr>
          <w:rFonts w:cs="Times New Roman"/>
        </w:rPr>
      </w:pPr>
    </w:p>
    <w:p w:rsidR="00B308E5" w:rsidRPr="00DF39CD" w:rsidRDefault="00B308E5" w:rsidP="005A4391">
      <w:pPr>
        <w:spacing w:after="0" w:line="240" w:lineRule="auto"/>
        <w:rPr>
          <w:rFonts w:cs="Times New Roman"/>
        </w:rPr>
      </w:pPr>
      <w:r w:rsidRPr="00DF39CD">
        <w:rPr>
          <w:rFonts w:cs="Times New Roman"/>
          <w:b/>
        </w:rPr>
        <w:t>ODEQ Team</w:t>
      </w:r>
      <w:r w:rsidRPr="00DF39CD">
        <w:rPr>
          <w:rFonts w:cs="Times New Roman"/>
        </w:rPr>
        <w:t xml:space="preserve">:  </w:t>
      </w:r>
      <w:r w:rsidR="009C5F9F">
        <w:rPr>
          <w:rFonts w:cs="Times New Roman"/>
        </w:rPr>
        <w:t>Aida Biberic</w:t>
      </w:r>
      <w:r w:rsidR="00715676">
        <w:rPr>
          <w:rFonts w:cs="Times New Roman"/>
        </w:rPr>
        <w:t xml:space="preserve"> (lead)</w:t>
      </w:r>
      <w:r w:rsidR="00765385">
        <w:rPr>
          <w:rFonts w:cs="Times New Roman"/>
        </w:rPr>
        <w:t>, Chris</w:t>
      </w:r>
      <w:r w:rsidR="00525075">
        <w:rPr>
          <w:rFonts w:cs="Times New Roman"/>
        </w:rPr>
        <w:t xml:space="preserve"> Swab (technical), Wes </w:t>
      </w:r>
      <w:proofErr w:type="spellStart"/>
      <w:r w:rsidR="00525075">
        <w:rPr>
          <w:rFonts w:cs="Times New Roman"/>
        </w:rPr>
        <w:t>Risher</w:t>
      </w:r>
      <w:proofErr w:type="spellEnd"/>
      <w:r w:rsidR="00525075">
        <w:rPr>
          <w:rFonts w:cs="Times New Roman"/>
        </w:rPr>
        <w:t xml:space="preserve"> (t</w:t>
      </w:r>
      <w:r w:rsidR="00765385">
        <w:rPr>
          <w:rFonts w:cs="Times New Roman"/>
        </w:rPr>
        <w:t xml:space="preserve">echnical), Brandy Albertson (technical), Anthony </w:t>
      </w:r>
      <w:proofErr w:type="spellStart"/>
      <w:r w:rsidR="00765385">
        <w:rPr>
          <w:rFonts w:cs="Times New Roman"/>
        </w:rPr>
        <w:t>Barnack</w:t>
      </w:r>
      <w:proofErr w:type="spellEnd"/>
      <w:r w:rsidR="00765385">
        <w:rPr>
          <w:rFonts w:cs="Times New Roman"/>
        </w:rPr>
        <w:t xml:space="preserve"> (technical)</w:t>
      </w:r>
      <w:r w:rsidR="00C2139D">
        <w:rPr>
          <w:rFonts w:cs="Times New Roman"/>
        </w:rPr>
        <w:t>, David Collier (planning manager)</w:t>
      </w:r>
    </w:p>
    <w:p w:rsidR="005A4391" w:rsidRPr="00DF39CD" w:rsidRDefault="005A4391" w:rsidP="005A4391">
      <w:pPr>
        <w:tabs>
          <w:tab w:val="left" w:pos="720"/>
        </w:tabs>
        <w:spacing w:after="0" w:line="240" w:lineRule="auto"/>
        <w:rPr>
          <w:rFonts w:cs="Times New Roman"/>
        </w:rPr>
      </w:pPr>
    </w:p>
    <w:p w:rsidR="005A4391" w:rsidRDefault="005A4391" w:rsidP="009C5F9F">
      <w:pPr>
        <w:pStyle w:val="Default"/>
        <w:rPr>
          <w:rFonts w:ascii="Times New Roman" w:hAnsi="Times New Roman" w:cs="Times New Roman"/>
          <w:b/>
          <w:bCs/>
          <w:sz w:val="22"/>
          <w:szCs w:val="22"/>
        </w:rPr>
      </w:pPr>
      <w:r w:rsidRPr="00DF39CD">
        <w:rPr>
          <w:rFonts w:ascii="Times New Roman" w:hAnsi="Times New Roman" w:cs="Times New Roman"/>
          <w:b/>
          <w:bCs/>
          <w:sz w:val="22"/>
          <w:szCs w:val="22"/>
        </w:rPr>
        <w:t xml:space="preserve">Background and Purpose </w:t>
      </w:r>
    </w:p>
    <w:p w:rsidR="009C5F9F" w:rsidRDefault="009C5F9F" w:rsidP="009C5F9F">
      <w:pPr>
        <w:tabs>
          <w:tab w:val="left" w:pos="4320"/>
        </w:tabs>
      </w:pPr>
      <w:r>
        <w:t>Grants Pass meets the federal standards for PM10 and new State Implementation Plan revision is necessary to explain how this area will continue to meet the standards through 2024. The Clean Air Act (CAA) requires two 10-year maintenance plans for PM10. The fir</w:t>
      </w:r>
      <w:r w:rsidR="00581DC8">
        <w:t>st 10-year maintenance plan for</w:t>
      </w:r>
      <w:r>
        <w:t xml:space="preserve"> PM10 plan was submitted in 2002. </w:t>
      </w:r>
    </w:p>
    <w:p w:rsidR="009C5F9F" w:rsidRDefault="001F3B23" w:rsidP="009C5F9F">
      <w:pPr>
        <w:pStyle w:val="Default"/>
        <w:rPr>
          <w:rFonts w:ascii="Times New Roman" w:hAnsi="Times New Roman" w:cstheme="minorBidi"/>
          <w:color w:val="auto"/>
          <w:sz w:val="22"/>
          <w:szCs w:val="22"/>
        </w:rPr>
      </w:pPr>
      <w:r>
        <w:rPr>
          <w:rFonts w:ascii="Times New Roman" w:hAnsi="Times New Roman" w:cstheme="minorBidi"/>
          <w:color w:val="auto"/>
          <w:sz w:val="22"/>
          <w:szCs w:val="22"/>
        </w:rPr>
        <w:t>ODEQ will pursue</w:t>
      </w:r>
      <w:r w:rsidR="009C5F9F" w:rsidRPr="009C5F9F">
        <w:rPr>
          <w:rFonts w:ascii="Times New Roman" w:hAnsi="Times New Roman" w:cstheme="minorBidi"/>
          <w:color w:val="auto"/>
          <w:sz w:val="22"/>
          <w:szCs w:val="22"/>
        </w:rPr>
        <w:t xml:space="preserve"> a streamlined Limited Maintenance Plan </w:t>
      </w:r>
      <w:r>
        <w:rPr>
          <w:rFonts w:ascii="Times New Roman" w:hAnsi="Times New Roman" w:cstheme="minorBidi"/>
          <w:color w:val="auto"/>
          <w:sz w:val="22"/>
          <w:szCs w:val="22"/>
        </w:rPr>
        <w:t xml:space="preserve">for Grants Pass </w:t>
      </w:r>
      <w:r w:rsidR="00581DC8">
        <w:rPr>
          <w:rFonts w:ascii="Times New Roman" w:hAnsi="Times New Roman" w:cstheme="minorBidi"/>
          <w:color w:val="auto"/>
          <w:sz w:val="22"/>
          <w:szCs w:val="22"/>
        </w:rPr>
        <w:t xml:space="preserve">because the PM10 </w:t>
      </w:r>
      <w:r w:rsidR="009C5F9F" w:rsidRPr="009C5F9F">
        <w:rPr>
          <w:rFonts w:ascii="Times New Roman" w:hAnsi="Times New Roman" w:cstheme="minorBidi"/>
          <w:color w:val="auto"/>
          <w:sz w:val="22"/>
          <w:szCs w:val="22"/>
        </w:rPr>
        <w:t>concentrations are below the screening thresholds and meet other criteria. LMPs are for areas that show little risk of re-violating the PM10 NAAQS.</w:t>
      </w:r>
    </w:p>
    <w:p w:rsidR="009C5F9F" w:rsidRPr="009C5F9F" w:rsidRDefault="009C5F9F" w:rsidP="009C5F9F">
      <w:pPr>
        <w:pStyle w:val="Default"/>
        <w:rPr>
          <w:rFonts w:ascii="Times New Roman" w:hAnsi="Times New Roman" w:cstheme="minorBidi"/>
          <w:color w:val="auto"/>
          <w:sz w:val="22"/>
          <w:szCs w:val="22"/>
        </w:rPr>
      </w:pPr>
    </w:p>
    <w:p w:rsidR="005A4391" w:rsidRPr="00DF39CD" w:rsidRDefault="005A4391" w:rsidP="005A4391">
      <w:pPr>
        <w:pStyle w:val="Default"/>
        <w:rPr>
          <w:rFonts w:ascii="Times New Roman" w:hAnsi="Times New Roman" w:cs="Times New Roman"/>
          <w:sz w:val="22"/>
          <w:szCs w:val="22"/>
        </w:rPr>
      </w:pPr>
      <w:r w:rsidRPr="00DF39CD">
        <w:rPr>
          <w:rFonts w:ascii="Times New Roman" w:hAnsi="Times New Roman" w:cs="Times New Roman"/>
          <w:b/>
          <w:bCs/>
          <w:sz w:val="22"/>
          <w:szCs w:val="22"/>
        </w:rPr>
        <w:t xml:space="preserve">Consultation and Coordination </w:t>
      </w:r>
    </w:p>
    <w:p w:rsidR="005A4391" w:rsidRDefault="005A4391" w:rsidP="005A4391">
      <w:pPr>
        <w:pStyle w:val="Default"/>
        <w:rPr>
          <w:rFonts w:ascii="Times New Roman" w:hAnsi="Times New Roman" w:cs="Times New Roman"/>
          <w:sz w:val="22"/>
          <w:szCs w:val="22"/>
        </w:rPr>
      </w:pPr>
      <w:r w:rsidRPr="00DF39CD">
        <w:rPr>
          <w:rFonts w:ascii="Times New Roman" w:hAnsi="Times New Roman" w:cs="Times New Roman"/>
          <w:sz w:val="22"/>
          <w:szCs w:val="22"/>
        </w:rPr>
        <w:t>DEQ and EPA will periodically consult on these plans throughout the development process</w:t>
      </w:r>
    </w:p>
    <w:p w:rsidR="001F3B23" w:rsidRPr="00DF39CD" w:rsidRDefault="001F3B23" w:rsidP="005A4391">
      <w:pPr>
        <w:pStyle w:val="Default"/>
        <w:rPr>
          <w:rFonts w:ascii="Times New Roman" w:hAnsi="Times New Roman" w:cs="Times New Roman"/>
          <w:sz w:val="22"/>
          <w:szCs w:val="22"/>
        </w:rPr>
      </w:pPr>
    </w:p>
    <w:p w:rsidR="005A4391" w:rsidRPr="00DF39CD" w:rsidRDefault="005A4391" w:rsidP="005A4391">
      <w:pPr>
        <w:spacing w:after="0" w:line="240" w:lineRule="auto"/>
        <w:rPr>
          <w:rFonts w:cs="Times New Roman"/>
        </w:rPr>
      </w:pPr>
      <w:r w:rsidRPr="00DF39CD">
        <w:rPr>
          <w:rFonts w:cs="Times New Roman"/>
          <w:b/>
        </w:rPr>
        <w:t xml:space="preserve">Proposed </w:t>
      </w:r>
      <w:r w:rsidR="00B308E5" w:rsidRPr="00DF39CD">
        <w:rPr>
          <w:rFonts w:cs="Times New Roman"/>
          <w:b/>
        </w:rPr>
        <w:t>Schedule</w:t>
      </w:r>
      <w:r w:rsidRPr="00DF39CD">
        <w:rPr>
          <w:rFonts w:cs="Times New Roman"/>
        </w:rPr>
        <w:t>:</w:t>
      </w:r>
    </w:p>
    <w:p w:rsidR="00DF39CD" w:rsidRDefault="00DF39CD" w:rsidP="00DF39CD">
      <w:pPr>
        <w:spacing w:after="0" w:line="240" w:lineRule="auto"/>
        <w:rPr>
          <w:rFonts w:cs="Times New Roman"/>
        </w:rPr>
      </w:pPr>
    </w:p>
    <w:p w:rsidR="0070372B" w:rsidRDefault="0070372B" w:rsidP="00DF39CD">
      <w:pPr>
        <w:spacing w:after="0" w:line="240" w:lineRule="auto"/>
        <w:rPr>
          <w:rFonts w:cs="Times New Roman"/>
        </w:rPr>
      </w:pPr>
      <w:r>
        <w:rPr>
          <w:rFonts w:cs="Times New Roman"/>
        </w:rPr>
        <w:t xml:space="preserve">Please see the next page for proposed dates.  </w:t>
      </w:r>
    </w:p>
    <w:p w:rsidR="0070372B" w:rsidRDefault="0070372B" w:rsidP="00DF39CD">
      <w:pPr>
        <w:spacing w:after="0" w:line="240" w:lineRule="auto"/>
        <w:rPr>
          <w:rFonts w:cs="Times New Roman"/>
        </w:rPr>
      </w:pPr>
    </w:p>
    <w:p w:rsidR="0070372B" w:rsidRDefault="0070372B" w:rsidP="00DF39CD">
      <w:pPr>
        <w:spacing w:after="0" w:line="240" w:lineRule="auto"/>
        <w:rPr>
          <w:rFonts w:cs="Times New Roman"/>
        </w:rPr>
      </w:pPr>
    </w:p>
    <w:p w:rsidR="00BC5536" w:rsidRPr="00DF39CD" w:rsidRDefault="00BC5536" w:rsidP="00BC5536">
      <w:pPr>
        <w:autoSpaceDE w:val="0"/>
        <w:autoSpaceDN w:val="0"/>
        <w:adjustRightInd w:val="0"/>
        <w:spacing w:after="0" w:line="240" w:lineRule="auto"/>
        <w:ind w:right="-20"/>
        <w:rPr>
          <w:rFonts w:cs="Times New Roman"/>
        </w:rPr>
      </w:pPr>
      <w:r w:rsidRPr="00DF39CD">
        <w:rPr>
          <w:rFonts w:cs="Times New Roman"/>
          <w:spacing w:val="-1"/>
        </w:rPr>
        <w:t>A</w:t>
      </w:r>
      <w:r w:rsidRPr="00DF39CD">
        <w:rPr>
          <w:rFonts w:cs="Times New Roman"/>
          <w:spacing w:val="1"/>
        </w:rPr>
        <w:t>c</w:t>
      </w:r>
      <w:r w:rsidRPr="00DF39CD">
        <w:rPr>
          <w:rFonts w:cs="Times New Roman"/>
          <w:spacing w:val="3"/>
        </w:rPr>
        <w:t>k</w:t>
      </w:r>
      <w:r w:rsidRPr="00DF39CD">
        <w:rPr>
          <w:rFonts w:cs="Times New Roman"/>
        </w:rPr>
        <w:t>n</w:t>
      </w:r>
      <w:r w:rsidRPr="00DF39CD">
        <w:rPr>
          <w:rFonts w:cs="Times New Roman"/>
          <w:spacing w:val="-1"/>
        </w:rPr>
        <w:t>o</w:t>
      </w:r>
      <w:r w:rsidRPr="00DF39CD">
        <w:rPr>
          <w:rFonts w:cs="Times New Roman"/>
          <w:spacing w:val="-2"/>
        </w:rPr>
        <w:t>w</w:t>
      </w:r>
      <w:r w:rsidRPr="00DF39CD">
        <w:rPr>
          <w:rFonts w:cs="Times New Roman"/>
          <w:spacing w:val="1"/>
        </w:rPr>
        <w:t>l</w:t>
      </w:r>
      <w:r w:rsidRPr="00DF39CD">
        <w:rPr>
          <w:rFonts w:cs="Times New Roman"/>
        </w:rPr>
        <w:t>e</w:t>
      </w:r>
      <w:r w:rsidRPr="001B7167">
        <w:rPr>
          <w:rFonts w:cs="Times New Roman"/>
        </w:rPr>
        <w:t>dg</w:t>
      </w:r>
      <w:r w:rsidRPr="00DF39CD">
        <w:rPr>
          <w:rFonts w:cs="Times New Roman"/>
        </w:rPr>
        <w:t>e</w:t>
      </w:r>
      <w:r w:rsidRPr="001B7167">
        <w:rPr>
          <w:rFonts w:cs="Times New Roman"/>
        </w:rPr>
        <w:t>d/A</w:t>
      </w:r>
      <w:r w:rsidRPr="00DF39CD">
        <w:rPr>
          <w:rFonts w:cs="Times New Roman"/>
        </w:rPr>
        <w:t>gr</w:t>
      </w:r>
      <w:r w:rsidRPr="001B7167">
        <w:rPr>
          <w:rFonts w:cs="Times New Roman"/>
        </w:rPr>
        <w:t>e</w:t>
      </w:r>
      <w:r w:rsidRPr="00DF39CD">
        <w:rPr>
          <w:rFonts w:cs="Times New Roman"/>
        </w:rPr>
        <w:t>ed</w:t>
      </w:r>
      <w:r w:rsidRPr="001B7167">
        <w:rPr>
          <w:rFonts w:cs="Times New Roman"/>
        </w:rPr>
        <w:t xml:space="preserve"> by</w:t>
      </w:r>
      <w:r w:rsidRPr="00DF39CD">
        <w:rPr>
          <w:rFonts w:cs="Times New Roman"/>
        </w:rPr>
        <w:t>:</w:t>
      </w:r>
    </w:p>
    <w:p w:rsidR="00BC5536" w:rsidRPr="00DF39CD" w:rsidRDefault="00BC5536" w:rsidP="00BC5536">
      <w:pPr>
        <w:autoSpaceDE w:val="0"/>
        <w:autoSpaceDN w:val="0"/>
        <w:adjustRightInd w:val="0"/>
        <w:spacing w:after="0" w:line="240" w:lineRule="auto"/>
        <w:ind w:left="100" w:right="-20"/>
        <w:rPr>
          <w:rFonts w:cs="Times New Roman"/>
        </w:rPr>
      </w:pPr>
    </w:p>
    <w:p w:rsidR="00BC5536" w:rsidRPr="00DF39CD" w:rsidRDefault="00BC5536" w:rsidP="00BC5536">
      <w:pPr>
        <w:autoSpaceDE w:val="0"/>
        <w:autoSpaceDN w:val="0"/>
        <w:adjustRightInd w:val="0"/>
        <w:spacing w:after="0" w:line="240" w:lineRule="auto"/>
        <w:ind w:right="-20"/>
        <w:rPr>
          <w:rFonts w:cs="Times New Roman"/>
        </w:rPr>
      </w:pPr>
      <w:r w:rsidRPr="001B7167">
        <w:rPr>
          <w:rFonts w:cs="Times New Roman"/>
        </w:rPr>
        <w:t xml:space="preserve">EPA:                                          </w:t>
      </w:r>
      <w:r>
        <w:rPr>
          <w:rFonts w:cs="Times New Roman"/>
        </w:rPr>
        <w:t xml:space="preserve">                    </w:t>
      </w:r>
      <w:r w:rsidRPr="001B7167">
        <w:rPr>
          <w:rFonts w:cs="Times New Roman"/>
        </w:rPr>
        <w:t xml:space="preserve">   Date:</w:t>
      </w:r>
    </w:p>
    <w:p w:rsidR="00BC5536" w:rsidRPr="00DF39CD" w:rsidRDefault="00BC5536" w:rsidP="00BC5536">
      <w:pPr>
        <w:autoSpaceDE w:val="0"/>
        <w:autoSpaceDN w:val="0"/>
        <w:adjustRightInd w:val="0"/>
        <w:spacing w:after="0" w:line="240" w:lineRule="auto"/>
        <w:ind w:left="100" w:right="-20"/>
        <w:rPr>
          <w:rFonts w:cs="Times New Roman"/>
        </w:rPr>
      </w:pPr>
    </w:p>
    <w:p w:rsidR="00BC5536" w:rsidRPr="00DF39CD" w:rsidRDefault="00BC5536" w:rsidP="00BC5536">
      <w:pPr>
        <w:autoSpaceDE w:val="0"/>
        <w:autoSpaceDN w:val="0"/>
        <w:adjustRightInd w:val="0"/>
        <w:spacing w:after="0" w:line="240" w:lineRule="auto"/>
        <w:ind w:right="-20"/>
        <w:rPr>
          <w:rFonts w:cs="Times New Roman"/>
        </w:rPr>
      </w:pPr>
      <w:r w:rsidRPr="001B7167">
        <w:rPr>
          <w:rFonts w:cs="Times New Roman"/>
        </w:rPr>
        <w:t>ODEQ:</w:t>
      </w:r>
      <w:r w:rsidRPr="00DF39CD">
        <w:rPr>
          <w:rFonts w:cs="Times New Roman"/>
        </w:rPr>
        <w:t xml:space="preserve"> </w:t>
      </w:r>
      <w:r>
        <w:rPr>
          <w:rFonts w:cs="Times New Roman"/>
        </w:rPr>
        <w:t xml:space="preserve">   Aida Biberic                                     </w:t>
      </w:r>
      <w:r w:rsidRPr="001B7167">
        <w:rPr>
          <w:rFonts w:cs="Times New Roman"/>
        </w:rPr>
        <w:t>Date:</w:t>
      </w:r>
      <w:r>
        <w:rPr>
          <w:rFonts w:cs="Times New Roman"/>
        </w:rPr>
        <w:t xml:space="preserve"> March 15, 2014</w:t>
      </w:r>
    </w:p>
    <w:p w:rsidR="0070372B" w:rsidRDefault="0070372B" w:rsidP="00DF39CD">
      <w:pPr>
        <w:spacing w:after="0" w:line="240" w:lineRule="auto"/>
        <w:rPr>
          <w:rFonts w:cs="Times New Roman"/>
        </w:rPr>
      </w:pPr>
    </w:p>
    <w:p w:rsidR="0070372B" w:rsidRDefault="0070372B" w:rsidP="00DF39CD">
      <w:pPr>
        <w:spacing w:after="0" w:line="240" w:lineRule="auto"/>
        <w:rPr>
          <w:rFonts w:cs="Times New Roman"/>
        </w:rPr>
      </w:pPr>
    </w:p>
    <w:p w:rsidR="0070372B" w:rsidRDefault="0070372B" w:rsidP="00DF39CD">
      <w:pPr>
        <w:spacing w:after="0" w:line="240" w:lineRule="auto"/>
        <w:rPr>
          <w:rFonts w:cs="Times New Roman"/>
        </w:rPr>
      </w:pPr>
    </w:p>
    <w:p w:rsidR="0070372B" w:rsidRDefault="00F51800" w:rsidP="00DF39CD">
      <w:pPr>
        <w:spacing w:after="0" w:line="240" w:lineRule="auto"/>
        <w:rPr>
          <w:rFonts w:cs="Times New Roman"/>
        </w:rPr>
      </w:pPr>
      <w:r w:rsidRPr="00F51800">
        <w:rPr>
          <w:rFonts w:cs="Times New Roman"/>
          <w:noProof/>
        </w:rPr>
        <w:drawing>
          <wp:inline distT="0" distB="0" distL="0" distR="0">
            <wp:extent cx="9010650" cy="56578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55402" w:rsidRPr="00DF39CD" w:rsidRDefault="00555402" w:rsidP="00DF39CD">
      <w:pPr>
        <w:spacing w:after="0" w:line="240" w:lineRule="auto"/>
        <w:rPr>
          <w:rFonts w:cs="Times New Roman"/>
        </w:rPr>
      </w:pPr>
      <w:r>
        <w:rPr>
          <w:rFonts w:cs="Times New Roman"/>
        </w:rPr>
        <w:t>Note: The rule adoption schedule is subject to change based on an upcoming assessment of DEQ rulemaking priorities.</w:t>
      </w:r>
    </w:p>
    <w:sectPr w:rsidR="00555402" w:rsidRPr="00DF39CD" w:rsidSect="0070372B">
      <w:pgSz w:w="15840" w:h="12240" w:orient="landscape"/>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57245"/>
    <w:multiLevelType w:val="hybridMultilevel"/>
    <w:tmpl w:val="2A068E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308E5"/>
    <w:rsid w:val="00067360"/>
    <w:rsid w:val="000A06D8"/>
    <w:rsid w:val="001A3EDE"/>
    <w:rsid w:val="001A716D"/>
    <w:rsid w:val="001B7167"/>
    <w:rsid w:val="001D50EF"/>
    <w:rsid w:val="001F3B23"/>
    <w:rsid w:val="001F7D6D"/>
    <w:rsid w:val="0023297F"/>
    <w:rsid w:val="0024253E"/>
    <w:rsid w:val="00250C02"/>
    <w:rsid w:val="00250EC7"/>
    <w:rsid w:val="002B302A"/>
    <w:rsid w:val="002C1A67"/>
    <w:rsid w:val="002D2C28"/>
    <w:rsid w:val="00300452"/>
    <w:rsid w:val="00302000"/>
    <w:rsid w:val="003129FF"/>
    <w:rsid w:val="003177EF"/>
    <w:rsid w:val="0032407C"/>
    <w:rsid w:val="00340D68"/>
    <w:rsid w:val="00352CBD"/>
    <w:rsid w:val="0037556D"/>
    <w:rsid w:val="003B3088"/>
    <w:rsid w:val="003B61B7"/>
    <w:rsid w:val="003B7485"/>
    <w:rsid w:val="003D3994"/>
    <w:rsid w:val="003F75C2"/>
    <w:rsid w:val="00425060"/>
    <w:rsid w:val="00453E88"/>
    <w:rsid w:val="004817D7"/>
    <w:rsid w:val="00497D62"/>
    <w:rsid w:val="004D5F9F"/>
    <w:rsid w:val="004E079A"/>
    <w:rsid w:val="005064E4"/>
    <w:rsid w:val="00525075"/>
    <w:rsid w:val="00555402"/>
    <w:rsid w:val="00567487"/>
    <w:rsid w:val="00581DC8"/>
    <w:rsid w:val="00582654"/>
    <w:rsid w:val="005840C2"/>
    <w:rsid w:val="005A4391"/>
    <w:rsid w:val="005A6BC5"/>
    <w:rsid w:val="005D1374"/>
    <w:rsid w:val="005D6E9E"/>
    <w:rsid w:val="005E2907"/>
    <w:rsid w:val="00601A85"/>
    <w:rsid w:val="00604A72"/>
    <w:rsid w:val="006357A6"/>
    <w:rsid w:val="00650AB4"/>
    <w:rsid w:val="0067265C"/>
    <w:rsid w:val="006730E7"/>
    <w:rsid w:val="00683100"/>
    <w:rsid w:val="0068381B"/>
    <w:rsid w:val="006858E5"/>
    <w:rsid w:val="0068636B"/>
    <w:rsid w:val="00695EB4"/>
    <w:rsid w:val="006B1298"/>
    <w:rsid w:val="006C3050"/>
    <w:rsid w:val="0070372B"/>
    <w:rsid w:val="00715676"/>
    <w:rsid w:val="00760813"/>
    <w:rsid w:val="00760E4E"/>
    <w:rsid w:val="00765385"/>
    <w:rsid w:val="00780034"/>
    <w:rsid w:val="007B5662"/>
    <w:rsid w:val="007B6914"/>
    <w:rsid w:val="00807AA2"/>
    <w:rsid w:val="008302B1"/>
    <w:rsid w:val="008417D1"/>
    <w:rsid w:val="00845680"/>
    <w:rsid w:val="008548C3"/>
    <w:rsid w:val="008806D2"/>
    <w:rsid w:val="00895945"/>
    <w:rsid w:val="008A0DBA"/>
    <w:rsid w:val="008C3FCA"/>
    <w:rsid w:val="008D061A"/>
    <w:rsid w:val="008E1E7D"/>
    <w:rsid w:val="008E3B1B"/>
    <w:rsid w:val="00932398"/>
    <w:rsid w:val="009652F8"/>
    <w:rsid w:val="0097459F"/>
    <w:rsid w:val="009B1D25"/>
    <w:rsid w:val="009C264C"/>
    <w:rsid w:val="009C5C7B"/>
    <w:rsid w:val="009C5F9F"/>
    <w:rsid w:val="009E3CFC"/>
    <w:rsid w:val="00A20925"/>
    <w:rsid w:val="00A359F6"/>
    <w:rsid w:val="00A65AE6"/>
    <w:rsid w:val="00A7190C"/>
    <w:rsid w:val="00A75AF6"/>
    <w:rsid w:val="00A75CCE"/>
    <w:rsid w:val="00AA3D82"/>
    <w:rsid w:val="00AB0C14"/>
    <w:rsid w:val="00B037ED"/>
    <w:rsid w:val="00B06E72"/>
    <w:rsid w:val="00B2348A"/>
    <w:rsid w:val="00B308E5"/>
    <w:rsid w:val="00B95B64"/>
    <w:rsid w:val="00BA2483"/>
    <w:rsid w:val="00BC5536"/>
    <w:rsid w:val="00BE2808"/>
    <w:rsid w:val="00C2139D"/>
    <w:rsid w:val="00C52637"/>
    <w:rsid w:val="00C5416D"/>
    <w:rsid w:val="00CC5EB8"/>
    <w:rsid w:val="00CD498B"/>
    <w:rsid w:val="00CD5DB6"/>
    <w:rsid w:val="00CE703C"/>
    <w:rsid w:val="00D010E5"/>
    <w:rsid w:val="00D7078C"/>
    <w:rsid w:val="00D74D41"/>
    <w:rsid w:val="00DA680E"/>
    <w:rsid w:val="00DF39CD"/>
    <w:rsid w:val="00DF4646"/>
    <w:rsid w:val="00DF55BF"/>
    <w:rsid w:val="00E20890"/>
    <w:rsid w:val="00E20DEA"/>
    <w:rsid w:val="00E2161B"/>
    <w:rsid w:val="00E54795"/>
    <w:rsid w:val="00EB45A0"/>
    <w:rsid w:val="00EC0A26"/>
    <w:rsid w:val="00ED1D45"/>
    <w:rsid w:val="00EE4486"/>
    <w:rsid w:val="00F00F17"/>
    <w:rsid w:val="00F07706"/>
    <w:rsid w:val="00F1609F"/>
    <w:rsid w:val="00F211CC"/>
    <w:rsid w:val="00F472E4"/>
    <w:rsid w:val="00F51800"/>
    <w:rsid w:val="00F65CE5"/>
    <w:rsid w:val="00F65DCB"/>
    <w:rsid w:val="00F673F2"/>
    <w:rsid w:val="00F96F66"/>
    <w:rsid w:val="00FD58BA"/>
    <w:rsid w:val="00FF2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6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0813"/>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0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DEA"/>
    <w:rPr>
      <w:rFonts w:ascii="Tahoma" w:hAnsi="Tahoma" w:cs="Tahoma"/>
      <w:sz w:val="16"/>
      <w:szCs w:val="16"/>
    </w:rPr>
  </w:style>
  <w:style w:type="paragraph" w:styleId="Revision">
    <w:name w:val="Revision"/>
    <w:hidden/>
    <w:uiPriority w:val="99"/>
    <w:semiHidden/>
    <w:rsid w:val="00F65DCB"/>
    <w:pPr>
      <w:spacing w:after="0" w:line="240" w:lineRule="auto"/>
    </w:pPr>
  </w:style>
  <w:style w:type="paragraph" w:customStyle="1" w:styleId="Default">
    <w:name w:val="Default"/>
    <w:rsid w:val="005A4391"/>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semiHidden/>
    <w:rsid w:val="009C5F9F"/>
    <w:pPr>
      <w:spacing w:after="120" w:line="240" w:lineRule="auto"/>
      <w:contextualSpacing/>
    </w:pPr>
    <w:rPr>
      <w:rFonts w:eastAsia="Times New Roman" w:cs="Times New Roman"/>
      <w:sz w:val="20"/>
      <w:szCs w:val="24"/>
    </w:rPr>
  </w:style>
  <w:style w:type="character" w:customStyle="1" w:styleId="FootnoteTextChar">
    <w:name w:val="Footnote Text Char"/>
    <w:basedOn w:val="DefaultParagraphFont"/>
    <w:link w:val="FootnoteText"/>
    <w:semiHidden/>
    <w:rsid w:val="009C5F9F"/>
    <w:rPr>
      <w:rFonts w:eastAsia="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eqhq1\AQCOMMON\LimitedMaitenancePlans\GrantsPass_CO_PM10\Scoping\Timeli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Draft Project</a:t>
            </a:r>
            <a:r>
              <a:rPr lang="en-US" sz="1200" baseline="0"/>
              <a:t> Schedule: </a:t>
            </a:r>
            <a:r>
              <a:rPr lang="en-US" sz="1200"/>
              <a:t>Grants Pass Limited Maitenance Plans for PM10</a:t>
            </a:r>
          </a:p>
        </c:rich>
      </c:tx>
      <c:layout>
        <c:manualLayout>
          <c:xMode val="edge"/>
          <c:yMode val="edge"/>
          <c:x val="0.25744088495787365"/>
          <c:y val="3.8499948990475152E-2"/>
        </c:manualLayout>
      </c:layout>
    </c:title>
    <c:plotArea>
      <c:layout>
        <c:manualLayout>
          <c:layoutTarget val="inner"/>
          <c:xMode val="edge"/>
          <c:yMode val="edge"/>
          <c:x val="0.22322698643176159"/>
          <c:y val="0.25141105744197229"/>
          <c:w val="0.73291743200539416"/>
          <c:h val="0.67123376809671942"/>
        </c:manualLayout>
      </c:layout>
      <c:barChart>
        <c:barDir val="bar"/>
        <c:grouping val="stacked"/>
        <c:ser>
          <c:idx val="0"/>
          <c:order val="0"/>
          <c:tx>
            <c:strRef>
              <c:f>Sheet1!$C$4</c:f>
              <c:strCache>
                <c:ptCount val="1"/>
                <c:pt idx="0">
                  <c:v>START DATE</c:v>
                </c:pt>
              </c:strCache>
            </c:strRef>
          </c:tx>
          <c:spPr>
            <a:noFill/>
          </c:spPr>
          <c:dPt>
            <c:idx val="1"/>
            <c:spPr>
              <a:solidFill>
                <a:srgbClr val="9BBB59">
                  <a:lumMod val="40000"/>
                  <a:lumOff val="60000"/>
                  <a:alpha val="66000"/>
                </a:srgbClr>
              </a:solidFill>
            </c:spPr>
          </c:dPt>
          <c:dPt>
            <c:idx val="2"/>
            <c:spPr>
              <a:solidFill>
                <a:srgbClr val="9BBB59">
                  <a:lumMod val="40000"/>
                  <a:lumOff val="60000"/>
                  <a:alpha val="59000"/>
                </a:srgbClr>
              </a:solidFill>
            </c:spPr>
          </c:dPt>
          <c:dPt>
            <c:idx val="3"/>
            <c:spPr>
              <a:solidFill>
                <a:srgbClr val="9BBB59">
                  <a:lumMod val="40000"/>
                  <a:lumOff val="60000"/>
                  <a:alpha val="55000"/>
                </a:srgbClr>
              </a:solidFill>
            </c:spPr>
          </c:dPt>
          <c:dPt>
            <c:idx val="4"/>
            <c:spPr>
              <a:solidFill>
                <a:srgbClr val="9BBB59">
                  <a:lumMod val="40000"/>
                  <a:lumOff val="60000"/>
                  <a:alpha val="54000"/>
                </a:srgbClr>
              </a:solidFill>
            </c:spPr>
          </c:dPt>
          <c:dPt>
            <c:idx val="5"/>
            <c:spPr>
              <a:solidFill>
                <a:srgbClr val="9BBB59">
                  <a:lumMod val="40000"/>
                  <a:lumOff val="60000"/>
                  <a:alpha val="59000"/>
                </a:srgbClr>
              </a:solidFill>
            </c:spPr>
          </c:dPt>
          <c:dPt>
            <c:idx val="6"/>
            <c:spPr>
              <a:solidFill>
                <a:srgbClr val="9BBB59">
                  <a:lumMod val="40000"/>
                  <a:lumOff val="60000"/>
                  <a:alpha val="66000"/>
                </a:srgbClr>
              </a:solidFill>
            </c:spPr>
          </c:dPt>
          <c:dPt>
            <c:idx val="7"/>
            <c:spPr>
              <a:solidFill>
                <a:srgbClr val="9BBB59">
                  <a:lumMod val="40000"/>
                  <a:lumOff val="60000"/>
                  <a:alpha val="63000"/>
                </a:srgbClr>
              </a:solidFill>
            </c:spPr>
          </c:dPt>
          <c:dPt>
            <c:idx val="8"/>
            <c:spPr>
              <a:solidFill>
                <a:srgbClr val="8064A2">
                  <a:lumMod val="20000"/>
                  <a:lumOff val="80000"/>
                  <a:alpha val="49000"/>
                </a:srgbClr>
              </a:solidFill>
            </c:spPr>
          </c:dPt>
          <c:dPt>
            <c:idx val="9"/>
            <c:spPr>
              <a:solidFill>
                <a:srgbClr val="8064A2">
                  <a:lumMod val="20000"/>
                  <a:lumOff val="80000"/>
                  <a:alpha val="42000"/>
                </a:srgbClr>
              </a:solidFill>
            </c:spPr>
          </c:dPt>
          <c:dPt>
            <c:idx val="10"/>
            <c:spPr>
              <a:solidFill>
                <a:srgbClr val="8064A2">
                  <a:lumMod val="20000"/>
                  <a:lumOff val="80000"/>
                  <a:alpha val="57000"/>
                </a:srgbClr>
              </a:solidFill>
            </c:spPr>
          </c:dPt>
          <c:dPt>
            <c:idx val="11"/>
            <c:spPr>
              <a:solidFill>
                <a:srgbClr val="8064A2">
                  <a:lumMod val="20000"/>
                  <a:lumOff val="80000"/>
                  <a:alpha val="50000"/>
                </a:srgbClr>
              </a:solidFill>
            </c:spPr>
          </c:dPt>
          <c:dPt>
            <c:idx val="12"/>
            <c:spPr>
              <a:solidFill>
                <a:srgbClr val="FFC000">
                  <a:alpha val="38000"/>
                </a:srgbClr>
              </a:solidFill>
            </c:spPr>
          </c:dPt>
          <c:dPt>
            <c:idx val="13"/>
            <c:spPr>
              <a:solidFill>
                <a:srgbClr val="FFC000">
                  <a:alpha val="39000"/>
                </a:srgbClr>
              </a:solidFill>
            </c:spPr>
          </c:dPt>
          <c:dPt>
            <c:idx val="14"/>
            <c:spPr>
              <a:solidFill>
                <a:srgbClr val="FFC000">
                  <a:alpha val="42000"/>
                </a:srgbClr>
              </a:solidFill>
            </c:spPr>
          </c:dPt>
          <c:dPt>
            <c:idx val="15"/>
            <c:spPr>
              <a:solidFill>
                <a:srgbClr val="FFC000">
                  <a:alpha val="41000"/>
                </a:srgbClr>
              </a:solidFill>
            </c:spPr>
          </c:dPt>
          <c:dPt>
            <c:idx val="16"/>
            <c:spPr>
              <a:solidFill>
                <a:srgbClr val="FFC000">
                  <a:alpha val="43000"/>
                </a:srgbClr>
              </a:solidFill>
            </c:spPr>
          </c:dPt>
          <c:dPt>
            <c:idx val="17"/>
            <c:spPr>
              <a:solidFill>
                <a:srgbClr val="FFC000">
                  <a:alpha val="40000"/>
                </a:srgbClr>
              </a:solidFill>
            </c:spPr>
          </c:dPt>
          <c:dPt>
            <c:idx val="18"/>
            <c:spPr>
              <a:solidFill>
                <a:srgbClr val="F79646">
                  <a:lumMod val="75000"/>
                  <a:alpha val="29000"/>
                </a:srgbClr>
              </a:solidFill>
            </c:spPr>
          </c:dPt>
          <c:dPt>
            <c:idx val="19"/>
            <c:spPr>
              <a:solidFill>
                <a:srgbClr val="C00000">
                  <a:alpha val="26000"/>
                </a:srgbClr>
              </a:solidFill>
            </c:spPr>
          </c:dPt>
          <c:dPt>
            <c:idx val="20"/>
            <c:spPr>
              <a:solidFill>
                <a:srgbClr val="1F497D">
                  <a:lumMod val="60000"/>
                  <a:lumOff val="40000"/>
                  <a:alpha val="22000"/>
                </a:srgbClr>
              </a:solidFill>
            </c:spPr>
          </c:dPt>
          <c:cat>
            <c:strRef>
              <c:f>Sheet1!$A$5:$A$27</c:f>
              <c:strCache>
                <c:ptCount val="23"/>
                <c:pt idx="0">
                  <c:v>Define Scope</c:v>
                </c:pt>
                <c:pt idx="1">
                  <c:v>SIP Development Plan</c:v>
                </c:pt>
                <c:pt idx="2">
                  <c:v>Approve work on this SIP</c:v>
                </c:pt>
                <c:pt idx="3">
                  <c:v>Fast Track Checklist</c:v>
                </c:pt>
                <c:pt idx="4">
                  <c:v>SIP Developmnet Plan</c:v>
                </c:pt>
                <c:pt idx="5">
                  <c:v>IPP</c:v>
                </c:pt>
                <c:pt idx="6">
                  <c:v>Timeline</c:v>
                </c:pt>
                <c:pt idx="7">
                  <c:v>Submitt SIP Dev. Plant to  EPA and GP MPO</c:v>
                </c:pt>
                <c:pt idx="8">
                  <c:v>SIP Development Phase</c:v>
                </c:pt>
                <c:pt idx="9">
                  <c:v>Emissions Inventory Development</c:v>
                </c:pt>
                <c:pt idx="10">
                  <c:v>Drafting the Plan</c:v>
                </c:pt>
                <c:pt idx="11">
                  <c:v>Review Draft SIP</c:v>
                </c:pt>
                <c:pt idx="12">
                  <c:v>Rulemaking Phase</c:v>
                </c:pt>
                <c:pt idx="13">
                  <c:v>Draft the SIP, Fact Sheet, Notice</c:v>
                </c:pt>
                <c:pt idx="14">
                  <c:v>Review Final SIP, Fact Sheet, Notice</c:v>
                </c:pt>
                <c:pt idx="15">
                  <c:v>Draft plan submitted to EPA, DOJ, Andrea</c:v>
                </c:pt>
                <c:pt idx="16">
                  <c:v>Rulemaking documents due to DA for approval</c:v>
                </c:pt>
                <c:pt idx="17">
                  <c:v>Public Involvement</c:v>
                </c:pt>
                <c:pt idx="18">
                  <c:v>Finalize the SIP</c:v>
                </c:pt>
                <c:pt idx="19">
                  <c:v>Review the SIP</c:v>
                </c:pt>
                <c:pt idx="20">
                  <c:v>Finalized staff report due to directors office</c:v>
                </c:pt>
                <c:pt idx="21">
                  <c:v>EQC adoption </c:v>
                </c:pt>
                <c:pt idx="22">
                  <c:v>Submit the final SIP to EPA</c:v>
                </c:pt>
              </c:strCache>
            </c:strRef>
          </c:cat>
          <c:val>
            <c:numRef>
              <c:f>Sheet1!$C$5:$C$27</c:f>
              <c:numCache>
                <c:formatCode>m/d/yyyy</c:formatCode>
                <c:ptCount val="23"/>
                <c:pt idx="0">
                  <c:v>41579</c:v>
                </c:pt>
                <c:pt idx="1">
                  <c:v>41671</c:v>
                </c:pt>
                <c:pt idx="2">
                  <c:v>41671</c:v>
                </c:pt>
                <c:pt idx="3">
                  <c:v>41671</c:v>
                </c:pt>
                <c:pt idx="4">
                  <c:v>41685</c:v>
                </c:pt>
                <c:pt idx="5">
                  <c:v>41685</c:v>
                </c:pt>
                <c:pt idx="6">
                  <c:v>41685</c:v>
                </c:pt>
                <c:pt idx="7">
                  <c:v>41713</c:v>
                </c:pt>
                <c:pt idx="8">
                  <c:v>41743</c:v>
                </c:pt>
                <c:pt idx="9">
                  <c:v>41745</c:v>
                </c:pt>
                <c:pt idx="10">
                  <c:v>41745</c:v>
                </c:pt>
                <c:pt idx="11">
                  <c:v>41774</c:v>
                </c:pt>
                <c:pt idx="12">
                  <c:v>41791</c:v>
                </c:pt>
                <c:pt idx="13">
                  <c:v>41791</c:v>
                </c:pt>
                <c:pt idx="14">
                  <c:v>41805</c:v>
                </c:pt>
                <c:pt idx="15">
                  <c:v>41821</c:v>
                </c:pt>
                <c:pt idx="16">
                  <c:v>41852</c:v>
                </c:pt>
                <c:pt idx="17">
                  <c:v>41866</c:v>
                </c:pt>
                <c:pt idx="18">
                  <c:v>41913</c:v>
                </c:pt>
                <c:pt idx="19">
                  <c:v>41944</c:v>
                </c:pt>
                <c:pt idx="20">
                  <c:v>41955</c:v>
                </c:pt>
                <c:pt idx="21">
                  <c:v>41974</c:v>
                </c:pt>
                <c:pt idx="22">
                  <c:v>42005</c:v>
                </c:pt>
              </c:numCache>
            </c:numRef>
          </c:val>
        </c:ser>
        <c:ser>
          <c:idx val="1"/>
          <c:order val="1"/>
          <c:tx>
            <c:strRef>
              <c:f>Sheet1!$D$4</c:f>
              <c:strCache>
                <c:ptCount val="1"/>
                <c:pt idx="0">
                  <c:v>DURATION</c:v>
                </c:pt>
              </c:strCache>
            </c:strRef>
          </c:tx>
          <c:spPr>
            <a:gradFill>
              <a:gsLst>
                <a:gs pos="0">
                  <a:srgbClr val="DDEBCF">
                    <a:alpha val="68000"/>
                  </a:srgbClr>
                </a:gs>
                <a:gs pos="50000">
                  <a:srgbClr val="9CB86E"/>
                </a:gs>
                <a:gs pos="100000">
                  <a:srgbClr val="156B13"/>
                </a:gs>
              </a:gsLst>
              <a:lin ang="5400000" scaled="0"/>
            </a:gradFill>
            <a:ln w="15875">
              <a:solidFill>
                <a:schemeClr val="accent1"/>
              </a:solidFill>
              <a:prstDash val="solid"/>
            </a:ln>
            <a:effectLst>
              <a:outerShdw blurRad="50800" dist="38100" dir="16200000" rotWithShape="0">
                <a:prstClr val="black">
                  <a:alpha val="40000"/>
                </a:prstClr>
              </a:outerShdw>
            </a:effectLst>
          </c:spPr>
          <c:dPt>
            <c:idx val="0"/>
            <c:spPr>
              <a:gradFill>
                <a:gsLst>
                  <a:gs pos="0">
                    <a:srgbClr val="FFEFD1"/>
                  </a:gs>
                  <a:gs pos="64999">
                    <a:srgbClr val="F0EBD5"/>
                  </a:gs>
                  <a:gs pos="100000">
                    <a:srgbClr val="D1C39F"/>
                  </a:gs>
                </a:gsLst>
                <a:lin ang="5400000" scaled="0"/>
              </a:gradFill>
              <a:ln w="15875">
                <a:solidFill>
                  <a:schemeClr val="accent1"/>
                </a:solidFill>
                <a:prstDash val="solid"/>
              </a:ln>
              <a:effectLst>
                <a:outerShdw blurRad="50800" dist="38100" dir="16200000" rotWithShape="0">
                  <a:prstClr val="black">
                    <a:alpha val="40000"/>
                  </a:prstClr>
                </a:outerShdw>
              </a:effectLst>
            </c:spPr>
          </c:dPt>
          <c:dPt>
            <c:idx val="1"/>
            <c:spPr>
              <a:gradFill>
                <a:gsLst>
                  <a:gs pos="0">
                    <a:srgbClr val="FFEFD1"/>
                  </a:gs>
                  <a:gs pos="64999">
                    <a:srgbClr val="F0EBD5"/>
                  </a:gs>
                  <a:gs pos="100000">
                    <a:srgbClr val="D1C39F"/>
                  </a:gs>
                </a:gsLst>
                <a:lin ang="5400000" scaled="0"/>
              </a:gradFill>
              <a:ln w="15875">
                <a:solidFill>
                  <a:schemeClr val="accent1"/>
                </a:solidFill>
                <a:prstDash val="solid"/>
              </a:ln>
              <a:effectLst>
                <a:outerShdw blurRad="50800" dist="38100" dir="16200000" rotWithShape="0">
                  <a:prstClr val="black">
                    <a:alpha val="40000"/>
                  </a:prstClr>
                </a:outerShdw>
              </a:effectLst>
            </c:spPr>
          </c:dPt>
          <c:dPt>
            <c:idx val="8"/>
            <c:spPr>
              <a:gradFill>
                <a:gsLst>
                  <a:gs pos="0">
                    <a:srgbClr val="FFEFD1"/>
                  </a:gs>
                  <a:gs pos="64999">
                    <a:srgbClr val="F0EBD5"/>
                  </a:gs>
                  <a:gs pos="100000">
                    <a:srgbClr val="D1C39F"/>
                  </a:gs>
                </a:gsLst>
                <a:lin ang="5400000" scaled="0"/>
              </a:gradFill>
              <a:ln w="15875">
                <a:solidFill>
                  <a:schemeClr val="accent1"/>
                </a:solidFill>
                <a:prstDash val="solid"/>
              </a:ln>
              <a:effectLst>
                <a:outerShdw blurRad="50800" dist="38100" dir="16200000" rotWithShape="0">
                  <a:prstClr val="black">
                    <a:alpha val="40000"/>
                  </a:prstClr>
                </a:outerShdw>
              </a:effectLst>
            </c:spPr>
          </c:dPt>
          <c:dPt>
            <c:idx val="9"/>
            <c:spPr>
              <a:solidFill>
                <a:srgbClr val="8064A2">
                  <a:lumMod val="60000"/>
                  <a:lumOff val="40000"/>
                </a:srgbClr>
              </a:solidFill>
              <a:ln w="15875">
                <a:solidFill>
                  <a:schemeClr val="accent1"/>
                </a:solidFill>
                <a:prstDash val="solid"/>
              </a:ln>
              <a:effectLst>
                <a:outerShdw blurRad="50800" dist="38100" dir="16200000" rotWithShape="0">
                  <a:prstClr val="black">
                    <a:alpha val="40000"/>
                  </a:prstClr>
                </a:outerShdw>
              </a:effectLst>
            </c:spPr>
          </c:dPt>
          <c:dPt>
            <c:idx val="10"/>
            <c:spPr>
              <a:solidFill>
                <a:srgbClr val="8064A2">
                  <a:lumMod val="60000"/>
                  <a:lumOff val="40000"/>
                </a:srgbClr>
              </a:solidFill>
              <a:ln w="15875">
                <a:solidFill>
                  <a:schemeClr val="accent1"/>
                </a:solidFill>
                <a:prstDash val="solid"/>
              </a:ln>
              <a:effectLst>
                <a:outerShdw blurRad="50800" dist="38100" dir="16200000" rotWithShape="0">
                  <a:prstClr val="black">
                    <a:alpha val="40000"/>
                  </a:prstClr>
                </a:outerShdw>
              </a:effectLst>
            </c:spPr>
          </c:dPt>
          <c:dPt>
            <c:idx val="11"/>
            <c:invertIfNegative val="1"/>
            <c:spPr>
              <a:solidFill>
                <a:schemeClr val="accent4">
                  <a:lumMod val="60000"/>
                  <a:lumOff val="40000"/>
                </a:schemeClr>
              </a:solidFill>
              <a:ln w="15875">
                <a:solidFill>
                  <a:schemeClr val="accent1"/>
                </a:solidFill>
                <a:prstDash val="solid"/>
              </a:ln>
              <a:effectLst>
                <a:outerShdw blurRad="50800" dist="38100" dir="16200000" rotWithShape="0">
                  <a:prstClr val="black">
                    <a:alpha val="40000"/>
                  </a:prstClr>
                </a:outerShdw>
              </a:effectLst>
              <a:scene3d>
                <a:camera prst="orthographicFront"/>
                <a:lightRig rig="contrasting" dir="t"/>
              </a:scene3d>
              <a:sp3d prstMaterial="dkEdge">
                <a:bevelB w="114300" prst="hardEdge"/>
              </a:sp3d>
            </c:spPr>
          </c:dPt>
          <c:dPt>
            <c:idx val="12"/>
            <c:spPr>
              <a:gradFill>
                <a:gsLst>
                  <a:gs pos="0">
                    <a:srgbClr val="FFEFD1"/>
                  </a:gs>
                  <a:gs pos="64999">
                    <a:srgbClr val="F0EBD5"/>
                  </a:gs>
                  <a:gs pos="100000">
                    <a:srgbClr val="D1C39F"/>
                  </a:gs>
                </a:gsLst>
                <a:lin ang="5400000" scaled="0"/>
              </a:gradFill>
              <a:ln w="15875">
                <a:solidFill>
                  <a:schemeClr val="accent1"/>
                </a:solidFill>
                <a:prstDash val="solid"/>
              </a:ln>
              <a:effectLst>
                <a:outerShdw blurRad="50800" dist="38100" dir="16200000" rotWithShape="0">
                  <a:prstClr val="black">
                    <a:alpha val="40000"/>
                  </a:prstClr>
                </a:outerShdw>
              </a:effectLst>
            </c:spPr>
          </c:dPt>
          <c:dPt>
            <c:idx val="13"/>
            <c:spPr>
              <a:solidFill>
                <a:srgbClr val="FFC000"/>
              </a:solidFill>
              <a:ln w="15875">
                <a:solidFill>
                  <a:schemeClr val="accent1"/>
                </a:solidFill>
                <a:prstDash val="solid"/>
              </a:ln>
              <a:effectLst>
                <a:outerShdw blurRad="50800" dist="38100" dir="16200000" rotWithShape="0">
                  <a:prstClr val="black">
                    <a:alpha val="40000"/>
                  </a:prstClr>
                </a:outerShdw>
              </a:effectLst>
            </c:spPr>
          </c:dPt>
          <c:dPt>
            <c:idx val="14"/>
            <c:spPr>
              <a:solidFill>
                <a:srgbClr val="FFC000"/>
              </a:solidFill>
              <a:ln w="15875">
                <a:solidFill>
                  <a:schemeClr val="accent1"/>
                </a:solidFill>
                <a:prstDash val="solid"/>
              </a:ln>
              <a:effectLst>
                <a:outerShdw blurRad="50800" dist="38100" dir="16200000" rotWithShape="0">
                  <a:prstClr val="black">
                    <a:alpha val="40000"/>
                  </a:prstClr>
                </a:outerShdw>
              </a:effectLst>
            </c:spPr>
          </c:dPt>
          <c:dPt>
            <c:idx val="15"/>
            <c:spPr>
              <a:solidFill>
                <a:srgbClr val="FFC000"/>
              </a:solidFill>
              <a:ln w="15875">
                <a:solidFill>
                  <a:schemeClr val="accent1"/>
                </a:solidFill>
                <a:prstDash val="solid"/>
              </a:ln>
              <a:effectLst>
                <a:outerShdw blurRad="50800" dist="38100" dir="16200000" rotWithShape="0">
                  <a:prstClr val="black">
                    <a:alpha val="40000"/>
                  </a:prstClr>
                </a:outerShdw>
              </a:effectLst>
            </c:spPr>
          </c:dPt>
          <c:dPt>
            <c:idx val="16"/>
            <c:spPr>
              <a:solidFill>
                <a:srgbClr val="FFC000"/>
              </a:solidFill>
              <a:ln w="15875">
                <a:solidFill>
                  <a:schemeClr val="accent1"/>
                </a:solidFill>
                <a:prstDash val="solid"/>
              </a:ln>
              <a:effectLst>
                <a:outerShdw blurRad="50800" dist="38100" dir="16200000" rotWithShape="0">
                  <a:prstClr val="black">
                    <a:alpha val="40000"/>
                  </a:prstClr>
                </a:outerShdw>
              </a:effectLst>
            </c:spPr>
          </c:dPt>
          <c:dPt>
            <c:idx val="17"/>
            <c:spPr>
              <a:solidFill>
                <a:srgbClr val="FFC000"/>
              </a:solidFill>
              <a:ln w="15875">
                <a:solidFill>
                  <a:schemeClr val="accent1"/>
                </a:solidFill>
                <a:prstDash val="solid"/>
              </a:ln>
              <a:effectLst>
                <a:outerShdw blurRad="50800" dist="38100" dir="16200000" rotWithShape="0">
                  <a:prstClr val="black">
                    <a:alpha val="40000"/>
                  </a:prstClr>
                </a:outerShdw>
              </a:effectLst>
            </c:spPr>
          </c:dPt>
          <c:dPt>
            <c:idx val="18"/>
            <c:spPr>
              <a:solidFill>
                <a:schemeClr val="accent6">
                  <a:lumMod val="75000"/>
                </a:schemeClr>
              </a:solidFill>
              <a:ln w="15875">
                <a:solidFill>
                  <a:schemeClr val="accent1"/>
                </a:solidFill>
                <a:prstDash val="solid"/>
              </a:ln>
              <a:effectLst>
                <a:outerShdw blurRad="50800" dist="38100" dir="16200000" rotWithShape="0">
                  <a:prstClr val="black">
                    <a:alpha val="40000"/>
                  </a:prstClr>
                </a:outerShdw>
              </a:effectLst>
            </c:spPr>
          </c:dPt>
          <c:dPt>
            <c:idx val="19"/>
            <c:spPr>
              <a:solidFill>
                <a:schemeClr val="accent6">
                  <a:lumMod val="75000"/>
                </a:schemeClr>
              </a:solidFill>
              <a:ln w="15875">
                <a:solidFill>
                  <a:schemeClr val="accent1"/>
                </a:solidFill>
                <a:prstDash val="solid"/>
              </a:ln>
              <a:effectLst>
                <a:outerShdw blurRad="50800" dist="38100" dir="16200000" rotWithShape="0">
                  <a:prstClr val="black">
                    <a:alpha val="40000"/>
                  </a:prstClr>
                </a:outerShdw>
              </a:effectLst>
            </c:spPr>
          </c:dPt>
          <c:dPt>
            <c:idx val="20"/>
            <c:spPr>
              <a:solidFill>
                <a:schemeClr val="accent6">
                  <a:lumMod val="75000"/>
                </a:schemeClr>
              </a:solidFill>
              <a:ln w="15875">
                <a:solidFill>
                  <a:schemeClr val="accent1"/>
                </a:solidFill>
                <a:prstDash val="solid"/>
              </a:ln>
              <a:effectLst>
                <a:outerShdw blurRad="50800" dist="38100" dir="16200000" rotWithShape="0">
                  <a:prstClr val="black">
                    <a:alpha val="40000"/>
                  </a:prstClr>
                </a:outerShdw>
              </a:effectLst>
            </c:spPr>
          </c:dPt>
          <c:dPt>
            <c:idx val="21"/>
            <c:spPr>
              <a:solidFill>
                <a:srgbClr val="C00000"/>
              </a:solidFill>
              <a:ln w="15875">
                <a:solidFill>
                  <a:schemeClr val="accent1"/>
                </a:solidFill>
                <a:prstDash val="solid"/>
              </a:ln>
              <a:effectLst>
                <a:outerShdw blurRad="50800" dist="38100" dir="16200000" rotWithShape="0">
                  <a:prstClr val="black">
                    <a:alpha val="40000"/>
                  </a:prstClr>
                </a:outerShdw>
              </a:effectLst>
            </c:spPr>
          </c:dPt>
          <c:dPt>
            <c:idx val="22"/>
            <c:spPr>
              <a:solidFill>
                <a:srgbClr val="00B0F0"/>
              </a:solidFill>
              <a:ln w="15875">
                <a:solidFill>
                  <a:schemeClr val="accent1"/>
                </a:solidFill>
                <a:prstDash val="solid"/>
              </a:ln>
              <a:effectLst>
                <a:outerShdw blurRad="50800" dist="38100" dir="16200000" rotWithShape="0">
                  <a:prstClr val="black">
                    <a:alpha val="40000"/>
                  </a:prstClr>
                </a:outerShdw>
              </a:effectLst>
            </c:spPr>
          </c:dPt>
          <c:dLbls>
            <c:dLbl>
              <c:idx val="0"/>
              <c:layout>
                <c:manualLayout>
                  <c:x val="0.14649286845032708"/>
                  <c:y val="2.0222794688315809E-3"/>
                </c:manualLayout>
              </c:layout>
              <c:showCatName val="1"/>
            </c:dLbl>
            <c:dLbl>
              <c:idx val="1"/>
              <c:layout>
                <c:manualLayout>
                  <c:x val="0.15674736924185001"/>
                  <c:y val="-4.0445589376631574E-3"/>
                </c:manualLayout>
              </c:layout>
              <c:showCatName val="1"/>
            </c:dLbl>
            <c:dLbl>
              <c:idx val="8"/>
              <c:layout>
                <c:manualLayout>
                  <c:x val="0.14063315371231391"/>
                  <c:y val="-2.0224387034354242E-3"/>
                </c:manualLayout>
              </c:layout>
              <c:showCatName val="1"/>
            </c:dLbl>
            <c:dLbl>
              <c:idx val="12"/>
              <c:layout>
                <c:manualLayout>
                  <c:x val="-0.26515209189509181"/>
                  <c:y val="0"/>
                </c:manualLayout>
              </c:layout>
              <c:showCatName val="1"/>
            </c:dLbl>
            <c:dLbl>
              <c:idx val="19"/>
              <c:layout>
                <c:manualLayout>
                  <c:x val="-3.6623217112581777E-2"/>
                  <c:y val="-5.6623825127284089E-2"/>
                </c:manualLayout>
              </c:layout>
              <c:tx>
                <c:rich>
                  <a:bodyPr/>
                  <a:lstStyle/>
                  <a:p>
                    <a:r>
                      <a:rPr lang="en-US"/>
                      <a:t>EQC Adoption</a:t>
                    </a:r>
                  </a:p>
                </c:rich>
              </c:tx>
              <c:showCatName val="1"/>
            </c:dLbl>
            <c:dLbl>
              <c:idx val="20"/>
              <c:layout>
                <c:manualLayout>
                  <c:x val="-2.1973930267549079E-2"/>
                  <c:y val="-5.662382512728413E-2"/>
                </c:manualLayout>
              </c:layout>
              <c:tx>
                <c:rich>
                  <a:bodyPr/>
                  <a:lstStyle/>
                  <a:p>
                    <a:r>
                      <a:rPr lang="en-US" b="1">
                        <a:solidFill>
                          <a:schemeClr val="bg1">
                            <a:lumMod val="95000"/>
                          </a:schemeClr>
                        </a:solidFill>
                      </a:rPr>
                      <a:t>Submit</a:t>
                    </a:r>
                    <a:r>
                      <a:rPr lang="en-US" b="1"/>
                      <a:t> the final SIP to EPA</a:t>
                    </a:r>
                  </a:p>
                </c:rich>
              </c:tx>
              <c:showCatName val="1"/>
            </c:dLbl>
            <c:delete val="1"/>
            <c:spPr>
              <a:solidFill>
                <a:schemeClr val="tx1"/>
              </a:solidFill>
              <a:scene3d>
                <a:camera prst="orthographicFront"/>
                <a:lightRig rig="threePt" dir="t"/>
              </a:scene3d>
              <a:sp3d>
                <a:bevelT prst="slope"/>
              </a:sp3d>
            </c:spPr>
            <c:txPr>
              <a:bodyPr/>
              <a:lstStyle/>
              <a:p>
                <a:pPr>
                  <a:defRPr b="1">
                    <a:solidFill>
                      <a:schemeClr val="bg1">
                        <a:lumMod val="95000"/>
                      </a:schemeClr>
                    </a:solidFill>
                  </a:defRPr>
                </a:pPr>
                <a:endParaRPr lang="en-US"/>
              </a:p>
            </c:txPr>
          </c:dLbls>
          <c:cat>
            <c:strRef>
              <c:f>Sheet1!$A$5:$A$27</c:f>
              <c:strCache>
                <c:ptCount val="23"/>
                <c:pt idx="0">
                  <c:v>Define Scope</c:v>
                </c:pt>
                <c:pt idx="1">
                  <c:v>SIP Development Plan</c:v>
                </c:pt>
                <c:pt idx="2">
                  <c:v>Approve work on this SIP</c:v>
                </c:pt>
                <c:pt idx="3">
                  <c:v>Fast Track Checklist</c:v>
                </c:pt>
                <c:pt idx="4">
                  <c:v>SIP Developmnet Plan</c:v>
                </c:pt>
                <c:pt idx="5">
                  <c:v>IPP</c:v>
                </c:pt>
                <c:pt idx="6">
                  <c:v>Timeline</c:v>
                </c:pt>
                <c:pt idx="7">
                  <c:v>Submitt SIP Dev. Plant to  EPA and GP MPO</c:v>
                </c:pt>
                <c:pt idx="8">
                  <c:v>SIP Development Phase</c:v>
                </c:pt>
                <c:pt idx="9">
                  <c:v>Emissions Inventory Development</c:v>
                </c:pt>
                <c:pt idx="10">
                  <c:v>Drafting the Plan</c:v>
                </c:pt>
                <c:pt idx="11">
                  <c:v>Review Draft SIP</c:v>
                </c:pt>
                <c:pt idx="12">
                  <c:v>Rulemaking Phase</c:v>
                </c:pt>
                <c:pt idx="13">
                  <c:v>Draft the SIP, Fact Sheet, Notice</c:v>
                </c:pt>
                <c:pt idx="14">
                  <c:v>Review Final SIP, Fact Sheet, Notice</c:v>
                </c:pt>
                <c:pt idx="15">
                  <c:v>Draft plan submitted to EPA, DOJ, Andrea</c:v>
                </c:pt>
                <c:pt idx="16">
                  <c:v>Rulemaking documents due to DA for approval</c:v>
                </c:pt>
                <c:pt idx="17">
                  <c:v>Public Involvement</c:v>
                </c:pt>
                <c:pt idx="18">
                  <c:v>Finalize the SIP</c:v>
                </c:pt>
                <c:pt idx="19">
                  <c:v>Review the SIP</c:v>
                </c:pt>
                <c:pt idx="20">
                  <c:v>Finalized staff report due to directors office</c:v>
                </c:pt>
                <c:pt idx="21">
                  <c:v>EQC adoption </c:v>
                </c:pt>
                <c:pt idx="22">
                  <c:v>Submit the final SIP to EPA</c:v>
                </c:pt>
              </c:strCache>
            </c:strRef>
          </c:cat>
          <c:val>
            <c:numRef>
              <c:f>Sheet1!$D$5:$D$27</c:f>
              <c:numCache>
                <c:formatCode>General</c:formatCode>
                <c:ptCount val="23"/>
                <c:pt idx="0">
                  <c:v>92</c:v>
                </c:pt>
                <c:pt idx="1">
                  <c:v>74</c:v>
                </c:pt>
                <c:pt idx="2">
                  <c:v>7</c:v>
                </c:pt>
                <c:pt idx="3">
                  <c:v>15</c:v>
                </c:pt>
                <c:pt idx="4">
                  <c:v>30</c:v>
                </c:pt>
                <c:pt idx="5">
                  <c:v>30</c:v>
                </c:pt>
                <c:pt idx="6">
                  <c:v>15</c:v>
                </c:pt>
                <c:pt idx="7">
                  <c:v>30</c:v>
                </c:pt>
                <c:pt idx="8" formatCode="0">
                  <c:v>48</c:v>
                </c:pt>
                <c:pt idx="9">
                  <c:v>30</c:v>
                </c:pt>
                <c:pt idx="10">
                  <c:v>30</c:v>
                </c:pt>
                <c:pt idx="11">
                  <c:v>15</c:v>
                </c:pt>
                <c:pt idx="12">
                  <c:v>214</c:v>
                </c:pt>
                <c:pt idx="13">
                  <c:v>15</c:v>
                </c:pt>
                <c:pt idx="14">
                  <c:v>16</c:v>
                </c:pt>
                <c:pt idx="15">
                  <c:v>45</c:v>
                </c:pt>
                <c:pt idx="16">
                  <c:v>7</c:v>
                </c:pt>
                <c:pt idx="17">
                  <c:v>45</c:v>
                </c:pt>
                <c:pt idx="18">
                  <c:v>30</c:v>
                </c:pt>
                <c:pt idx="19">
                  <c:v>30</c:v>
                </c:pt>
                <c:pt idx="20">
                  <c:v>7</c:v>
                </c:pt>
                <c:pt idx="21">
                  <c:v>15</c:v>
                </c:pt>
                <c:pt idx="22">
                  <c:v>15</c:v>
                </c:pt>
              </c:numCache>
            </c:numRef>
          </c:val>
        </c:ser>
        <c:gapWidth val="0"/>
        <c:overlap val="100"/>
        <c:axId val="94755840"/>
        <c:axId val="100091008"/>
      </c:barChart>
      <c:catAx>
        <c:axId val="94755840"/>
        <c:scaling>
          <c:orientation val="minMax"/>
        </c:scaling>
        <c:axPos val="l"/>
        <c:majorGridlines/>
        <c:numFmt formatCode="m/d/yyyy" sourceLinked="1"/>
        <c:tickLblPos val="low"/>
        <c:txPr>
          <a:bodyPr/>
          <a:lstStyle/>
          <a:p>
            <a:pPr>
              <a:defRPr sz="700" b="1" baseline="0">
                <a:latin typeface="Times New Roman" pitchFamily="18" charset="0"/>
              </a:defRPr>
            </a:pPr>
            <a:endParaRPr lang="en-US"/>
          </a:p>
        </c:txPr>
        <c:crossAx val="100091008"/>
        <c:crosses val="autoZero"/>
        <c:auto val="1"/>
        <c:lblAlgn val="ctr"/>
        <c:lblOffset val="100"/>
      </c:catAx>
      <c:valAx>
        <c:axId val="100091008"/>
        <c:scaling>
          <c:orientation val="minMax"/>
          <c:min val="41638"/>
        </c:scaling>
        <c:axPos val="b"/>
        <c:majorGridlines/>
        <c:numFmt formatCode="[$-409]d\-mmm\-yy;@" sourceLinked="0"/>
        <c:majorTickMark val="none"/>
        <c:tickLblPos val="high"/>
        <c:txPr>
          <a:bodyPr rot="-5400000" vert="horz" anchor="ctr" anchorCtr="0"/>
          <a:lstStyle/>
          <a:p>
            <a:pPr>
              <a:defRPr/>
            </a:pPr>
            <a:endParaRPr lang="en-US"/>
          </a:p>
        </c:txPr>
        <c:crossAx val="94755840"/>
        <c:crosses val="autoZero"/>
        <c:crossBetween val="between"/>
        <c:majorUnit val="14"/>
        <c:minorUnit val="7"/>
      </c:valAx>
    </c:plotArea>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50ED81-C49A-4C92-A950-7AE9E359C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jspenill</dc:creator>
  <cp:lastModifiedBy>Aida Biberic</cp:lastModifiedBy>
  <cp:revision>11</cp:revision>
  <cp:lastPrinted>2013-04-04T18:30:00Z</cp:lastPrinted>
  <dcterms:created xsi:type="dcterms:W3CDTF">2014-03-13T20:24:00Z</dcterms:created>
  <dcterms:modified xsi:type="dcterms:W3CDTF">2014-03-15T00:41:00Z</dcterms:modified>
</cp:coreProperties>
</file>