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CB48CE"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w:t>
      </w:r>
      <w:r w:rsidR="00F05645">
        <w:t xml:space="preserve"> amendment</w:t>
      </w:r>
      <w:r>
        <w:t>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483E60" w:rsidRPr="00A209C4">
        <w:rPr>
          <w:rFonts w:asciiTheme="minorHAnsi" w:hAnsiTheme="minorHAnsi" w:cstheme="minorHAnsi"/>
        </w:rPr>
        <w:t>propose</w:t>
      </w:r>
      <w:r w:rsidR="00483E60">
        <w:rPr>
          <w:rFonts w:asciiTheme="minorHAnsi" w:hAnsiTheme="minorHAnsi" w:cstheme="minorHAnsi"/>
        </w:rPr>
        <w:t>s</w:t>
      </w:r>
      <w:r w:rsidR="00483E60" w:rsidRPr="00A209C4">
        <w:rPr>
          <w:rFonts w:asciiTheme="minorHAnsi" w:hAnsiTheme="minorHAnsi" w:cstheme="minorHAnsi"/>
        </w:rPr>
        <w:t xml:space="preserve"> </w:t>
      </w:r>
      <w:r w:rsidR="00483E60">
        <w:rPr>
          <w:rFonts w:asciiTheme="minorHAnsi" w:hAnsiTheme="minorHAnsi" w:cstheme="minorHAnsi"/>
        </w:rPr>
        <w:t>adding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483E60">
        <w:rPr>
          <w:rFonts w:asciiTheme="minorHAnsi" w:hAnsiTheme="minorHAnsi" w:cstheme="minorHAnsi"/>
        </w:rPr>
        <w:t>, and, therefore, 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w:t>
      </w:r>
      <w:r w:rsidR="00C93083">
        <w:rPr>
          <w:rFonts w:asciiTheme="minorHAnsi" w:hAnsiTheme="minorHAnsi" w:cstheme="minorHAnsi"/>
        </w:rPr>
        <w:t xml:space="preserve">1-0028(8) because of a </w:t>
      </w:r>
      <w:r w:rsidR="007D656B">
        <w:rPr>
          <w:rFonts w:asciiTheme="minorHAnsi" w:hAnsiTheme="minorHAnsi" w:cstheme="minorHAnsi"/>
        </w:rPr>
        <w:t xml:space="preserve">U.S. District Court decision </w:t>
      </w:r>
      <w:r w:rsidR="00C93083">
        <w:rPr>
          <w:rFonts w:asciiTheme="minorHAnsi" w:hAnsiTheme="minorHAnsi" w:cstheme="minorHAnsi"/>
        </w:rPr>
        <w:t>(</w:t>
      </w:r>
      <w:r w:rsidR="00C93083">
        <w:rPr>
          <w:lang/>
        </w:rPr>
        <w:t>Northwest Environmental Advocates v. EPA, 3:05-CV-01876-AC, 2012 WL 653757 (D. Or. Feb. 28, 2012))</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lastRenderedPageBreak/>
        <w:t>How will DEQ know the rule has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DC4EAA" w:rsidP="00570A2A">
            <w:pPr>
              <w:spacing w:after="120"/>
              <w:ind w:left="0"/>
              <w:rPr>
                <w:rFonts w:asciiTheme="minorHAnsi" w:hAnsiTheme="minorHAnsi" w:cstheme="minorHAnsi"/>
                <w:bCs/>
                <w:sz w:val="24"/>
                <w:szCs w:val="24"/>
                <w:highlight w:val="lightGray"/>
              </w:rPr>
            </w:pPr>
            <w:r>
              <w:rPr>
                <w:rFonts w:asciiTheme="minorHAnsi" w:hAnsiTheme="minorHAnsi" w:cstheme="minorHAnsi"/>
                <w:bCs/>
                <w:sz w:val="24"/>
                <w:szCs w:val="24"/>
              </w:rPr>
              <w:t>OAR</w:t>
            </w:r>
            <w:r w:rsidR="00483E60" w:rsidRPr="00FD64C1">
              <w:rPr>
                <w:rFonts w:asciiTheme="minorHAnsi" w:hAnsiTheme="minorHAnsi" w:cstheme="minorHAnsi"/>
                <w:bCs/>
                <w:sz w:val="24"/>
                <w:szCs w:val="24"/>
              </w:rPr>
              <w:t xml:space="preserve"> 340-041-8033</w:t>
            </w:r>
            <w:r w:rsidR="00483E60"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DC4EAA" w:rsidP="00570A2A">
            <w:pPr>
              <w:ind w:left="0" w:right="14"/>
              <w:rPr>
                <w:rFonts w:asciiTheme="minorHAnsi" w:hAnsiTheme="minorHAnsi" w:cstheme="minorHAnsi"/>
                <w:bCs/>
                <w:sz w:val="24"/>
                <w:szCs w:val="24"/>
              </w:rPr>
            </w:pPr>
            <w:r>
              <w:rPr>
                <w:rFonts w:asciiTheme="minorHAnsi" w:hAnsiTheme="minorHAnsi" w:cstheme="minorHAnsi"/>
                <w:bCs/>
                <w:sz w:val="24"/>
                <w:szCs w:val="24"/>
              </w:rPr>
              <w:t>OAR</w:t>
            </w:r>
            <w:r w:rsidR="00483E60" w:rsidRPr="00122E68">
              <w:rPr>
                <w:rFonts w:asciiTheme="minorHAnsi" w:hAnsiTheme="minorHAnsi" w:cstheme="minorHAnsi"/>
                <w:bCs/>
                <w:sz w:val="24"/>
                <w:szCs w:val="24"/>
              </w:rPr>
              <w:t xml:space="preserve">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1"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1"/>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CB48CE" w:rsidP="00570A2A">
            <w:pPr>
              <w:ind w:left="72"/>
              <w:rPr>
                <w:bCs/>
                <w:color w:val="000000" w:themeColor="text1"/>
                <w:sz w:val="24"/>
                <w:szCs w:val="24"/>
              </w:rPr>
            </w:pPr>
            <w:hyperlink r:id="rId21"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CB48CE" w:rsidP="00570A2A">
            <w:pPr>
              <w:ind w:left="72"/>
              <w:rPr>
                <w:bCs/>
                <w:color w:val="000000" w:themeColor="text1"/>
              </w:rPr>
            </w:pPr>
            <w:hyperlink r:id="rId22"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CB48CE" w:rsidP="00570A2A">
            <w:pPr>
              <w:pStyle w:val="Default"/>
              <w:ind w:left="0"/>
              <w:rPr>
                <w:rFonts w:ascii="Times New Roman" w:hAnsi="Times New Roman" w:cs="Times New Roman"/>
                <w:b w:val="0"/>
                <w:color w:val="0000FF"/>
              </w:rPr>
            </w:pPr>
            <w:hyperlink r:id="rId23"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CB48CE" w:rsidP="00570A2A">
            <w:pPr>
              <w:ind w:left="0"/>
              <w:rPr>
                <w:bCs/>
                <w:color w:val="000000" w:themeColor="text1"/>
              </w:rPr>
            </w:pPr>
            <w:hyperlink r:id="rId24"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CB48CE" w:rsidP="00570A2A">
            <w:pPr>
              <w:ind w:left="0"/>
              <w:rPr>
                <w:bCs/>
                <w:color w:val="000000" w:themeColor="text1"/>
              </w:rPr>
            </w:pPr>
            <w:hyperlink r:id="rId25"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CB48CE"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CB48CE"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CB48CE"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CB48CE" w:rsidP="00570A2A">
            <w:pPr>
              <w:pStyle w:val="Default"/>
              <w:ind w:left="0"/>
              <w:rPr>
                <w:rFonts w:asciiTheme="minorHAnsi" w:hAnsiTheme="minorHAnsi" w:cstheme="minorHAnsi"/>
                <w:b w:val="0"/>
              </w:rPr>
            </w:pPr>
            <w:hyperlink r:id="rId29"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2" w:name="RANGE!A226:B243"/>
      <w:bookmarkEnd w:id="2"/>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0"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would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Indirect Impacts—none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sidR="002D0DB1">
        <w:rPr>
          <w:rFonts w:asciiTheme="minorHAnsi" w:hAnsiTheme="minorHAnsi" w:cstheme="minorHAnsi"/>
          <w:color w:val="000000"/>
        </w:rPr>
        <w:t>.</w:t>
      </w:r>
      <w:r>
        <w:rPr>
          <w:rFonts w:asciiTheme="minorHAnsi" w:hAnsiTheme="minorHAnsi" w:cstheme="minorHAnsi"/>
          <w:color w:val="000000"/>
        </w:rPr>
        <w:t xml:space="preserve"> </w:t>
      </w:r>
      <w:r w:rsidR="002D0DB1">
        <w:rPr>
          <w:rFonts w:asciiTheme="minorHAnsi" w:hAnsiTheme="minorHAnsi" w:cstheme="minorHAnsi"/>
          <w:color w:val="000000"/>
        </w:rPr>
        <w:t>F</w:t>
      </w:r>
      <w:r w:rsidRPr="0057523F">
        <w:rPr>
          <w:rFonts w:asciiTheme="minorHAnsi" w:hAnsiTheme="minorHAnsi" w:cstheme="minorHAnsi"/>
          <w:color w:val="000000"/>
        </w:rPr>
        <w:t>ive</w:t>
      </w:r>
      <w:r w:rsidR="002D0DB1">
        <w:rPr>
          <w:rFonts w:asciiTheme="minorHAnsi" w:hAnsiTheme="minorHAnsi" w:cstheme="minorHAnsi"/>
          <w:color w:val="000000"/>
        </w:rPr>
        <w:t xml:space="preserve"> of the waterbodies</w:t>
      </w:r>
      <w:r w:rsidRPr="0057523F">
        <w:rPr>
          <w:rFonts w:asciiTheme="minorHAnsi" w:hAnsiTheme="minorHAnsi" w:cstheme="minorHAnsi"/>
          <w:color w:val="000000"/>
        </w:rPr>
        <w:t xml:space="preser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00DC0CC7">
        <w:rPr>
          <w:rFonts w:asciiTheme="minorHAnsi" w:hAnsiTheme="minorHAnsi" w:cstheme="minorHAnsi"/>
        </w:rPr>
        <w:t xml:space="preserve"> because of the different duration exposures associated with the proposed criteria</w:t>
      </w:r>
      <w:r w:rsidRPr="005E22AD">
        <w:rPr>
          <w:rFonts w:asciiTheme="minorHAnsi" w:hAnsiTheme="minorHAnsi" w:cstheme="minorHAnsi"/>
        </w:rPr>
        <w:t>.</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w:t>
      </w:r>
      <w:r w:rsidRPr="005E7B2A">
        <w:rPr>
          <w:rFonts w:asciiTheme="minorHAnsi" w:hAnsiTheme="minorHAnsi" w:cstheme="minorHAnsi"/>
        </w:rPr>
        <w:lastRenderedPageBreak/>
        <w:t>Additional data points would better characterize the discharge, minimize statistical 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 xml:space="preserve">preserve the </w:t>
      </w:r>
      <w:r w:rsidR="0051131D">
        <w:rPr>
          <w:rFonts w:asciiTheme="minorHAnsi" w:hAnsiTheme="minorHAnsi" w:cstheme="minorHAnsi"/>
        </w:rPr>
        <w:t xml:space="preserve">previous, </w:t>
      </w:r>
      <w:r w:rsidRPr="00637299">
        <w:rPr>
          <w:rFonts w:asciiTheme="minorHAnsi" w:hAnsiTheme="minorHAnsi" w:cstheme="minorHAnsi"/>
        </w:rPr>
        <w:t>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w:t>
      </w:r>
      <w:r w:rsidR="0051131D">
        <w:rPr>
          <w:rFonts w:asciiTheme="minorHAnsi" w:hAnsiTheme="minorHAnsi" w:cstheme="minorHAnsi"/>
        </w:rPr>
        <w:t xml:space="preserve">the </w:t>
      </w:r>
      <w:proofErr w:type="spellStart"/>
      <w:r w:rsidR="0051131D">
        <w:rPr>
          <w:rFonts w:asciiTheme="minorHAnsi" w:hAnsiTheme="minorHAnsi" w:cstheme="minorHAnsi"/>
        </w:rPr>
        <w:t>antidegradation</w:t>
      </w:r>
      <w:proofErr w:type="spellEnd"/>
      <w:r w:rsidR="0051131D">
        <w:rPr>
          <w:rFonts w:asciiTheme="minorHAnsi" w:hAnsiTheme="minorHAnsi" w:cstheme="minorHAnsi"/>
        </w:rPr>
        <w:t xml:space="preserve"> requirements in </w:t>
      </w:r>
      <w:r w:rsidRPr="00637299">
        <w:rPr>
          <w:rFonts w:asciiTheme="minorHAnsi" w:hAnsiTheme="minorHAnsi" w:cstheme="minorHAnsi"/>
        </w:rPr>
        <w:t xml:space="preserve">Clean Water Act 303(d)(4)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1"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w:t>
            </w:r>
            <w:r w:rsidRPr="00C73AF8">
              <w:rPr>
                <w:rFonts w:asciiTheme="minorHAnsi" w:hAnsiTheme="minorHAnsi" w:cstheme="minorHAnsi"/>
                <w:sz w:val="24"/>
                <w:szCs w:val="24"/>
              </w:rPr>
              <w:lastRenderedPageBreak/>
              <w:t xml:space="preserve">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DEQ does not track how many of the 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lastRenderedPageBreak/>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2"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3"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4"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35"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6"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3" w:name="AlternativesConsidered"/>
      <w:bookmarkStart w:id="4" w:name="RANGE!C35"/>
      <w:r w:rsidRPr="006807BF">
        <w:rPr>
          <w:rFonts w:asciiTheme="majorHAnsi" w:hAnsiTheme="majorHAnsi" w:cstheme="majorHAnsi"/>
          <w:bCs/>
          <w:color w:val="000000" w:themeColor="text1"/>
          <w:sz w:val="22"/>
          <w:szCs w:val="22"/>
        </w:rPr>
        <w:t>What alternatives did DEQ consider</w:t>
      </w:r>
      <w:bookmarkEnd w:id="3"/>
      <w:r w:rsidRPr="006807BF">
        <w:rPr>
          <w:rFonts w:asciiTheme="majorHAnsi" w:hAnsiTheme="majorHAnsi" w:cstheme="majorHAnsi"/>
          <w:bCs/>
          <w:color w:val="000000" w:themeColor="text1"/>
          <w:sz w:val="22"/>
          <w:szCs w:val="22"/>
        </w:rPr>
        <w:t xml:space="preserve"> if any?</w:t>
      </w:r>
      <w:bookmarkEnd w:id="4"/>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7"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CB48CE"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8"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CB48CE"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42176F" w:rsidRPr="005C1788" w:rsidRDefault="00641511" w:rsidP="005C1788">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w:t>
      </w:r>
      <w:r w:rsidR="005C1788">
        <w:rPr>
          <w:rFonts w:asciiTheme="minorHAnsi" w:hAnsiTheme="minorHAnsi" w:cstheme="minorHAnsi"/>
          <w:bCs/>
        </w:rPr>
        <w:t xml:space="preserve">2004 </w:t>
      </w:r>
      <w:r w:rsidR="003567CE">
        <w:rPr>
          <w:rFonts w:asciiTheme="minorHAnsi" w:hAnsiTheme="minorHAnsi" w:cstheme="minorHAnsi"/>
          <w:bCs/>
        </w:rPr>
        <w:t>criteria in January 2013, Oregon dischargers h</w:t>
      </w:r>
      <w:r w:rsidR="000E64FC">
        <w:rPr>
          <w:rFonts w:asciiTheme="minorHAnsi" w:hAnsiTheme="minorHAnsi" w:cstheme="minorHAnsi"/>
          <w:bCs/>
        </w:rPr>
        <w:t xml:space="preserve">ave been unable to plan for </w:t>
      </w:r>
      <w:r w:rsidR="003567CE">
        <w:rPr>
          <w:rFonts w:asciiTheme="minorHAnsi" w:hAnsiTheme="minorHAnsi" w:cstheme="minorHAnsi"/>
          <w:bCs/>
        </w:rPr>
        <w:t xml:space="preserve">potential pollution control investments because of the </w:t>
      </w:r>
      <w:r w:rsidR="003567CE">
        <w:rPr>
          <w:rFonts w:asciiTheme="minorHAnsi" w:hAnsiTheme="minorHAnsi" w:cstheme="minorHAnsi"/>
          <w:bCs/>
        </w:rPr>
        <w:lastRenderedPageBreak/>
        <w:t>uncertainty of which ammonia criteria would ultimately be approved by EPA.</w:t>
      </w:r>
      <w:r w:rsidR="005C1788">
        <w:rPr>
          <w:rFonts w:asciiTheme="minorHAnsi" w:hAnsiTheme="minorHAnsi" w:cstheme="minorHAnsi"/>
          <w:bCs/>
        </w:rPr>
        <w:t xml:space="preserve"> </w:t>
      </w:r>
      <w:r w:rsidR="00755923">
        <w:rPr>
          <w:rFonts w:asciiTheme="minorHAnsi" w:hAnsiTheme="minorHAnsi" w:cstheme="minorHAnsi"/>
          <w:bCs/>
        </w:rPr>
        <w:t>For these reasons</w:t>
      </w:r>
      <w:r w:rsidR="00294E8B">
        <w:rPr>
          <w:rFonts w:asciiTheme="minorHAnsi" w:hAnsiTheme="minorHAnsi" w:cstheme="minorHAnsi"/>
          <w:bCs/>
        </w:rPr>
        <w:t xml:space="preserve"> and other reasons indicated below</w:t>
      </w:r>
      <w:r w:rsidR="00755923">
        <w:rPr>
          <w:rFonts w:asciiTheme="minorHAnsi" w:hAnsiTheme="minorHAnsi" w:cstheme="minorHAnsi"/>
          <w:bCs/>
        </w:rPr>
        <w:t>, DEQ proposes to adopt the ammonia revisions now</w:t>
      </w:r>
      <w:r w:rsidR="00294E8B">
        <w:rPr>
          <w:rFonts w:asciiTheme="minorHAnsi" w:hAnsiTheme="minorHAnsi" w:cstheme="minorHAnsi"/>
          <w:bCs/>
        </w:rPr>
        <w:t>.</w:t>
      </w:r>
      <w:r w:rsidR="0042176F">
        <w:rPr>
          <w:rFonts w:ascii="Calibri" w:hAnsi="Calibri"/>
        </w:rPr>
        <w:t xml:space="preserve"> </w:t>
      </w:r>
    </w:p>
    <w:p w:rsidR="0042176F" w:rsidRDefault="0042176F" w:rsidP="00641511">
      <w:pPr>
        <w:spacing w:after="120"/>
        <w:ind w:left="2970" w:right="630" w:hanging="1710"/>
        <w:rPr>
          <w:rFonts w:asciiTheme="minorHAnsi" w:hAnsiTheme="minorHAnsi" w:cstheme="minorHAnsi"/>
          <w:bCs/>
        </w:rPr>
      </w:pPr>
    </w:p>
    <w:p w:rsidR="005C1788" w:rsidRDefault="003567CE" w:rsidP="002C6268">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w:t>
      </w:r>
      <w:r w:rsidR="0042176F">
        <w:rPr>
          <w:rFonts w:asciiTheme="minorHAnsi" w:hAnsiTheme="minorHAnsi" w:cstheme="minorHAnsi"/>
          <w:bCs/>
        </w:rPr>
        <w:t xml:space="preserve">EPA’s latest recommendations are </w:t>
      </w:r>
      <w:r>
        <w:rPr>
          <w:rFonts w:asciiTheme="minorHAnsi" w:hAnsiTheme="minorHAnsi" w:cstheme="minorHAnsi"/>
          <w:bCs/>
        </w:rPr>
        <w:t>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42176F">
        <w:rPr>
          <w:rFonts w:asciiTheme="minorHAnsi" w:hAnsiTheme="minorHAnsi" w:cstheme="minorHAnsi"/>
          <w:bCs/>
        </w:rPr>
        <w:t xml:space="preserve">EPA has been working </w:t>
      </w:r>
      <w:r w:rsidR="00CB070C">
        <w:rPr>
          <w:rFonts w:asciiTheme="minorHAnsi" w:hAnsiTheme="minorHAnsi" w:cstheme="minorHAnsi"/>
          <w:bCs/>
        </w:rPr>
        <w:t xml:space="preserve">with NMFS to </w:t>
      </w:r>
      <w:r w:rsidR="0042176F">
        <w:rPr>
          <w:rFonts w:asciiTheme="minorHAnsi" w:hAnsiTheme="minorHAnsi" w:cstheme="minorHAnsi"/>
          <w:bCs/>
        </w:rPr>
        <w:t xml:space="preserve">address the Reasonable and Prudent Alternatives in </w:t>
      </w:r>
      <w:r w:rsidR="00CB070C">
        <w:rPr>
          <w:rFonts w:asciiTheme="minorHAnsi" w:hAnsiTheme="minorHAnsi" w:cstheme="minorHAnsi"/>
          <w:bCs/>
        </w:rPr>
        <w:t>the Biological Opinion.</w:t>
      </w:r>
      <w:r w:rsidR="00780315">
        <w:rPr>
          <w:rFonts w:asciiTheme="minorHAnsi" w:hAnsiTheme="minorHAnsi" w:cstheme="minorHAnsi"/>
          <w:bCs/>
        </w:rPr>
        <w:t xml:space="preserve"> EPA </w:t>
      </w:r>
      <w:r w:rsidR="0051131D">
        <w:rPr>
          <w:rFonts w:asciiTheme="minorHAnsi" w:hAnsiTheme="minorHAnsi" w:cstheme="minorHAnsi"/>
          <w:bCs/>
        </w:rPr>
        <w:t xml:space="preserve">has communicated to DEQ that it </w:t>
      </w:r>
      <w:r w:rsidR="0042176F">
        <w:rPr>
          <w:rFonts w:asciiTheme="minorHAnsi" w:hAnsiTheme="minorHAnsi" w:cstheme="minorHAnsi"/>
          <w:bCs/>
        </w:rPr>
        <w:t>remains</w:t>
      </w:r>
      <w:r w:rsidR="00191404">
        <w:rPr>
          <w:rFonts w:asciiTheme="minorHAnsi" w:hAnsiTheme="minorHAnsi" w:cstheme="minorHAnsi"/>
          <w:bCs/>
        </w:rPr>
        <w:t xml:space="preserve"> optimistic </w:t>
      </w:r>
      <w:r w:rsidR="0042176F">
        <w:rPr>
          <w:rFonts w:asciiTheme="minorHAnsi" w:hAnsiTheme="minorHAnsi" w:cstheme="minorHAnsi"/>
          <w:bCs/>
        </w:rPr>
        <w:t>that its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AD2525" w:rsidRDefault="00AD2525" w:rsidP="002C6268">
      <w:pPr>
        <w:spacing w:after="120"/>
        <w:ind w:left="2970" w:right="630" w:hanging="1710"/>
        <w:rPr>
          <w:rFonts w:asciiTheme="minorHAnsi" w:hAnsiTheme="minorHAnsi" w:cstheme="minorHAnsi"/>
          <w:bCs/>
        </w:rPr>
      </w:pPr>
    </w:p>
    <w:p w:rsidR="00AD2525" w:rsidRDefault="00AD2525" w:rsidP="00AD2525">
      <w:pPr>
        <w:spacing w:after="120"/>
        <w:ind w:left="2970" w:right="630"/>
        <w:rPr>
          <w:rFonts w:asciiTheme="minorHAnsi" w:hAnsiTheme="minorHAnsi" w:cstheme="minorHAnsi"/>
          <w:bCs/>
        </w:rPr>
      </w:pPr>
      <w:r>
        <w:rPr>
          <w:rFonts w:asciiTheme="minorHAnsi" w:hAnsiTheme="minorHAnsi" w:cstheme="minorHAnsi"/>
        </w:rPr>
        <w:t xml:space="preserve">EQC’s adoption of revised criteria must go to EPA for approval before the criteria become effective for CWA purposes. DEQ submission to EPA requires EPA to respond within 90 days. Therefore, it is in DEQ’s best interest to adopt criteria now, so that EPA continues working with NMFS in a timely manner and avoid further delays. In addition, </w:t>
      </w:r>
      <w:r>
        <w:rPr>
          <w:rFonts w:asciiTheme="minorHAnsi" w:hAnsiTheme="minorHAnsi" w:cstheme="minorHAnsi"/>
          <w:bCs/>
        </w:rPr>
        <w:t>according to CWA regulations, DEQ is required to address EPA disapprovals within 90 days of receiving EPA’s action. For these reasons, DEQ believes it is prudent to adopt these ammonia revisions now. If EPA determines that Oregon’s</w:t>
      </w:r>
      <w:r>
        <w:rPr>
          <w:rFonts w:asciiTheme="minorHAnsi" w:hAnsiTheme="minorHAnsi" w:cstheme="minorHAnsi"/>
        </w:rPr>
        <w:t xml:space="preserve"> adoption of its 2013 recommended criteria would not be approvable, DEQ would seek guidance from EPA on acceptable alternatives. </w:t>
      </w:r>
      <w:r>
        <w:rPr>
          <w:rFonts w:asciiTheme="minorHAnsi" w:hAnsiTheme="minorHAnsi" w:cstheme="minorHAnsi"/>
          <w:bCs/>
        </w:rPr>
        <w:t xml:space="preserve"> </w:t>
      </w:r>
    </w:p>
    <w:p w:rsidR="00A1105D" w:rsidRDefault="00A1105D" w:rsidP="00AD2525">
      <w:pPr>
        <w:spacing w:after="120"/>
        <w:ind w:left="0" w:right="63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w:t>
      </w:r>
      <w:r w:rsidR="00DC0CC7">
        <w:rPr>
          <w:rFonts w:asciiTheme="minorHAnsi" w:hAnsiTheme="minorHAnsi" w:cstheme="minorHAnsi"/>
          <w:bCs/>
        </w:rPr>
        <w:t xml:space="preserve"> and interested parties, as appropriate,</w:t>
      </w:r>
      <w:r>
        <w:rPr>
          <w:rFonts w:asciiTheme="minorHAnsi" w:hAnsiTheme="minorHAnsi" w:cstheme="minorHAnsi"/>
          <w:bCs/>
        </w:rPr>
        <w:t xml:space="preserve"> 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4D4559" w:rsidRDefault="004D4559" w:rsidP="00641511">
      <w:pPr>
        <w:pStyle w:val="ListParagraph"/>
        <w:spacing w:after="120"/>
        <w:ind w:left="2880" w:right="634"/>
        <w:contextualSpacing w:val="0"/>
        <w:rPr>
          <w:rFonts w:asciiTheme="minorHAnsi" w:hAnsiTheme="minorHAnsi" w:cstheme="minorHAnsi"/>
        </w:rPr>
      </w:pP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4D4559" w:rsidRDefault="004D4559" w:rsidP="001107B0">
      <w:pPr>
        <w:pStyle w:val="ListParagraph"/>
        <w:spacing w:after="120"/>
        <w:ind w:left="2880" w:right="634"/>
        <w:contextualSpacing w:val="0"/>
        <w:rPr>
          <w:rFonts w:asciiTheme="minorHAnsi" w:hAnsiTheme="minorHAnsi" w:cstheme="minorHAnsi"/>
        </w:rPr>
      </w:pP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 xml:space="preserve">d other situations in which water quality </w:t>
      </w:r>
      <w:proofErr w:type="gramStart"/>
      <w:r w:rsidR="00C725E0">
        <w:t>criteria are unattainable due to natural conditions</w:t>
      </w:r>
      <w:r w:rsidR="004D4559">
        <w:t>,</w:t>
      </w:r>
      <w:r w:rsidR="00294E8B">
        <w:t xml:space="preserve"> </w:t>
      </w:r>
      <w:r w:rsidR="002D3856">
        <w:t xml:space="preserve">and </w:t>
      </w:r>
      <w:r w:rsidR="005E6248">
        <w:t>expects</w:t>
      </w:r>
      <w:proofErr w:type="gramEnd"/>
      <w:r w:rsidR="005E6248">
        <w:t xml:space="preserve">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w:t>
      </w:r>
      <w:r w:rsidR="004D4559">
        <w:t xml:space="preserve">an </w:t>
      </w:r>
      <w:r w:rsidR="00FE0388">
        <w:t xml:space="preserve">opportunity to comment on the </w:t>
      </w:r>
      <w:r w:rsidR="005E6248">
        <w:t xml:space="preserve">proposed revisions to the </w:t>
      </w:r>
      <w:r w:rsidR="00FE0388">
        <w:t>temperature standard. </w:t>
      </w:r>
      <w:r w:rsidR="00301BF8" w:rsidDel="00301BF8">
        <w:t xml:space="preserve"> </w:t>
      </w: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 xml:space="preserve">DEQ added </w:t>
      </w:r>
      <w:r w:rsidR="00C93083">
        <w:t xml:space="preserve">the lawsuit citation </w:t>
      </w:r>
      <w:r w:rsidR="00C61FBC">
        <w:t>under the Statement of Need</w:t>
      </w:r>
      <w:r>
        <w:t xml:space="preserve"> section in this report</w:t>
      </w:r>
      <w:r w:rsidR="00C93083">
        <w:t xml:space="preserve"> for better clarification.</w:t>
      </w:r>
      <w:r>
        <w:t xml:space="preserve">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AE5146" w:rsidRPr="00AE5146" w:rsidRDefault="00611F72" w:rsidP="00AE5146">
      <w:pPr>
        <w:autoSpaceDE w:val="0"/>
        <w:autoSpaceDN w:val="0"/>
        <w:ind w:left="2880" w:right="648" w:hanging="2160"/>
        <w:rPr>
          <w:rFonts w:asciiTheme="minorHAnsi" w:hAnsiTheme="minorHAnsi" w:cstheme="minorHAnsi"/>
          <w:color w:val="00000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E5146" w:rsidRPr="00AE5146">
        <w:rPr>
          <w:rFonts w:asciiTheme="minorHAnsi" w:hAnsiTheme="minorHAnsi" w:cstheme="minorHAnsi"/>
        </w:rPr>
        <w:t>This rulemaking</w:t>
      </w:r>
      <w:r w:rsidR="00AE5146" w:rsidRPr="00AE5146">
        <w:rPr>
          <w:rFonts w:asciiTheme="minorHAnsi" w:hAnsiTheme="minorHAnsi" w:cstheme="minorHAnsi"/>
          <w:color w:val="000000"/>
        </w:rPr>
        <w:t xml:space="preserve"> proposes to revise freshwater ammonia criteria based on the most current data. DEQ is not revising its mixing zone policy as part of this rulemaking. DEQ generally addresses the concern of mixing zone impacts upon non-mobile shellfish communities by limiting the size and extant of the mixing zones in accordance with state rules (OAR 340-041-0053) and current guidance (Regulated Mixing Zone IMD Vol. 1). The mixing zone design standards embodied in the rules and guidance are to ensure free passage of aquatic organisms, including free-floating mussel </w:t>
      </w:r>
      <w:proofErr w:type="spellStart"/>
      <w:r w:rsidR="00AE5146" w:rsidRPr="00AE5146">
        <w:rPr>
          <w:rFonts w:asciiTheme="minorHAnsi" w:hAnsiTheme="minorHAnsi" w:cstheme="minorHAnsi"/>
          <w:color w:val="000000"/>
        </w:rPr>
        <w:t>glochidia</w:t>
      </w:r>
      <w:proofErr w:type="spellEnd"/>
      <w:r w:rsidR="00AE5146" w:rsidRPr="00AE5146">
        <w:rPr>
          <w:rFonts w:asciiTheme="minorHAnsi" w:hAnsiTheme="minorHAnsi" w:cstheme="minorHAnsi"/>
          <w:color w:val="000000"/>
        </w:rPr>
        <w:t>, past the immediate area of the discharge.</w:t>
      </w:r>
    </w:p>
    <w:p w:rsidR="00AE5146" w:rsidRPr="00AE5146" w:rsidRDefault="00AE5146" w:rsidP="00AE5146">
      <w:pPr>
        <w:autoSpaceDE w:val="0"/>
        <w:autoSpaceDN w:val="0"/>
        <w:ind w:left="3240" w:right="648" w:hanging="360"/>
        <w:rPr>
          <w:rFonts w:asciiTheme="minorHAnsi" w:hAnsiTheme="minorHAnsi" w:cstheme="minorHAnsi"/>
          <w:color w:val="000000"/>
        </w:rPr>
      </w:pPr>
    </w:p>
    <w:p w:rsidR="00AE5146" w:rsidRPr="00AE5146" w:rsidRDefault="00AE5146" w:rsidP="00AE5146">
      <w:pPr>
        <w:ind w:left="2880" w:right="648"/>
        <w:rPr>
          <w:rFonts w:asciiTheme="minorHAnsi" w:hAnsiTheme="minorHAnsi" w:cstheme="minorHAnsi"/>
          <w:color w:val="1F497D"/>
        </w:rPr>
      </w:pPr>
      <w:r w:rsidRPr="00AE5146">
        <w:rPr>
          <w:rFonts w:asciiTheme="minorHAnsi" w:hAnsiTheme="minorHAnsi" w:cstheme="minorHAnsi"/>
          <w:color w:val="000000"/>
        </w:rPr>
        <w:t>DEQ does not believe it is necessary to require dischargers to collect and address evidence of localized extirpations of freshwater mussels. DEQ’s proposed amendments to the ammonia criteria are already based on the assumption that mussels are present in all freshwater systems. Therefore, the criteria should protect most mussels and snails that are present or could be present in the future. If a third party wished to support site-specific criteria based on the justification that mussels are not present at a site, DEQ would require a rigorous mussel survey, including evidence indicating that mussels have not likely been present at the site since prior to 1975.</w:t>
      </w:r>
    </w:p>
    <w:p w:rsidR="00AE5146" w:rsidRDefault="00AE5146" w:rsidP="00495352">
      <w:pPr>
        <w:autoSpaceDE w:val="0"/>
        <w:autoSpaceDN w:val="0"/>
        <w:ind w:left="2880" w:right="648" w:hanging="1800"/>
        <w:rPr>
          <w:rFonts w:asciiTheme="minorHAnsi" w:hAnsiTheme="minorHAnsi" w:cstheme="minorHAnsi"/>
          <w:color w:val="70481C" w:themeColor="accent6" w:themeShade="80"/>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0"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5" w:name="AdvisoryCommittee"/>
      <w:r w:rsidRPr="006807BF">
        <w:rPr>
          <w:rFonts w:asciiTheme="majorHAnsi" w:hAnsiTheme="majorHAnsi" w:cstheme="majorHAnsi"/>
          <w:bCs/>
          <w:color w:val="000000" w:themeColor="text1"/>
          <w:sz w:val="22"/>
          <w:szCs w:val="22"/>
        </w:rPr>
        <w:t>Advisory committee</w:t>
      </w:r>
      <w:bookmarkEnd w:id="5"/>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CB48CE"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CB48CE" w:rsidRPr="00C11796">
        <w:rPr>
          <w:rFonts w:asciiTheme="majorHAnsi" w:hAnsiTheme="majorHAnsi" w:cstheme="majorHAnsi"/>
        </w:rPr>
        <w:fldChar w:fldCharType="separate"/>
      </w:r>
      <w:r>
        <w:rPr>
          <w:rFonts w:asciiTheme="majorHAnsi" w:hAnsiTheme="majorHAnsi" w:cstheme="majorHAnsi"/>
          <w:noProof/>
        </w:rPr>
        <w:t>1</w:t>
      </w:r>
      <w:r w:rsidR="00CB48CE"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1"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 xml:space="preserve">DEQ shares general rulemaking information </w:t>
      </w:r>
      <w:commentRangeStart w:id="6"/>
      <w:r w:rsidRPr="0094060F">
        <w:rPr>
          <w:rFonts w:asciiTheme="minorHAnsi" w:hAnsiTheme="minorHAnsi" w:cstheme="minorHAnsi"/>
          <w:bCs/>
        </w:rPr>
        <w:t>with EQC through the monthly Director’s Report</w:t>
      </w:r>
      <w:commentRangeEnd w:id="6"/>
      <w:r w:rsidR="00FB26EE">
        <w:rPr>
          <w:rStyle w:val="CommentReference"/>
        </w:rPr>
        <w:commentReference w:id="6"/>
      </w:r>
      <w:r w:rsidRPr="0094060F">
        <w:rPr>
          <w:rFonts w:asciiTheme="minorHAnsi" w:hAnsiTheme="minorHAnsi" w:cstheme="minorHAnsi"/>
          <w:bCs/>
        </w:rPr>
        <w: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3"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4"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5"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6"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CB48CE" w:rsidP="00DA798F">
      <w:pPr>
        <w:pStyle w:val="ListParagraph"/>
        <w:spacing w:after="120"/>
        <w:ind w:left="1440" w:right="900"/>
        <w:outlineLvl w:val="9"/>
        <w:rPr>
          <w:rStyle w:val="Emphasis"/>
        </w:rPr>
      </w:pPr>
      <w:r w:rsidRPr="00CB48CE">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C93083" w:rsidRPr="001A4DE1" w:rsidRDefault="00C93083"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C93083" w:rsidRPr="001A4DE1" w:rsidRDefault="00C93083"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C93083" w:rsidRDefault="00C93083"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Pr>
          <w:rFonts w:asciiTheme="minorHAnsi" w:hAnsiTheme="minorHAnsi" w:cstheme="minorHAnsi"/>
          <w:bCs/>
          <w:color w:val="000000" w:themeColor="text1"/>
        </w:rPr>
        <w:t xml:space="preserve">. DEQ received </w:t>
      </w:r>
      <w:r w:rsidRPr="00E81582">
        <w:rPr>
          <w:rStyle w:val="Emphasis"/>
        </w:rPr>
        <w:t>##</w:t>
      </w:r>
      <w:r>
        <w:rPr>
          <w:rFonts w:asciiTheme="minorHAnsi" w:hAnsiTheme="minorHAnsi" w:cstheme="minorHAnsi"/>
          <w:bCs/>
          <w:color w:val="000000" w:themeColor="text1"/>
        </w:rPr>
        <w:t xml:space="preserve">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commentRangeStart w:id="7"/>
      <w:r w:rsidRPr="00D13EA4">
        <w:t>Presiding Officers’ Record</w:t>
      </w:r>
      <w:commentRangeEnd w:id="7"/>
      <w:r w:rsidR="0042176F">
        <w:rPr>
          <w:rStyle w:val="CommentReference"/>
          <w:rFonts w:ascii="Times New Roman" w:hAnsi="Times New Roman" w:cs="Times New Roman"/>
          <w:bCs w:val="0"/>
          <w:color w:val="auto"/>
        </w:rPr>
        <w:commentReference w:id="7"/>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xml:space="preserve">. DEQ staff presenters were Andrea Matzke, Aron </w:t>
      </w:r>
      <w:proofErr w:type="spellStart"/>
      <w:r>
        <w:t>Borok</w:t>
      </w:r>
      <w:proofErr w:type="spellEnd"/>
      <w:r>
        <w:t xml:space="preserve"> and Spencer Bohaboy.</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informal discussion with the attendee and </w:t>
      </w:r>
      <w:r w:rsidR="00E771DC">
        <w:t>answered</w:t>
      </w:r>
      <w:r>
        <w:t xml:space="preserve"> question</w:t>
      </w:r>
      <w:r w:rsidR="00E771DC">
        <w:t>s</w:t>
      </w:r>
      <w:r>
        <w:t xml:space="preserve"> </w:t>
      </w:r>
      <w:r w:rsidR="00FF33AE">
        <w:t xml:space="preserve">as </w:t>
      </w:r>
      <w:r w:rsidR="00C06C90">
        <w:t xml:space="preserve">they </w:t>
      </w:r>
      <w:r w:rsidR="00FF33AE">
        <w:t>were able</w:t>
      </w:r>
      <w:r>
        <w:t xml:space="preserve">.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would 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rsidR="00FC3847" w:rsidRPr="00FC3847" w:rsidRDefault="00FC3847" w:rsidP="00FC3847">
      <w:pPr>
        <w:ind w:left="1132"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7" w:history="1">
        <w:r w:rsidRPr="00BB6576">
          <w:rPr>
            <w:rStyle w:val="Hyperlink"/>
            <w:rFonts w:asciiTheme="minorHAnsi" w:hAnsiTheme="minorHAnsi" w:cstheme="minorHAnsi"/>
          </w:rPr>
          <w:t>http://www.deq.state.or.us/wq/standards/standards.htm</w:t>
        </w:r>
      </w:hyperlink>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B7333" w:rsidRPr="008B261D" w:rsidRDefault="00EB7333" w:rsidP="00EB7333">
      <w:pPr>
        <w:pStyle w:val="ListParagraph"/>
        <w:numPr>
          <w:ilvl w:val="0"/>
          <w:numId w:val="28"/>
        </w:numPr>
        <w:ind w:right="1008"/>
        <w:rPr>
          <w:rFonts w:asciiTheme="minorHAnsi" w:hAnsiTheme="minorHAnsi" w:cstheme="minorHAnsi"/>
          <w:color w:val="000000"/>
        </w:rPr>
      </w:pPr>
      <w:r w:rsidRPr="008B261D">
        <w:rPr>
          <w:rFonts w:asciiTheme="minorHAnsi" w:hAnsiTheme="minorHAnsi" w:cstheme="minorHAnsi"/>
          <w:color w:val="000000" w:themeColor="text1"/>
        </w:rPr>
        <w:t xml:space="preserve">Regional permitting staff </w:t>
      </w:r>
      <w:r w:rsidR="00A34742" w:rsidRPr="008B261D">
        <w:rPr>
          <w:rFonts w:asciiTheme="minorHAnsi" w:hAnsiTheme="minorHAnsi" w:cstheme="minorHAnsi"/>
          <w:color w:val="000000" w:themeColor="text1"/>
        </w:rPr>
        <w:t>email</w:t>
      </w:r>
      <w:r w:rsidR="008B261D">
        <w:rPr>
          <w:rFonts w:asciiTheme="minorHAnsi" w:hAnsiTheme="minorHAnsi" w:cstheme="minorHAnsi"/>
          <w:color w:val="000000" w:themeColor="text1"/>
        </w:rPr>
        <w:t>ing</w:t>
      </w:r>
      <w:r w:rsidR="00A34742" w:rsidRPr="008B261D">
        <w:rPr>
          <w:rFonts w:asciiTheme="minorHAnsi" w:hAnsiTheme="minorHAnsi" w:cstheme="minorHAnsi"/>
          <w:color w:val="000000" w:themeColor="text1"/>
        </w:rPr>
        <w:t xml:space="preserve"> </w:t>
      </w:r>
      <w:r w:rsidRPr="008B261D">
        <w:rPr>
          <w:rFonts w:asciiTheme="minorHAnsi" w:hAnsiTheme="minorHAnsi" w:cstheme="minorHAnsi"/>
          <w:color w:val="000000" w:themeColor="text1"/>
        </w:rPr>
        <w:t xml:space="preserve">communication to individual NPDES </w:t>
      </w:r>
      <w:proofErr w:type="spellStart"/>
      <w:r w:rsidRPr="008B261D">
        <w:rPr>
          <w:rFonts w:asciiTheme="minorHAnsi" w:hAnsiTheme="minorHAnsi" w:cstheme="minorHAnsi"/>
          <w:color w:val="000000" w:themeColor="text1"/>
        </w:rPr>
        <w:t>permittees</w:t>
      </w:r>
      <w:proofErr w:type="spellEnd"/>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FC3847">
      <w:pPr>
        <w:spacing w:after="120"/>
        <w:ind w:left="1080" w:right="1008"/>
        <w:rPr>
          <w:rFonts w:asciiTheme="minorHAnsi" w:hAnsiTheme="minorHAnsi" w:cstheme="minorHAnsi"/>
          <w:color w:val="000000"/>
        </w:rPr>
      </w:pPr>
    </w:p>
    <w:p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sidR="008B261D">
        <w:rPr>
          <w:rFonts w:asciiTheme="minorHAnsi" w:hAnsiTheme="minorHAnsi" w:cstheme="minorHAnsi"/>
          <w:color w:val="000000"/>
        </w:rPr>
        <w:t>As needed, p</w:t>
      </w:r>
      <w:r w:rsidR="008E6469">
        <w:rPr>
          <w:rFonts w:asciiTheme="minorHAnsi" w:hAnsiTheme="minorHAnsi" w:cstheme="minorHAnsi"/>
          <w:color w:val="000000"/>
        </w:rPr>
        <w:t>ermitting staff</w:t>
      </w:r>
      <w:r w:rsidR="008B261D">
        <w:rPr>
          <w:rFonts w:asciiTheme="minorHAnsi" w:hAnsiTheme="minorHAnsi" w:cstheme="minorHAnsi"/>
          <w:color w:val="000000"/>
        </w:rPr>
        <w:t xml:space="preserve"> will</w:t>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8" w:history="1">
        <w:r w:rsidR="000B5F80" w:rsidRPr="00BB6576">
          <w:rPr>
            <w:rStyle w:val="Hyperlink"/>
            <w:rFonts w:asciiTheme="minorHAnsi" w:hAnsiTheme="minorHAnsi" w:cstheme="minorHAnsi"/>
          </w:rPr>
          <w:t>http://www.deq.state.or.us/wq/standards/standards.htm</w:t>
        </w:r>
      </w:hyperlink>
    </w:p>
    <w:p w:rsidR="00FC3847" w:rsidRPr="00FC3847" w:rsidRDefault="00FC3847" w:rsidP="00FC3847">
      <w:pPr>
        <w:ind w:left="1132" w:right="1008"/>
        <w:rPr>
          <w:rFonts w:asciiTheme="minorHAnsi" w:hAnsiTheme="minorHAnsi" w:cstheme="minorHAnsi"/>
          <w:color w:val="000000"/>
        </w:rPr>
      </w:pPr>
    </w:p>
    <w:p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FC3847" w:rsidRDefault="00FC3847" w:rsidP="00FC3847">
      <w:pPr>
        <w:pStyle w:val="ListParagraph"/>
        <w:spacing w:after="120"/>
        <w:ind w:left="1080" w:right="1008"/>
        <w:contextualSpacing w:val="0"/>
        <w:rPr>
          <w:rFonts w:asciiTheme="minorHAnsi" w:hAnsiTheme="minorHAnsi" w:cstheme="minorHAnsi"/>
          <w:color w:val="000000"/>
        </w:rPr>
      </w:pP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commentRangeStart w:id="8"/>
      <w:r w:rsidRPr="00D13EA4">
        <w:t xml:space="preserve">Exemption </w:t>
      </w:r>
      <w:r>
        <w:t>from five-year rule review</w:t>
      </w:r>
      <w:r w:rsidRPr="00D13EA4">
        <w:t xml:space="preserve"> </w:t>
      </w:r>
      <w:commentRangeEnd w:id="8"/>
      <w:r w:rsidR="00DC4EAA">
        <w:rPr>
          <w:rStyle w:val="CommentReference"/>
          <w:rFonts w:ascii="Times New Roman" w:hAnsi="Times New Roman" w:cs="Times New Roman"/>
          <w:bCs w:val="0"/>
          <w:color w:val="auto"/>
        </w:rPr>
        <w:commentReference w:id="8"/>
      </w:r>
    </w:p>
    <w:p w:rsidR="00D824D5" w:rsidRDefault="00E052E0" w:rsidP="00D824D5">
      <w:pPr>
        <w:ind w:right="14"/>
        <w:rPr>
          <w:rFonts w:asciiTheme="minorHAnsi" w:hAnsiTheme="minorHAnsi" w:cstheme="minorHAnsi"/>
          <w:bCs/>
        </w:rPr>
      </w:pPr>
      <w:r w:rsidRPr="00007748">
        <w:rPr>
          <w:rStyle w:val="Emphasis"/>
        </w:rPr>
        <w:t>OPTION 1</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00D824D5">
        <w:rPr>
          <w:rFonts w:asciiTheme="minorHAnsi" w:hAnsiTheme="minorHAnsi" w:cstheme="minorHAnsi"/>
        </w:rPr>
        <w:t xml:space="preserve"> </w:t>
      </w:r>
      <w:r w:rsidR="00DC4EAA">
        <w:rPr>
          <w:rFonts w:asciiTheme="minorHAnsi" w:hAnsiTheme="minorHAnsi" w:cstheme="minorHAnsi"/>
          <w:bCs/>
        </w:rPr>
        <w:t>OAR</w:t>
      </w:r>
      <w:r w:rsidR="00D824D5" w:rsidRPr="00122E68">
        <w:rPr>
          <w:rFonts w:asciiTheme="minorHAnsi" w:hAnsiTheme="minorHAnsi" w:cstheme="minorHAnsi"/>
          <w:bCs/>
        </w:rPr>
        <w:t xml:space="preserve"> 340-041-0002, 340-041-0007, 340-041-0028, </w:t>
      </w:r>
    </w:p>
    <w:p w:rsidR="00E052E0" w:rsidRPr="00D90062" w:rsidRDefault="00D824D5" w:rsidP="00D824D5">
      <w:pPr>
        <w:autoSpaceDE w:val="0"/>
        <w:autoSpaceDN w:val="0"/>
        <w:adjustRightInd w:val="0"/>
        <w:ind w:right="1008"/>
        <w:rPr>
          <w:rFonts w:asciiTheme="minorHAnsi" w:hAnsiTheme="minorHAnsi" w:cstheme="minorHAnsi"/>
        </w:rPr>
      </w:pPr>
      <w:r w:rsidRPr="00122E68">
        <w:rPr>
          <w:rFonts w:asciiTheme="minorHAnsi" w:hAnsiTheme="minorHAnsi" w:cstheme="minorHAnsi"/>
          <w:bCs/>
        </w:rPr>
        <w:t xml:space="preserve">340-041-0033, 340-041-0124, </w:t>
      </w:r>
      <w:r>
        <w:rPr>
          <w:rFonts w:asciiTheme="minorHAnsi" w:hAnsiTheme="minorHAnsi" w:cstheme="minorHAnsi"/>
          <w:bCs/>
        </w:rPr>
        <w:t xml:space="preserve">340-041-0310, and </w:t>
      </w:r>
      <w:r w:rsidRPr="00122E68">
        <w:rPr>
          <w:rFonts w:asciiTheme="minorHAnsi" w:hAnsiTheme="minorHAnsi" w:cstheme="minorHAnsi"/>
          <w:bCs/>
        </w:rPr>
        <w:t>340-041-0315</w:t>
      </w:r>
      <w:r w:rsidR="00E052E0" w:rsidRPr="0019385F">
        <w:rPr>
          <w:rFonts w:asciiTheme="minorHAnsi" w:hAnsiTheme="minorHAnsi" w:cstheme="minorHAnsi"/>
        </w:rPr>
        <w:t xml:space="preserve"> </w:t>
      </w:r>
      <w:r>
        <w:rPr>
          <w:rFonts w:asciiTheme="minorHAnsi" w:hAnsiTheme="minorHAnsi" w:cstheme="minorHAnsi"/>
        </w:rPr>
        <w:t xml:space="preserve">proposed </w:t>
      </w:r>
      <w:r w:rsidR="00E052E0" w:rsidRPr="0019385F">
        <w:rPr>
          <w:rFonts w:asciiTheme="minorHAnsi" w:hAnsiTheme="minorHAnsi" w:cstheme="minorHAnsi"/>
        </w:rPr>
        <w:t>rules</w:t>
      </w:r>
      <w:r w:rsidR="00E052E0">
        <w:rPr>
          <w:rFonts w:asciiTheme="minorHAnsi" w:hAnsiTheme="minorHAnsi" w:cstheme="minorHAnsi"/>
        </w:rPr>
        <w:t xml:space="preserve"> from the five-year</w:t>
      </w:r>
      <w:r w:rsidR="00E052E0" w:rsidRPr="0019385F">
        <w:rPr>
          <w:rFonts w:asciiTheme="minorHAnsi" w:hAnsiTheme="minorHAnsi" w:cstheme="minorHAnsi"/>
        </w:rPr>
        <w:t xml:space="preserve"> rule review </w:t>
      </w:r>
      <w:r w:rsidR="00E052E0">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Default="00CB48CE"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D824D5">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rsidR="00D824D5" w:rsidRPr="00D90062" w:rsidRDefault="00D824D5"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r>
        <w:rPr>
          <w:rFonts w:asciiTheme="minorHAnsi" w:hAnsiTheme="minorHAnsi" w:cstheme="minorHAnsi"/>
        </w:rPr>
        <w:t>Correct errors or omissions. ORS 183.405(d)</w:t>
      </w:r>
    </w:p>
    <w:p w:rsidR="00D824D5" w:rsidRDefault="00D824D5" w:rsidP="00E052E0">
      <w:pPr>
        <w:pStyle w:val="ListParagraph"/>
        <w:autoSpaceDE w:val="0"/>
        <w:autoSpaceDN w:val="0"/>
        <w:adjustRightInd w:val="0"/>
        <w:ind w:right="1008"/>
        <w:rPr>
          <w:rStyle w:val="Emphasis"/>
          <w:vanish w:val="0"/>
        </w:rPr>
      </w:pPr>
    </w:p>
    <w:p w:rsidR="00E052E0" w:rsidRPr="00746ED7" w:rsidRDefault="00E052E0" w:rsidP="00E052E0">
      <w:pPr>
        <w:pStyle w:val="ListParagraph"/>
        <w:autoSpaceDE w:val="0"/>
        <w:autoSpaceDN w:val="0"/>
        <w:adjustRightInd w:val="0"/>
        <w:ind w:right="1008"/>
        <w:rPr>
          <w:rFonts w:asciiTheme="minorHAnsi" w:hAnsiTheme="minorHAnsi" w:cstheme="minorHAnsi"/>
        </w:rPr>
      </w:pPr>
      <w:commentRangeStart w:id="9"/>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commentRangeEnd w:id="9"/>
      <w:r w:rsidR="00DC4EAA">
        <w:rPr>
          <w:rStyle w:val="CommentReference"/>
        </w:rPr>
        <w:commentReference w:id="9"/>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commentRangeStart w:id="10"/>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commentRangeEnd w:id="10"/>
    <w:p w:rsidR="00E052E0" w:rsidRDefault="00DC4EAA" w:rsidP="00E052E0">
      <w:pPr>
        <w:autoSpaceDE w:val="0"/>
        <w:autoSpaceDN w:val="0"/>
        <w:adjustRightInd w:val="0"/>
        <w:spacing w:after="120"/>
        <w:ind w:right="1008"/>
        <w:rPr>
          <w:rFonts w:ascii="Verdana" w:hAnsi="Verdana" w:cs="Verdana"/>
          <w:sz w:val="20"/>
          <w:szCs w:val="20"/>
        </w:rPr>
      </w:pPr>
      <w:r>
        <w:rPr>
          <w:rStyle w:val="CommentReference"/>
        </w:rPr>
        <w:commentReference w:id="10"/>
      </w:r>
      <w:r w:rsidR="00E052E0">
        <w:rPr>
          <w:rFonts w:asciiTheme="minorHAnsi" w:hAnsiTheme="minorHAnsi" w:cstheme="minorHAnsi"/>
        </w:rPr>
        <w:t xml:space="preserve">No later </w:t>
      </w:r>
      <w:commentRangeStart w:id="11"/>
      <w:r w:rsidR="00E052E0">
        <w:rPr>
          <w:rFonts w:asciiTheme="minorHAnsi" w:hAnsiTheme="minorHAnsi" w:cstheme="minorHAnsi"/>
        </w:rPr>
        <w:t>than</w:t>
      </w:r>
      <w:r w:rsidR="00E052E0">
        <w:rPr>
          <w:rFonts w:asciiTheme="minorHAnsi" w:hAnsiTheme="minorHAnsi" w:cstheme="minorHAnsi"/>
          <w:color w:val="000000"/>
        </w:rPr>
        <w:t xml:space="preserve"> </w:t>
      </w:r>
      <w:r w:rsidR="00E052E0" w:rsidRPr="00007748">
        <w:rPr>
          <w:rStyle w:val="Emphasis"/>
        </w:rPr>
        <w:t>E</w:t>
      </w:r>
      <w:r w:rsidR="00007748">
        <w:rPr>
          <w:rStyle w:val="Emphasis"/>
        </w:rPr>
        <w:t>nter the date that that is 5 years from EQC meeting date in Mmm dd, yyyy format. Example  Sept. 6, 2012</w:t>
      </w:r>
      <w:commentRangeEnd w:id="11"/>
      <w:r w:rsidR="00B3131E">
        <w:rPr>
          <w:rStyle w:val="CommentReference"/>
        </w:rPr>
        <w:commentReference w:id="11"/>
      </w:r>
      <w:r w:rsidR="00007748">
        <w:rPr>
          <w:rStyle w:val="Emphasis"/>
        </w:rPr>
        <w:t>.</w:t>
      </w:r>
      <w:r w:rsidR="00E052E0">
        <w:rPr>
          <w:rFonts w:asciiTheme="minorHAnsi" w:hAnsiTheme="minorHAnsi" w:cstheme="minorHAnsi"/>
          <w:color w:val="618889" w:themeColor="accent3" w:themeShade="BF"/>
        </w:rPr>
        <w:t xml:space="preserve"> </w:t>
      </w:r>
      <w:commentRangeStart w:id="12"/>
      <w:r>
        <w:rPr>
          <w:rFonts w:asciiTheme="minorHAnsi" w:hAnsiTheme="minorHAnsi" w:cstheme="minorHAnsi"/>
          <w:color w:val="618889" w:themeColor="accent3" w:themeShade="BF"/>
        </w:rPr>
        <w:t>XXXXXX</w:t>
      </w:r>
      <w:commentRangeEnd w:id="12"/>
      <w:r>
        <w:rPr>
          <w:rStyle w:val="CommentReference"/>
        </w:rPr>
        <w:commentReference w:id="12"/>
      </w:r>
      <w:r>
        <w:rPr>
          <w:rFonts w:asciiTheme="minorHAnsi" w:hAnsiTheme="minorHAnsi" w:cstheme="minorHAnsi"/>
          <w:color w:val="618889" w:themeColor="accent3" w:themeShade="BF"/>
        </w:rPr>
        <w:t xml:space="preserve"> </w:t>
      </w:r>
      <w:r w:rsidR="00E052E0">
        <w:rPr>
          <w:rFonts w:asciiTheme="minorHAnsi" w:hAnsiTheme="minorHAnsi" w:cstheme="minorHAnsi"/>
        </w:rPr>
        <w:t>DEQ wil</w:t>
      </w:r>
      <w:r>
        <w:rPr>
          <w:rFonts w:asciiTheme="minorHAnsi" w:hAnsiTheme="minorHAnsi" w:cstheme="minorHAnsi"/>
        </w:rPr>
        <w:t>l review the newly adopted rule, OAR 340-041-8033</w:t>
      </w:r>
      <w:r w:rsidR="00E052E0">
        <w:rPr>
          <w:rFonts w:asciiTheme="minorHAnsi" w:hAnsiTheme="minorHAnsi" w:cstheme="minorHAnsi"/>
        </w:rPr>
        <w:t xml:space="preserve"> </w:t>
      </w:r>
      <w:ins w:id="13" w:author="dsturde" w:date="2014-11-24T16:18:00Z">
        <w:r w:rsidR="00B3131E">
          <w:rPr>
            <w:rFonts w:asciiTheme="minorHAnsi" w:hAnsiTheme="minorHAnsi" w:cstheme="minorHAnsi"/>
          </w:rPr>
          <w:t xml:space="preserve">as </w:t>
        </w:r>
      </w:ins>
      <w:r w:rsidR="00E052E0">
        <w:rPr>
          <w:rFonts w:asciiTheme="minorHAnsi" w:hAnsiTheme="minorHAnsi" w:cstheme="minorHAnsi"/>
        </w:rPr>
        <w:t>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commentRangeStart w:id="14"/>
      <w:r w:rsidRPr="00732601">
        <w:rPr>
          <w:rFonts w:asciiTheme="minorHAnsi" w:hAnsiTheme="minorHAnsi" w:cstheme="minorHAnsi"/>
        </w:rPr>
        <w:t>the advisory committee</w:t>
      </w:r>
      <w:r>
        <w:rPr>
          <w:rFonts w:asciiTheme="minorHAnsi" w:hAnsiTheme="minorHAnsi" w:cstheme="minorHAnsi"/>
        </w:rPr>
        <w:t xml:space="preserve"> </w:t>
      </w:r>
      <w:commentRangeEnd w:id="14"/>
      <w:r w:rsidR="00B3131E">
        <w:rPr>
          <w:rStyle w:val="CommentReference"/>
        </w:rPr>
        <w:commentReference w:id="14"/>
      </w:r>
      <w:r>
        <w:rPr>
          <w:rFonts w:asciiTheme="minorHAnsi" w:hAnsiTheme="minorHAnsi" w:cstheme="minorHAnsi"/>
        </w:rPr>
        <w:t xml:space="preserve">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Jennifer Wigal" w:date="2014-11-26T12:38:00Z" w:initials="jw">
    <w:p w:rsidR="00C93083" w:rsidRDefault="00C93083">
      <w:pPr>
        <w:pStyle w:val="CommentText"/>
      </w:pPr>
      <w:r>
        <w:rPr>
          <w:rStyle w:val="CommentReference"/>
        </w:rPr>
        <w:annotationRef/>
      </w:r>
      <w:r>
        <w:t>I heard this doesn’t really happen this way—rather, that Dick provides periodic updates as needed. May want to check with Stephanie to ensure accurately characterize.</w:t>
      </w:r>
    </w:p>
  </w:comment>
  <w:comment w:id="7" w:author="amatzke" w:date="2014-11-25T13:43:00Z" w:initials="alm">
    <w:p w:rsidR="00C93083" w:rsidRDefault="00C93083">
      <w:pPr>
        <w:pStyle w:val="CommentText"/>
      </w:pPr>
      <w:r>
        <w:rPr>
          <w:rStyle w:val="CommentReference"/>
        </w:rPr>
        <w:annotationRef/>
      </w:r>
      <w:r>
        <w:t>Meyer, Deb Sturdevant doesn’t agree that the public hearing should have closed at 7:00 like we earlier discussed. Since she is the hearings officer I made all the changes she wanted. If you have concerns about the Presiding Officer’s Report, please contact her directly and cc me—thanks</w:t>
      </w:r>
      <w:r>
        <w:sym w:font="Wingdings" w:char="F04A"/>
      </w:r>
    </w:p>
  </w:comment>
  <w:comment w:id="8" w:author="amatzke" w:date="2014-11-25T14:35:00Z" w:initials="alm">
    <w:p w:rsidR="00C93083" w:rsidRDefault="00C93083">
      <w:pPr>
        <w:pStyle w:val="CommentText"/>
      </w:pPr>
      <w:r>
        <w:rPr>
          <w:rStyle w:val="CommentReference"/>
        </w:rPr>
        <w:annotationRef/>
      </w:r>
      <w:r>
        <w:t xml:space="preserve">Meyer: I did this a little differently than what I think the template indicated to do. It seemed more direct to put in the amended rules that are not applicable to the 5 yr. rule than using the drop down </w:t>
      </w:r>
      <w:proofErr w:type="gramStart"/>
      <w:r>
        <w:t>options .</w:t>
      </w:r>
      <w:proofErr w:type="gramEnd"/>
    </w:p>
  </w:comment>
  <w:comment w:id="9" w:author="amatzke" w:date="2014-11-25T14:35:00Z" w:initials="alm">
    <w:p w:rsidR="00C93083" w:rsidRDefault="00C93083">
      <w:pPr>
        <w:pStyle w:val="CommentText"/>
      </w:pPr>
      <w:r>
        <w:rPr>
          <w:rStyle w:val="CommentReference"/>
        </w:rPr>
        <w:annotationRef/>
      </w:r>
      <w:r>
        <w:t>Meyer: This sentence can be deleted, right?</w:t>
      </w:r>
    </w:p>
  </w:comment>
  <w:comment w:id="10" w:author="amatzke" w:date="2014-11-25T14:35:00Z" w:initials="alm">
    <w:p w:rsidR="00C93083" w:rsidRDefault="00C93083">
      <w:pPr>
        <w:pStyle w:val="CommentText"/>
      </w:pPr>
      <w:r>
        <w:rPr>
          <w:rStyle w:val="CommentReference"/>
        </w:rPr>
        <w:annotationRef/>
      </w:r>
      <w:r>
        <w:t>Meyer: My understanding is that OAR 340-041-8033 is the only new rule proposed in this rulemaking and therefore falls under the 5 yr. rule review. We decided (per recommendations from Maggie) to move the toxic tables to a new rule in -8033. Please let me know if this is a correct understanding. Also, I’d like to get a sense of what this 5-</w:t>
      </w:r>
      <w:proofErr w:type="gramStart"/>
      <w:r>
        <w:t>yr  review</w:t>
      </w:r>
      <w:proofErr w:type="gramEnd"/>
      <w:r>
        <w:t xml:space="preserve"> will entail—should be a quick assessment, right?</w:t>
      </w:r>
    </w:p>
  </w:comment>
  <w:comment w:id="11" w:author="dsturde" w:date="2014-11-24T16:19:00Z" w:initials="ds">
    <w:p w:rsidR="00C93083" w:rsidRDefault="00C93083">
      <w:pPr>
        <w:pStyle w:val="CommentText"/>
      </w:pPr>
      <w:r>
        <w:rPr>
          <w:rStyle w:val="CommentReference"/>
        </w:rPr>
        <w:annotationRef/>
      </w:r>
      <w:r>
        <w:t>?</w:t>
      </w:r>
    </w:p>
  </w:comment>
  <w:comment w:id="12" w:author="amatzke" w:date="2014-11-25T13:38:00Z" w:initials="alm">
    <w:p w:rsidR="00C93083" w:rsidRDefault="00C93083">
      <w:pPr>
        <w:pStyle w:val="CommentText"/>
      </w:pPr>
      <w:r>
        <w:rPr>
          <w:rStyle w:val="CommentReference"/>
        </w:rPr>
        <w:annotationRef/>
      </w:r>
      <w:r>
        <w:t>Meyer to fill in…</w:t>
      </w:r>
    </w:p>
  </w:comment>
  <w:comment w:id="14" w:author="dsturde" w:date="2014-11-24T16:19:00Z" w:initials="ds">
    <w:p w:rsidR="00C93083" w:rsidRDefault="00C93083">
      <w:pPr>
        <w:pStyle w:val="CommentText"/>
      </w:pPr>
      <w:r>
        <w:rPr>
          <w:rStyle w:val="CommentReference"/>
        </w:rPr>
        <w:annotationRef/>
      </w:r>
      <w:r>
        <w:t>What committee?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83" w:rsidRDefault="00C93083" w:rsidP="002D6C99">
      <w:r>
        <w:separator/>
      </w:r>
    </w:p>
  </w:endnote>
  <w:endnote w:type="continuationSeparator" w:id="0">
    <w:p w:rsidR="00C93083" w:rsidRDefault="00C93083"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83" w:rsidRDefault="00C93083" w:rsidP="002D6C99">
    <w:pPr>
      <w:pStyle w:val="Footer"/>
    </w:pPr>
  </w:p>
  <w:p w:rsidR="00C93083" w:rsidRPr="002B4E71" w:rsidRDefault="00C93083" w:rsidP="002D6C99">
    <w:pPr>
      <w:pStyle w:val="Footer"/>
    </w:pPr>
    <w:r>
      <w:t>Staff Report</w:t>
    </w:r>
    <w:r w:rsidRPr="002B4E71">
      <w:t xml:space="preserve"> page | </w:t>
    </w: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83" w:rsidRPr="002B4E71" w:rsidRDefault="00C93083"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F61176">
      <w:rPr>
        <w:rFonts w:asciiTheme="minorHAnsi" w:hAnsiTheme="minorHAnsi" w:cstheme="minorHAnsi"/>
        <w:noProof/>
      </w:rPr>
      <w:t>24</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83" w:rsidRDefault="00C93083" w:rsidP="002D6C99">
      <w:r>
        <w:separator/>
      </w:r>
    </w:p>
  </w:footnote>
  <w:footnote w:type="continuationSeparator" w:id="0">
    <w:p w:rsidR="00C93083" w:rsidRDefault="00C93083" w:rsidP="002D6C99">
      <w:r>
        <w:continuationSeparator/>
      </w:r>
    </w:p>
  </w:footnote>
  <w:footnote w:id="1">
    <w:p w:rsidR="00C93083" w:rsidRPr="006F555C" w:rsidRDefault="00C93083"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rsidR="00C93083" w:rsidRDefault="00C93083"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9">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6">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12"/>
  </w:num>
  <w:num w:numId="4">
    <w:abstractNumId w:val="8"/>
  </w:num>
  <w:num w:numId="5">
    <w:abstractNumId w:val="16"/>
  </w:num>
  <w:num w:numId="6">
    <w:abstractNumId w:val="4"/>
  </w:num>
  <w:num w:numId="7">
    <w:abstractNumId w:val="24"/>
  </w:num>
  <w:num w:numId="8">
    <w:abstractNumId w:val="14"/>
  </w:num>
  <w:num w:numId="9">
    <w:abstractNumId w:val="13"/>
  </w:num>
  <w:num w:numId="10">
    <w:abstractNumId w:val="27"/>
  </w:num>
  <w:num w:numId="11">
    <w:abstractNumId w:val="3"/>
  </w:num>
  <w:num w:numId="12">
    <w:abstractNumId w:val="15"/>
  </w:num>
  <w:num w:numId="13">
    <w:abstractNumId w:val="22"/>
  </w:num>
  <w:num w:numId="14">
    <w:abstractNumId w:val="18"/>
  </w:num>
  <w:num w:numId="15">
    <w:abstractNumId w:val="20"/>
  </w:num>
  <w:num w:numId="16">
    <w:abstractNumId w:val="17"/>
  </w:num>
  <w:num w:numId="17">
    <w:abstractNumId w:val="11"/>
  </w:num>
  <w:num w:numId="18">
    <w:abstractNumId w:val="19"/>
  </w:num>
  <w:num w:numId="19">
    <w:abstractNumId w:val="0"/>
  </w:num>
  <w:num w:numId="20">
    <w:abstractNumId w:val="5"/>
  </w:num>
  <w:num w:numId="21">
    <w:abstractNumId w:val="2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1"/>
  </w:num>
  <w:num w:numId="27">
    <w:abstractNumId w:val="28"/>
  </w:num>
  <w:num w:numId="28">
    <w:abstractNumId w:val="2"/>
  </w:num>
  <w:num w:numId="29">
    <w:abstractNumId w:val="29"/>
  </w:num>
  <w:num w:numId="30">
    <w:abstractNumId w:val="9"/>
  </w:num>
  <w:num w:numId="31">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E64FC"/>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39A0"/>
    <w:rsid w:val="002B4E71"/>
    <w:rsid w:val="002B6D58"/>
    <w:rsid w:val="002C3A6B"/>
    <w:rsid w:val="002C6268"/>
    <w:rsid w:val="002C7A23"/>
    <w:rsid w:val="002D0329"/>
    <w:rsid w:val="002D0DB1"/>
    <w:rsid w:val="002D1FBB"/>
    <w:rsid w:val="002D263C"/>
    <w:rsid w:val="002D3856"/>
    <w:rsid w:val="002D6C99"/>
    <w:rsid w:val="002D7877"/>
    <w:rsid w:val="002E0F87"/>
    <w:rsid w:val="002E1521"/>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176F"/>
    <w:rsid w:val="0042225B"/>
    <w:rsid w:val="004229AB"/>
    <w:rsid w:val="0042360E"/>
    <w:rsid w:val="00425B45"/>
    <w:rsid w:val="00427ABB"/>
    <w:rsid w:val="00434181"/>
    <w:rsid w:val="004365BA"/>
    <w:rsid w:val="004369FF"/>
    <w:rsid w:val="00437829"/>
    <w:rsid w:val="004403A5"/>
    <w:rsid w:val="00446FF4"/>
    <w:rsid w:val="00447281"/>
    <w:rsid w:val="00451393"/>
    <w:rsid w:val="00451BBB"/>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4559"/>
    <w:rsid w:val="004D5553"/>
    <w:rsid w:val="004F0967"/>
    <w:rsid w:val="004F22E4"/>
    <w:rsid w:val="004F2D22"/>
    <w:rsid w:val="004F4493"/>
    <w:rsid w:val="004F4B6D"/>
    <w:rsid w:val="004F673A"/>
    <w:rsid w:val="00504F15"/>
    <w:rsid w:val="005102CA"/>
    <w:rsid w:val="0051131D"/>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788"/>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261D"/>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2525"/>
    <w:rsid w:val="00AD33B5"/>
    <w:rsid w:val="00AD357E"/>
    <w:rsid w:val="00AD7DB9"/>
    <w:rsid w:val="00AE3390"/>
    <w:rsid w:val="00AE5146"/>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083"/>
    <w:rsid w:val="00C933AC"/>
    <w:rsid w:val="00C944E5"/>
    <w:rsid w:val="00C94966"/>
    <w:rsid w:val="00CA42E0"/>
    <w:rsid w:val="00CA45A4"/>
    <w:rsid w:val="00CA4696"/>
    <w:rsid w:val="00CB06BC"/>
    <w:rsid w:val="00CB070C"/>
    <w:rsid w:val="00CB188A"/>
    <w:rsid w:val="00CB207F"/>
    <w:rsid w:val="00CB2EED"/>
    <w:rsid w:val="00CB48CE"/>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824D5"/>
    <w:rsid w:val="00D90062"/>
    <w:rsid w:val="00D9108B"/>
    <w:rsid w:val="00D936A0"/>
    <w:rsid w:val="00D96929"/>
    <w:rsid w:val="00DA566E"/>
    <w:rsid w:val="00DA798F"/>
    <w:rsid w:val="00DB0862"/>
    <w:rsid w:val="00DB5D50"/>
    <w:rsid w:val="00DB6D3B"/>
    <w:rsid w:val="00DC04D1"/>
    <w:rsid w:val="00DC0637"/>
    <w:rsid w:val="00DC0CC7"/>
    <w:rsid w:val="00DC41AC"/>
    <w:rsid w:val="00DC4EAA"/>
    <w:rsid w:val="00DC74C6"/>
    <w:rsid w:val="00DD11D4"/>
    <w:rsid w:val="00DD419A"/>
    <w:rsid w:val="00DD4819"/>
    <w:rsid w:val="00DD5959"/>
    <w:rsid w:val="00DD77BE"/>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86E73"/>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1176"/>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6EE"/>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86458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364939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733916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0.pdf" TargetMode="External"/><Relationship Id="rId39"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tofc.html" TargetMode="External"/><Relationship Id="rId34" Type="http://schemas.openxmlformats.org/officeDocument/2006/relationships/hyperlink" Target="http://www.oregonlaws.org/ors/183.332" TargetMode="External"/><Relationship Id="rId42" Type="http://schemas.openxmlformats.org/officeDocument/2006/relationships/comments" Target="comments.xml"/><Relationship Id="rId47" Type="http://schemas.openxmlformats.org/officeDocument/2006/relationships/hyperlink" Target="http://www.deq.state.or.us/wq/standards/standards.htm" TargetMode="Externa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index.cfm" TargetMode="External"/><Relationship Id="rId33" Type="http://schemas.openxmlformats.org/officeDocument/2006/relationships/hyperlink" Target="http://www.leg.state.or.us/ors/468a.html"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www.oregonlaws.org/ors/183.335"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deq.state.or.us/wq/standards/docs/DisapprovalLetter.pdf" TargetMode="External"/><Relationship Id="rId41" Type="http://schemas.openxmlformats.org/officeDocument/2006/relationships/hyperlink" Target="http://www.oregon.gov/deq/WQ/Pages/Standards/ammonia.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upload/AQUATIC-LIFE-AMBIENT-WATER-QUALITY-CRITERIA-FOR-AMMONIA-FRESHWATER-2013.pdf" TargetMode="External"/><Relationship Id="rId32" Type="http://schemas.openxmlformats.org/officeDocument/2006/relationships/hyperlink" Target="http://www.oregonlaws.org/ors/183.534"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hyperlink" Target="file://deqhq1/Rule_Development/Currrent%20Plan" TargetMode="External"/><Relationship Id="rId45" Type="http://schemas.openxmlformats.org/officeDocument/2006/relationships/hyperlink" Target="http://www.oregon.gov/deq/RulesandRegulations/Pages/proposedrule.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toxicsEPAaction.htm" TargetMode="External"/><Relationship Id="rId28" Type="http://schemas.openxmlformats.org/officeDocument/2006/relationships/hyperlink" Target="http://www.deq.state.or.us/wq/standards/docs/EPAtechSupport.pdf" TargetMode="External"/><Relationship Id="rId36" Type="http://schemas.openxmlformats.org/officeDocument/2006/relationships/hyperlink" Target="http://www.oregonlaws.org/ors/468A.32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search=ORS+183.336" TargetMode="External"/><Relationship Id="rId44" Type="http://schemas.openxmlformats.org/officeDocument/2006/relationships/hyperlink" Target="http://www.oregon.gov/deq/WQ/Pages/Standards/ammon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docs/tables303140.pdf" TargetMode="External"/><Relationship Id="rId27" Type="http://schemas.openxmlformats.org/officeDocument/2006/relationships/hyperlink" Target="http://arcweb.sos.state.or.us/pages/rules/oars_300/oar_340/_340_tables/340-041-0315.pdf" TargetMode="External"/><Relationship Id="rId30" Type="http://schemas.openxmlformats.org/officeDocument/2006/relationships/hyperlink" Target="http://www.oregonlaws.org/ors/183.335" TargetMode="External"/><Relationship Id="rId35" Type="http://schemas.openxmlformats.org/officeDocument/2006/relationships/hyperlink" Target="http://arcweb.sos.state.or.us/pages/rules/oars_300/oar_340/340_011.html" TargetMode="External"/><Relationship Id="rId43" Type="http://schemas.openxmlformats.org/officeDocument/2006/relationships/hyperlink" Target="http://arcweb.sos.state.or.us/pages/rules/bulletin/past.html"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7447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766CC"/>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178D9"/>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559344C-4B19-4FBE-8C8B-A56067EC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9782</Words>
  <Characters>55759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2013-02-28T21:12:00Z</cp:lastPrinted>
  <dcterms:created xsi:type="dcterms:W3CDTF">2014-12-01T17:15:00Z</dcterms:created>
  <dcterms:modified xsi:type="dcterms:W3CDTF">2014-12-01T17:15:00Z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