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C94966"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340-041-0028(8) because of a March 201</w:t>
      </w:r>
      <w:r w:rsidR="007D656B">
        <w:rPr>
          <w:rFonts w:asciiTheme="minorHAnsi" w:hAnsiTheme="minorHAnsi" w:cstheme="minorHAnsi"/>
        </w:rPr>
        <w:t xml:space="preserve">2 U.S. District Court decision </w:t>
      </w:r>
      <w:r w:rsidR="007D656B" w:rsidRPr="00C61FBC">
        <w:rPr>
          <w:rFonts w:asciiTheme="minorHAnsi" w:hAnsiTheme="minorHAnsi" w:cstheme="minorHAnsi"/>
        </w:rPr>
        <w:t xml:space="preserve">that was </w:t>
      </w:r>
      <w:r w:rsidR="00EA4D80" w:rsidRPr="00C61FBC">
        <w:rPr>
          <w:rFonts w:asciiTheme="minorHAnsi" w:hAnsiTheme="minorHAnsi" w:cstheme="minorHAnsi"/>
        </w:rPr>
        <w:t>based on Northwest Environmental Advocate litigation</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C94966"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C94966"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C94966"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C94966"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C94966"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C94966"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C94966"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C94966"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C94966"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Pr>
          <w:rFonts w:asciiTheme="minorHAnsi" w:hAnsiTheme="minorHAnsi" w:cstheme="minorHAnsi"/>
          <w:color w:val="000000"/>
        </w:rPr>
        <w:t>, f</w:t>
      </w:r>
      <w:r w:rsidRPr="0057523F">
        <w:rPr>
          <w:rFonts w:asciiTheme="minorHAnsi" w:hAnsiTheme="minorHAnsi" w:cstheme="minorHAnsi"/>
          <w:color w:val="000000"/>
        </w:rPr>
        <w:t>ive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preserve the 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Clean Water Act 303(d</w:t>
      </w:r>
      <w:proofErr w:type="gramStart"/>
      <w:r w:rsidRPr="00637299">
        <w:rPr>
          <w:rFonts w:asciiTheme="minorHAnsi" w:hAnsiTheme="minorHAnsi" w:cstheme="minorHAnsi"/>
        </w:rPr>
        <w:t>)(</w:t>
      </w:r>
      <w:proofErr w:type="gramEnd"/>
      <w:r w:rsidRPr="00637299">
        <w:rPr>
          <w:rFonts w:asciiTheme="minorHAnsi" w:hAnsiTheme="minorHAnsi" w:cstheme="minorHAnsi"/>
        </w:rPr>
        <w:t xml:space="preserve">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lastRenderedPageBreak/>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xml:space="preserve">. DEQ does not track how many of the </w:t>
            </w:r>
            <w:r w:rsidRPr="00C73AF8">
              <w:rPr>
                <w:rFonts w:asciiTheme="minorHAnsi" w:hAnsiTheme="minorHAnsi" w:cstheme="minorHAnsi"/>
                <w:sz w:val="24"/>
                <w:szCs w:val="24"/>
              </w:rPr>
              <w:lastRenderedPageBreak/>
              <w:t>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lastRenderedPageBreak/>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3" w:name="AlternativesConsidered"/>
      <w:bookmarkStart w:id="4" w:name="RANGE!C35"/>
      <w:r w:rsidRPr="006807BF">
        <w:rPr>
          <w:rFonts w:asciiTheme="majorHAnsi" w:hAnsiTheme="majorHAnsi" w:cstheme="majorHAnsi"/>
          <w:bCs/>
          <w:color w:val="000000" w:themeColor="text1"/>
          <w:sz w:val="22"/>
          <w:szCs w:val="22"/>
        </w:rPr>
        <w:t>What alternatives did DEQ consider</w:t>
      </w:r>
      <w:bookmarkEnd w:id="3"/>
      <w:r w:rsidRPr="006807BF">
        <w:rPr>
          <w:rFonts w:asciiTheme="majorHAnsi" w:hAnsiTheme="majorHAnsi" w:cstheme="majorHAnsi"/>
          <w:bCs/>
          <w:color w:val="000000" w:themeColor="text1"/>
          <w:sz w:val="22"/>
          <w:szCs w:val="22"/>
        </w:rPr>
        <w:t xml:space="preserve"> if any?</w:t>
      </w:r>
      <w:bookmarkEnd w:id="4"/>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C94966"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C94966"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rsidR="0042176F" w:rsidRDefault="0042176F" w:rsidP="00641511">
      <w:pPr>
        <w:spacing w:after="120"/>
        <w:ind w:left="2970" w:right="630" w:hanging="1710"/>
        <w:rPr>
          <w:rFonts w:asciiTheme="minorHAnsi" w:hAnsiTheme="minorHAnsi" w:cstheme="minorHAnsi"/>
          <w:bCs/>
        </w:rPr>
      </w:pPr>
    </w:p>
    <w:p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AD2525" w:rsidRDefault="00AD2525" w:rsidP="002C6268">
      <w:pPr>
        <w:spacing w:after="120"/>
        <w:ind w:left="2970" w:right="630" w:hanging="1710"/>
        <w:rPr>
          <w:rFonts w:asciiTheme="minorHAnsi" w:hAnsiTheme="minorHAnsi" w:cstheme="minorHAnsi"/>
          <w:bCs/>
        </w:rPr>
      </w:pPr>
    </w:p>
    <w:p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Delaying EQC adoption may put DEQ at risk for third party lawsuits.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rsidR="00A1105D" w:rsidRDefault="00A1105D" w:rsidP="00AD2525">
      <w:pPr>
        <w:spacing w:after="120"/>
        <w:ind w:left="0" w:right="63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4D4559" w:rsidRDefault="004D4559" w:rsidP="00641511">
      <w:pPr>
        <w:pStyle w:val="ListParagraph"/>
        <w:spacing w:after="120"/>
        <w:ind w:left="2880" w:right="634"/>
        <w:contextualSpacing w:val="0"/>
        <w:rPr>
          <w:rFonts w:asciiTheme="minorHAnsi" w:hAnsiTheme="minorHAnsi" w:cstheme="minorHAnsi"/>
        </w:rPr>
      </w:pP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4D4559" w:rsidRDefault="004D4559" w:rsidP="001107B0">
      <w:pPr>
        <w:pStyle w:val="ListParagraph"/>
        <w:spacing w:after="120"/>
        <w:ind w:left="2880" w:right="634"/>
        <w:contextualSpacing w:val="0"/>
        <w:rPr>
          <w:rFonts w:asciiTheme="minorHAnsi" w:hAnsiTheme="minorHAnsi" w:cstheme="minorHAnsi"/>
        </w:rPr>
      </w:pP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4D4559">
        <w:t>,</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DEQ added clarif</w:t>
      </w:r>
      <w:r w:rsidR="00C61FBC">
        <w:t>ying language under the Statement of Need</w:t>
      </w:r>
      <w:r>
        <w:t xml:space="preserve"> section in this report that the disapproval of these policies was based on Northwest Environmental Advocates litigation.</w:t>
      </w:r>
      <w:r w:rsidR="00FE0388">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7F048C" w:rsidRPr="007F048C" w:rsidRDefault="00611F72" w:rsidP="00495352">
      <w:pPr>
        <w:autoSpaceDE w:val="0"/>
        <w:autoSpaceDN w:val="0"/>
        <w:ind w:left="2880" w:right="648" w:hanging="1800"/>
        <w:rPr>
          <w:rFonts w:asciiTheme="minorHAnsi" w:hAnsiTheme="minorHAnsi" w:cstheme="minorHAnsi"/>
          <w:color w:val="70481C" w:themeColor="accent6" w:themeShade="8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1105D" w:rsidRPr="00A1105D">
        <w:rPr>
          <w:rFonts w:asciiTheme="minorHAnsi" w:hAnsiTheme="minorHAnsi" w:cstheme="minorHAnsi"/>
        </w:rPr>
        <w:t>This rulemaking</w:t>
      </w:r>
      <w:r w:rsidR="00A1105D">
        <w:rPr>
          <w:rFonts w:asciiTheme="minorHAnsi" w:hAnsiTheme="minorHAnsi" w:cstheme="minorHAnsi"/>
          <w:color w:val="000000"/>
        </w:rPr>
        <w:t xml:space="preserve"> proposes to revise freshwater ammonia criteria based on the most current data. </w:t>
      </w:r>
      <w:del w:id="5" w:author="dsturde" w:date="2014-11-24T15:28:00Z">
        <w:r w:rsidR="00A1105D" w:rsidDel="00282503">
          <w:rPr>
            <w:rFonts w:asciiTheme="minorHAnsi" w:hAnsiTheme="minorHAnsi" w:cstheme="minorHAnsi"/>
            <w:color w:val="000000"/>
          </w:rPr>
          <w:delText xml:space="preserve">It is not </w:delText>
        </w:r>
      </w:del>
      <w:r w:rsidR="00A1105D">
        <w:rPr>
          <w:rFonts w:asciiTheme="minorHAnsi" w:hAnsiTheme="minorHAnsi" w:cstheme="minorHAnsi"/>
          <w:color w:val="000000"/>
        </w:rPr>
        <w:t>DEQ</w:t>
      </w:r>
      <w:ins w:id="6" w:author="dsturde" w:date="2014-11-24T15:28:00Z">
        <w:r w:rsidR="00282503">
          <w:rPr>
            <w:rFonts w:asciiTheme="minorHAnsi" w:hAnsiTheme="minorHAnsi" w:cstheme="minorHAnsi"/>
            <w:color w:val="000000"/>
          </w:rPr>
          <w:t xml:space="preserve"> </w:t>
        </w:r>
      </w:ins>
      <w:del w:id="7" w:author="dsturde" w:date="2014-11-24T15:28:00Z">
        <w:r w:rsidR="00A1105D" w:rsidDel="00282503">
          <w:rPr>
            <w:rFonts w:asciiTheme="minorHAnsi" w:hAnsiTheme="minorHAnsi" w:cstheme="minorHAnsi"/>
            <w:color w:val="000000"/>
          </w:rPr>
          <w:delText>’</w:delText>
        </w:r>
      </w:del>
      <w:ins w:id="8" w:author="dsturde" w:date="2014-11-24T15:28:00Z">
        <w:r w:rsidR="00282503">
          <w:rPr>
            <w:rFonts w:asciiTheme="minorHAnsi" w:hAnsiTheme="minorHAnsi" w:cstheme="minorHAnsi"/>
            <w:color w:val="000000"/>
          </w:rPr>
          <w:t>i</w:t>
        </w:r>
      </w:ins>
      <w:r w:rsidR="00A1105D">
        <w:rPr>
          <w:rFonts w:asciiTheme="minorHAnsi" w:hAnsiTheme="minorHAnsi" w:cstheme="minorHAnsi"/>
          <w:color w:val="000000"/>
        </w:rPr>
        <w:t xml:space="preserve">s </w:t>
      </w:r>
      <w:del w:id="9" w:author="dsturde" w:date="2014-11-24T15:28:00Z">
        <w:r w:rsidR="00A1105D" w:rsidDel="00282503">
          <w:rPr>
            <w:rFonts w:asciiTheme="minorHAnsi" w:hAnsiTheme="minorHAnsi" w:cstheme="minorHAnsi"/>
            <w:color w:val="000000"/>
          </w:rPr>
          <w:delText xml:space="preserve">intention to </w:delText>
        </w:r>
      </w:del>
      <w:ins w:id="10" w:author="dsturde" w:date="2014-11-24T15:28:00Z">
        <w:r w:rsidR="00282503">
          <w:rPr>
            <w:rFonts w:asciiTheme="minorHAnsi" w:hAnsiTheme="minorHAnsi" w:cstheme="minorHAnsi"/>
            <w:color w:val="000000"/>
          </w:rPr>
          <w:t xml:space="preserve">not </w:t>
        </w:r>
      </w:ins>
      <w:r w:rsidR="00A1105D">
        <w:rPr>
          <w:rFonts w:asciiTheme="minorHAnsi" w:hAnsiTheme="minorHAnsi" w:cstheme="minorHAnsi"/>
          <w:color w:val="000000"/>
        </w:rPr>
        <w:t>revis</w:t>
      </w:r>
      <w:ins w:id="11" w:author="dsturde" w:date="2014-11-24T15:29:00Z">
        <w:r w:rsidR="00282503">
          <w:rPr>
            <w:rFonts w:asciiTheme="minorHAnsi" w:hAnsiTheme="minorHAnsi" w:cstheme="minorHAnsi"/>
            <w:color w:val="000000"/>
          </w:rPr>
          <w:t>ing</w:t>
        </w:r>
      </w:ins>
      <w:del w:id="12" w:author="dsturde" w:date="2014-11-24T15:29:00Z">
        <w:r w:rsidR="00A1105D" w:rsidDel="00282503">
          <w:rPr>
            <w:rFonts w:asciiTheme="minorHAnsi" w:hAnsiTheme="minorHAnsi" w:cstheme="minorHAnsi"/>
            <w:color w:val="000000"/>
          </w:rPr>
          <w:delText>e</w:delText>
        </w:r>
      </w:del>
      <w:r w:rsidR="00A1105D">
        <w:rPr>
          <w:rFonts w:asciiTheme="minorHAnsi" w:hAnsiTheme="minorHAnsi" w:cstheme="minorHAnsi"/>
          <w:color w:val="000000"/>
        </w:rPr>
        <w:t xml:space="preserve"> its mixing zone policy as part of this rulemaking.</w:t>
      </w:r>
      <w:r w:rsidR="00A1105D" w:rsidRPr="00A1105D">
        <w:rPr>
          <w:rFonts w:asciiTheme="minorHAnsi" w:hAnsiTheme="minorHAnsi" w:cstheme="minorHAnsi"/>
          <w:color w:val="000000"/>
        </w:rPr>
        <w:t xml:space="preserve"> </w:t>
      </w:r>
      <w:r w:rsidR="007F048C">
        <w:rPr>
          <w:rFonts w:asciiTheme="minorHAnsi" w:hAnsiTheme="minorHAnsi" w:cstheme="minorHAnsi"/>
          <w:color w:val="000000"/>
        </w:rPr>
        <w:t>DEQ</w:t>
      </w:r>
      <w:r w:rsidR="007F048C" w:rsidRPr="007F048C">
        <w:rPr>
          <w:rFonts w:asciiTheme="minorHAnsi" w:hAnsiTheme="minorHAnsi" w:cstheme="minorHAnsi"/>
          <w:color w:val="000000"/>
        </w:rPr>
        <w:t xml:space="preserve"> generally addresses th</w:t>
      </w:r>
      <w:r w:rsidR="007F048C">
        <w:rPr>
          <w:rFonts w:asciiTheme="minorHAnsi" w:hAnsiTheme="minorHAnsi" w:cstheme="minorHAnsi"/>
          <w:color w:val="000000"/>
        </w:rPr>
        <w:t>e concern of mixing z</w:t>
      </w:r>
      <w:r w:rsidR="007F048C" w:rsidRPr="007F048C">
        <w:rPr>
          <w:rFonts w:asciiTheme="minorHAnsi" w:hAnsiTheme="minorHAnsi" w:cstheme="minorHAnsi"/>
          <w:color w:val="000000"/>
        </w:rPr>
        <w:t>one impacts upon non-mobile shellfish communities by limiting the size a</w:t>
      </w:r>
      <w:r w:rsidR="007F048C">
        <w:rPr>
          <w:rFonts w:asciiTheme="minorHAnsi" w:hAnsiTheme="minorHAnsi" w:cstheme="minorHAnsi"/>
          <w:color w:val="000000"/>
        </w:rPr>
        <w:t>nd extant of the mixing zones. DEQ</w:t>
      </w:r>
      <w:r w:rsidR="007F048C" w:rsidRPr="007F048C">
        <w:rPr>
          <w:rFonts w:asciiTheme="minorHAnsi" w:hAnsiTheme="minorHAnsi" w:cstheme="minorHAnsi"/>
          <w:color w:val="000000"/>
        </w:rPr>
        <w:t>'s current guidance indicates that</w:t>
      </w:r>
      <w:r w:rsidR="007F048C">
        <w:rPr>
          <w:rFonts w:asciiTheme="minorHAnsi" w:hAnsiTheme="minorHAnsi" w:cstheme="minorHAnsi"/>
          <w:color w:val="000000"/>
        </w:rPr>
        <w:t xml:space="preserve"> diffusers should be designed in</w:t>
      </w:r>
      <w:r w:rsidR="007F048C" w:rsidRPr="007F048C">
        <w:rPr>
          <w:rFonts w:asciiTheme="minorHAnsi" w:hAnsiTheme="minorHAnsi" w:cstheme="minorHAnsi"/>
          <w:color w:val="000000"/>
        </w:rPr>
        <w:t xml:space="preserve"> “preventing shore and bottom-hugging plumes to protect salmonid spawning area, littoral zones, and shellfish</w:t>
      </w:r>
      <w:r w:rsidR="007F048C">
        <w:rPr>
          <w:rFonts w:asciiTheme="minorHAnsi" w:hAnsiTheme="minorHAnsi" w:cstheme="minorHAnsi"/>
          <w:color w:val="000000"/>
        </w:rPr>
        <w:t xml:space="preserve"> growing and benthic habitat.” </w:t>
      </w:r>
      <w:proofErr w:type="gramStart"/>
      <w:r w:rsidR="007F048C" w:rsidRPr="007F048C">
        <w:rPr>
          <w:rFonts w:asciiTheme="minorHAnsi" w:hAnsiTheme="minorHAnsi" w:cstheme="minorHAnsi"/>
          <w:color w:val="000000"/>
        </w:rPr>
        <w:t>(Page 18 of the Regu</w:t>
      </w:r>
      <w:r w:rsidR="007F048C">
        <w:rPr>
          <w:rFonts w:asciiTheme="minorHAnsi" w:hAnsiTheme="minorHAnsi" w:cstheme="minorHAnsi"/>
          <w:color w:val="000000"/>
        </w:rPr>
        <w:t>lated Mixing Zone IMD Vol. 1).</w:t>
      </w:r>
      <w:proofErr w:type="gramEnd"/>
      <w:r w:rsidR="007F048C">
        <w:rPr>
          <w:rFonts w:asciiTheme="minorHAnsi" w:hAnsiTheme="minorHAnsi" w:cstheme="minorHAnsi"/>
          <w:color w:val="000000"/>
        </w:rPr>
        <w:t> </w:t>
      </w:r>
      <w:r w:rsidR="007F048C" w:rsidRPr="007F048C">
        <w:rPr>
          <w:rFonts w:asciiTheme="minorHAnsi" w:hAnsiTheme="minorHAnsi" w:cstheme="minorHAnsi"/>
          <w:color w:val="000000"/>
        </w:rPr>
        <w:t>This</w:t>
      </w:r>
      <w:r w:rsidR="007F048C">
        <w:rPr>
          <w:rFonts w:asciiTheme="minorHAnsi" w:hAnsiTheme="minorHAnsi" w:cstheme="minorHAnsi"/>
          <w:color w:val="000000"/>
        </w:rPr>
        <w:t xml:space="preserve"> guidance,</w:t>
      </w:r>
      <w:r w:rsidR="007F048C" w:rsidRPr="007F048C">
        <w:rPr>
          <w:rFonts w:asciiTheme="minorHAnsi" w:hAnsiTheme="minorHAnsi" w:cstheme="minorHAnsi"/>
          <w:color w:val="000000"/>
        </w:rPr>
        <w:t xml:space="preserve"> in conjunction with limitations to the cross sectional area </w:t>
      </w:r>
      <w:r w:rsidR="00C61FBC">
        <w:rPr>
          <w:rFonts w:asciiTheme="minorHAnsi" w:hAnsiTheme="minorHAnsi" w:cstheme="minorHAnsi"/>
          <w:color w:val="000000"/>
        </w:rPr>
        <w:t>of a stream (OAR 340-041-0053(2</w:t>
      </w:r>
      <w:proofErr w:type="gramStart"/>
      <w:r w:rsidR="00C61FBC">
        <w:rPr>
          <w:rFonts w:asciiTheme="minorHAnsi" w:hAnsiTheme="minorHAnsi" w:cstheme="minorHAnsi"/>
          <w:color w:val="000000"/>
        </w:rPr>
        <w:t>)(</w:t>
      </w:r>
      <w:proofErr w:type="gramEnd"/>
      <w:r w:rsidR="00C61FBC">
        <w:rPr>
          <w:rFonts w:asciiTheme="minorHAnsi" w:hAnsiTheme="minorHAnsi" w:cstheme="minorHAnsi"/>
          <w:color w:val="000000"/>
        </w:rPr>
        <w:t>c)(</w:t>
      </w:r>
      <w:r w:rsidR="007F048C" w:rsidRPr="007F048C">
        <w:rPr>
          <w:rFonts w:asciiTheme="minorHAnsi" w:hAnsiTheme="minorHAnsi" w:cstheme="minorHAnsi"/>
          <w:color w:val="000000"/>
        </w:rPr>
        <w:t>B)) or river that a mixing zone may occupy</w:t>
      </w:r>
      <w:r w:rsidR="007F048C">
        <w:rPr>
          <w:rFonts w:asciiTheme="minorHAnsi" w:hAnsiTheme="minorHAnsi" w:cstheme="minorHAnsi"/>
          <w:color w:val="000000"/>
        </w:rPr>
        <w:t>,</w:t>
      </w:r>
      <w:r w:rsidR="007F048C" w:rsidRPr="007F048C">
        <w:rPr>
          <w:rFonts w:asciiTheme="minorHAnsi" w:hAnsiTheme="minorHAnsi" w:cstheme="minorHAnsi"/>
          <w:color w:val="000000"/>
        </w:rPr>
        <w:t xml:space="preserve"> should minimize any impacts to shellfish c</w:t>
      </w:r>
      <w:r w:rsidR="007F048C">
        <w:rPr>
          <w:rFonts w:asciiTheme="minorHAnsi" w:hAnsiTheme="minorHAnsi" w:cstheme="minorHAnsi"/>
          <w:color w:val="000000"/>
        </w:rPr>
        <w:t>ommunities and their propagation</w:t>
      </w:r>
      <w:r w:rsidR="007F048C" w:rsidRPr="007F048C">
        <w:rPr>
          <w:rFonts w:asciiTheme="minorHAnsi" w:hAnsiTheme="minorHAnsi" w:cstheme="minorHAnsi"/>
          <w:color w:val="000000"/>
        </w:rPr>
        <w:t>.</w:t>
      </w:r>
    </w:p>
    <w:p w:rsidR="007F048C" w:rsidRPr="007F048C" w:rsidRDefault="007F048C" w:rsidP="007F048C">
      <w:pPr>
        <w:autoSpaceDE w:val="0"/>
        <w:autoSpaceDN w:val="0"/>
        <w:ind w:left="2160"/>
        <w:rPr>
          <w:rFonts w:asciiTheme="minorHAnsi" w:hAnsiTheme="minorHAnsi" w:cstheme="minorHAnsi"/>
          <w:color w:val="000000"/>
        </w:rPr>
      </w:pPr>
    </w:p>
    <w:p w:rsidR="007F048C" w:rsidRDefault="007F048C" w:rsidP="00495352">
      <w:pPr>
        <w:ind w:left="2880" w:right="648"/>
        <w:rPr>
          <w:rFonts w:asciiTheme="minorHAnsi" w:hAnsiTheme="minorHAnsi" w:cstheme="minorHAnsi"/>
          <w:color w:val="000000"/>
        </w:rPr>
      </w:pPr>
      <w:r w:rsidRPr="007F048C">
        <w:rPr>
          <w:rFonts w:asciiTheme="minorHAnsi" w:hAnsiTheme="minorHAnsi" w:cstheme="minorHAnsi"/>
          <w:color w:val="000000"/>
        </w:rPr>
        <w:t xml:space="preserve">In practicality, most modern diffusers use ports that angle upwards and </w:t>
      </w:r>
      <w:del w:id="13" w:author="dsturde" w:date="2014-11-24T15:30:00Z">
        <w:r w:rsidRPr="007F048C" w:rsidDel="005E1EF6">
          <w:rPr>
            <w:rFonts w:asciiTheme="minorHAnsi" w:hAnsiTheme="minorHAnsi" w:cstheme="minorHAnsi"/>
            <w:color w:val="000000"/>
          </w:rPr>
          <w:delText xml:space="preserve">with </w:delText>
        </w:r>
      </w:del>
      <w:r>
        <w:rPr>
          <w:rFonts w:asciiTheme="minorHAnsi" w:hAnsiTheme="minorHAnsi" w:cstheme="minorHAnsi"/>
          <w:color w:val="000000"/>
        </w:rPr>
        <w:t xml:space="preserve">appropriate </w:t>
      </w:r>
      <w:r w:rsidRPr="007F048C">
        <w:rPr>
          <w:rFonts w:asciiTheme="minorHAnsi" w:hAnsiTheme="minorHAnsi" w:cstheme="minorHAnsi"/>
          <w:color w:val="000000"/>
        </w:rPr>
        <w:t>velocity cont</w:t>
      </w:r>
      <w:r>
        <w:rPr>
          <w:rFonts w:asciiTheme="minorHAnsi" w:hAnsiTheme="minorHAnsi" w:cstheme="minorHAnsi"/>
          <w:color w:val="000000"/>
        </w:rPr>
        <w:t>rols to ensure rapid mixing</w:t>
      </w:r>
      <w:ins w:id="14" w:author="dsturde" w:date="2014-11-24T15:32:00Z">
        <w:r w:rsidR="005E1EF6">
          <w:rPr>
            <w:rFonts w:asciiTheme="minorHAnsi" w:hAnsiTheme="minorHAnsi" w:cstheme="minorHAnsi"/>
            <w:color w:val="000000"/>
          </w:rPr>
          <w:t xml:space="preserve"> and</w:t>
        </w:r>
      </w:ins>
      <w:r>
        <w:rPr>
          <w:rFonts w:asciiTheme="minorHAnsi" w:hAnsiTheme="minorHAnsi" w:cstheme="minorHAnsi"/>
          <w:color w:val="000000"/>
        </w:rPr>
        <w:t xml:space="preserve"> to </w:t>
      </w:r>
      <w:r w:rsidRPr="007F048C">
        <w:rPr>
          <w:rFonts w:asciiTheme="minorHAnsi" w:hAnsiTheme="minorHAnsi" w:cstheme="minorHAnsi"/>
          <w:color w:val="000000"/>
        </w:rPr>
        <w:t xml:space="preserve">minimize the potential for a </w:t>
      </w:r>
      <w:r>
        <w:rPr>
          <w:rFonts w:asciiTheme="minorHAnsi" w:hAnsiTheme="minorHAnsi" w:cstheme="minorHAnsi"/>
          <w:color w:val="000000"/>
        </w:rPr>
        <w:t>plume to</w:t>
      </w:r>
      <w:r w:rsidRPr="007F048C">
        <w:rPr>
          <w:rFonts w:asciiTheme="minorHAnsi" w:hAnsiTheme="minorHAnsi" w:cstheme="minorHAnsi"/>
          <w:color w:val="000000"/>
        </w:rPr>
        <w:t xml:space="preserve"> either hug the bottom o</w:t>
      </w:r>
      <w:r>
        <w:rPr>
          <w:rFonts w:asciiTheme="minorHAnsi" w:hAnsiTheme="minorHAnsi" w:cstheme="minorHAnsi"/>
          <w:color w:val="000000"/>
        </w:rPr>
        <w:t>r the shoreline of the stream. </w:t>
      </w:r>
      <w:del w:id="15" w:author="dsturde" w:date="2014-11-24T15:32:00Z">
        <w:r w:rsidRPr="007F048C" w:rsidDel="005E1EF6">
          <w:rPr>
            <w:rFonts w:asciiTheme="minorHAnsi" w:hAnsiTheme="minorHAnsi" w:cstheme="minorHAnsi"/>
            <w:color w:val="000000"/>
          </w:rPr>
          <w:delText xml:space="preserve">Accordingly, </w:delText>
        </w:r>
      </w:del>
      <w:r>
        <w:rPr>
          <w:rFonts w:asciiTheme="minorHAnsi" w:hAnsiTheme="minorHAnsi" w:cstheme="minorHAnsi"/>
          <w:color w:val="000000"/>
        </w:rPr>
        <w:t xml:space="preserve">DEQ will </w:t>
      </w:r>
      <w:r w:rsidRPr="007F048C">
        <w:rPr>
          <w:rFonts w:asciiTheme="minorHAnsi" w:hAnsiTheme="minorHAnsi" w:cstheme="minorHAnsi"/>
          <w:color w:val="000000"/>
        </w:rPr>
        <w:t>review the configuration of the diffuser and alignment of the mixing zone at the individual pe</w:t>
      </w:r>
      <w:r>
        <w:rPr>
          <w:rFonts w:asciiTheme="minorHAnsi" w:hAnsiTheme="minorHAnsi" w:cstheme="minorHAnsi"/>
          <w:color w:val="000000"/>
        </w:rPr>
        <w:t xml:space="preserve">rmit level to </w:t>
      </w:r>
      <w:commentRangeStart w:id="16"/>
      <w:r>
        <w:rPr>
          <w:rFonts w:asciiTheme="minorHAnsi" w:hAnsiTheme="minorHAnsi" w:cstheme="minorHAnsi"/>
          <w:color w:val="000000"/>
        </w:rPr>
        <w:t xml:space="preserve">ensure that shellfish communities are </w:t>
      </w:r>
      <w:r w:rsidRPr="007F048C">
        <w:rPr>
          <w:rFonts w:asciiTheme="minorHAnsi" w:hAnsiTheme="minorHAnsi" w:cstheme="minorHAnsi"/>
          <w:color w:val="000000"/>
        </w:rPr>
        <w:t>adequately protected.</w:t>
      </w:r>
      <w:commentRangeEnd w:id="16"/>
      <w:r w:rsidR="005E1EF6">
        <w:rPr>
          <w:rStyle w:val="CommentReference"/>
        </w:rPr>
        <w:commentReference w:id="16"/>
      </w:r>
    </w:p>
    <w:p w:rsidR="00885634" w:rsidRDefault="00885634" w:rsidP="00495352">
      <w:pPr>
        <w:ind w:left="2880" w:right="648"/>
        <w:rPr>
          <w:rFonts w:asciiTheme="minorHAnsi" w:hAnsiTheme="minorHAnsi" w:cstheme="minorHAnsi"/>
          <w:color w:val="000000"/>
        </w:rPr>
      </w:pPr>
    </w:p>
    <w:p w:rsidR="00885634" w:rsidRPr="007F048C" w:rsidRDefault="005E1EF6" w:rsidP="00495352">
      <w:pPr>
        <w:ind w:left="2880" w:right="648"/>
        <w:rPr>
          <w:rFonts w:asciiTheme="minorHAnsi" w:hAnsiTheme="minorHAnsi" w:cstheme="minorHAnsi"/>
          <w:color w:val="1F497D"/>
        </w:rPr>
      </w:pPr>
      <w:ins w:id="17" w:author="dsturde" w:date="2014-11-24T15:36:00Z">
        <w:r>
          <w:rPr>
            <w:rFonts w:asciiTheme="minorHAnsi" w:hAnsiTheme="minorHAnsi" w:cstheme="minorHAnsi"/>
            <w:color w:val="000000"/>
          </w:rPr>
          <w:t xml:space="preserve">DEQ does not believe it is necessary </w:t>
        </w:r>
      </w:ins>
      <w:del w:id="18" w:author="dsturde" w:date="2014-11-24T15:36:00Z">
        <w:r w:rsidR="00C61FBC" w:rsidDel="005E1EF6">
          <w:rPr>
            <w:rFonts w:asciiTheme="minorHAnsi" w:hAnsiTheme="minorHAnsi" w:cstheme="minorHAnsi"/>
            <w:color w:val="000000"/>
          </w:rPr>
          <w:delText xml:space="preserve">In regards </w:delText>
        </w:r>
      </w:del>
      <w:r w:rsidR="00C61FBC">
        <w:rPr>
          <w:rFonts w:asciiTheme="minorHAnsi" w:hAnsiTheme="minorHAnsi" w:cstheme="minorHAnsi"/>
          <w:color w:val="000000"/>
        </w:rPr>
        <w:t xml:space="preserve">to </w:t>
      </w:r>
      <w:del w:id="19" w:author="dsturde" w:date="2014-11-24T15:36:00Z">
        <w:r w:rsidR="00C61FBC" w:rsidDel="005E1EF6">
          <w:rPr>
            <w:rFonts w:asciiTheme="minorHAnsi" w:hAnsiTheme="minorHAnsi" w:cstheme="minorHAnsi"/>
            <w:color w:val="000000"/>
          </w:rPr>
          <w:delText>the</w:delText>
        </w:r>
        <w:r w:rsidR="00885634" w:rsidDel="005E1EF6">
          <w:rPr>
            <w:rFonts w:asciiTheme="minorHAnsi" w:hAnsiTheme="minorHAnsi" w:cstheme="minorHAnsi"/>
            <w:color w:val="000000"/>
          </w:rPr>
          <w:delText xml:space="preserve"> </w:delText>
        </w:r>
      </w:del>
      <w:del w:id="20" w:author="dsturde" w:date="2014-11-24T15:35:00Z">
        <w:r w:rsidR="00885634" w:rsidDel="005E1EF6">
          <w:rPr>
            <w:rFonts w:asciiTheme="minorHAnsi" w:hAnsiTheme="minorHAnsi" w:cstheme="minorHAnsi"/>
            <w:color w:val="000000"/>
          </w:rPr>
          <w:delText>commenter’s</w:delText>
        </w:r>
      </w:del>
      <w:del w:id="21" w:author="dsturde" w:date="2014-11-24T15:36:00Z">
        <w:r w:rsidR="00885634" w:rsidDel="005E1EF6">
          <w:rPr>
            <w:rFonts w:asciiTheme="minorHAnsi" w:hAnsiTheme="minorHAnsi" w:cstheme="minorHAnsi"/>
            <w:color w:val="000000"/>
          </w:rPr>
          <w:delText xml:space="preserve"> suggestion </w:delText>
        </w:r>
      </w:del>
      <w:ins w:id="22" w:author="dsturde" w:date="2014-11-24T15:35:00Z">
        <w:r>
          <w:rPr>
            <w:rFonts w:asciiTheme="minorHAnsi" w:hAnsiTheme="minorHAnsi" w:cstheme="minorHAnsi"/>
            <w:color w:val="000000"/>
          </w:rPr>
          <w:t xml:space="preserve">require dischargers </w:t>
        </w:r>
      </w:ins>
      <w:r w:rsidR="00885634">
        <w:rPr>
          <w:rFonts w:asciiTheme="minorHAnsi" w:hAnsiTheme="minorHAnsi" w:cstheme="minorHAnsi"/>
          <w:color w:val="000000"/>
        </w:rPr>
        <w:t>to collect and address evidence of localized extirpations of freshwater mussels</w:t>
      </w:r>
      <w:del w:id="23" w:author="dsturde" w:date="2014-11-24T15:36:00Z">
        <w:r w:rsidR="00885634" w:rsidDel="005E1EF6">
          <w:rPr>
            <w:rFonts w:asciiTheme="minorHAnsi" w:hAnsiTheme="minorHAnsi" w:cstheme="minorHAnsi"/>
            <w:color w:val="000000"/>
          </w:rPr>
          <w:delText>, DEQ does not believe this is necessary</w:delText>
        </w:r>
      </w:del>
      <w:r w:rsidR="00885634">
        <w:rPr>
          <w:rFonts w:asciiTheme="minorHAnsi" w:hAnsiTheme="minorHAnsi" w:cstheme="minorHAnsi"/>
          <w:color w:val="000000"/>
        </w:rPr>
        <w:t xml:space="preserve">. DEQ’s proposed amendments to the ammonia criteria are </w:t>
      </w:r>
      <w:ins w:id="24" w:author="dsturde" w:date="2014-11-24T15:36:00Z">
        <w:r>
          <w:rPr>
            <w:rFonts w:asciiTheme="minorHAnsi" w:hAnsiTheme="minorHAnsi" w:cstheme="minorHAnsi"/>
            <w:color w:val="000000"/>
          </w:rPr>
          <w:t xml:space="preserve">already </w:t>
        </w:r>
      </w:ins>
      <w:r w:rsidR="00885634">
        <w:rPr>
          <w:rFonts w:asciiTheme="minorHAnsi" w:hAnsiTheme="minorHAnsi" w:cstheme="minorHAnsi"/>
          <w:color w:val="000000"/>
        </w:rPr>
        <w:t xml:space="preserve">based on the assumption that mussels are </w:t>
      </w:r>
      <w:del w:id="25" w:author="dsturde" w:date="2014-11-24T15:36:00Z">
        <w:r w:rsidR="00C866BD" w:rsidDel="005E1EF6">
          <w:rPr>
            <w:rFonts w:asciiTheme="minorHAnsi" w:hAnsiTheme="minorHAnsi" w:cstheme="minorHAnsi"/>
            <w:color w:val="000000"/>
          </w:rPr>
          <w:delText xml:space="preserve">already </w:delText>
        </w:r>
      </w:del>
      <w:r w:rsidR="00885634">
        <w:rPr>
          <w:rFonts w:asciiTheme="minorHAnsi" w:hAnsiTheme="minorHAnsi" w:cstheme="minorHAnsi"/>
          <w:color w:val="000000"/>
        </w:rPr>
        <w:t xml:space="preserve">present in all freshwater systems. Therefore, the criteria should protect most mussels and snails that are present or </w:t>
      </w:r>
      <w:r w:rsidR="00C866BD">
        <w:rPr>
          <w:rFonts w:asciiTheme="minorHAnsi" w:hAnsiTheme="minorHAnsi" w:cstheme="minorHAnsi"/>
          <w:color w:val="000000"/>
        </w:rPr>
        <w:t xml:space="preserve">could be </w:t>
      </w:r>
      <w:r w:rsidR="00885634">
        <w:rPr>
          <w:rFonts w:asciiTheme="minorHAnsi" w:hAnsiTheme="minorHAnsi" w:cstheme="minorHAnsi"/>
          <w:color w:val="000000"/>
        </w:rPr>
        <w:t>present in the future.</w:t>
      </w:r>
      <w:r w:rsidR="00C866BD">
        <w:rPr>
          <w:rFonts w:asciiTheme="minorHAnsi" w:hAnsiTheme="minorHAnsi" w:cstheme="minorHAnsi"/>
          <w:color w:val="000000"/>
        </w:rPr>
        <w:t xml:space="preserve"> If a third party wished to support site-specific criteria based on the justification that mussels are not present at a site, DEQ would require a rigorous mussel survey, including evidence indicating that mussels </w:t>
      </w:r>
      <w:del w:id="26" w:author="dsturde" w:date="2014-11-24T15:37:00Z">
        <w:r w:rsidR="00C866BD" w:rsidDel="005E1EF6">
          <w:rPr>
            <w:rFonts w:asciiTheme="minorHAnsi" w:hAnsiTheme="minorHAnsi" w:cstheme="minorHAnsi"/>
            <w:color w:val="000000"/>
          </w:rPr>
          <w:delText xml:space="preserve">were </w:delText>
        </w:r>
      </w:del>
      <w:ins w:id="27" w:author="dsturde" w:date="2014-11-24T15:37:00Z">
        <w:r>
          <w:rPr>
            <w:rFonts w:asciiTheme="minorHAnsi" w:hAnsiTheme="minorHAnsi" w:cstheme="minorHAnsi"/>
            <w:color w:val="000000"/>
          </w:rPr>
          <w:t xml:space="preserve">have not </w:t>
        </w:r>
      </w:ins>
      <w:r w:rsidR="00C866BD">
        <w:rPr>
          <w:rFonts w:asciiTheme="minorHAnsi" w:hAnsiTheme="minorHAnsi" w:cstheme="minorHAnsi"/>
          <w:color w:val="000000"/>
        </w:rPr>
        <w:t xml:space="preserve">likely </w:t>
      </w:r>
      <w:del w:id="28" w:author="dsturde" w:date="2014-11-24T15:37:00Z">
        <w:r w:rsidR="00C866BD" w:rsidDel="005E1EF6">
          <w:rPr>
            <w:rFonts w:asciiTheme="minorHAnsi" w:hAnsiTheme="minorHAnsi" w:cstheme="minorHAnsi"/>
            <w:color w:val="000000"/>
          </w:rPr>
          <w:delText xml:space="preserve">never </w:delText>
        </w:r>
      </w:del>
      <w:ins w:id="29" w:author="dsturde" w:date="2014-11-24T15:37:00Z">
        <w:r>
          <w:rPr>
            <w:rFonts w:asciiTheme="minorHAnsi" w:hAnsiTheme="minorHAnsi" w:cstheme="minorHAnsi"/>
            <w:color w:val="000000"/>
          </w:rPr>
          <w:t xml:space="preserve">been </w:t>
        </w:r>
      </w:ins>
      <w:r w:rsidR="00C866BD">
        <w:rPr>
          <w:rFonts w:asciiTheme="minorHAnsi" w:hAnsiTheme="minorHAnsi" w:cstheme="minorHAnsi"/>
          <w:color w:val="000000"/>
        </w:rPr>
        <w:t xml:space="preserve">present at </w:t>
      </w:r>
      <w:ins w:id="30" w:author="dsturde" w:date="2014-11-24T15:37:00Z">
        <w:r>
          <w:rPr>
            <w:rFonts w:asciiTheme="minorHAnsi" w:hAnsiTheme="minorHAnsi" w:cstheme="minorHAnsi"/>
            <w:color w:val="000000"/>
          </w:rPr>
          <w:t xml:space="preserve">the </w:t>
        </w:r>
      </w:ins>
      <w:del w:id="31" w:author="dsturde" w:date="2014-11-24T15:37:00Z">
        <w:r w:rsidR="00C866BD" w:rsidDel="005E1EF6">
          <w:rPr>
            <w:rFonts w:asciiTheme="minorHAnsi" w:hAnsiTheme="minorHAnsi" w:cstheme="minorHAnsi"/>
            <w:color w:val="000000"/>
          </w:rPr>
          <w:delText xml:space="preserve">a </w:delText>
        </w:r>
      </w:del>
      <w:r w:rsidR="00C866BD">
        <w:rPr>
          <w:rFonts w:asciiTheme="minorHAnsi" w:hAnsiTheme="minorHAnsi" w:cstheme="minorHAnsi"/>
          <w:color w:val="000000"/>
        </w:rPr>
        <w:t>site</w:t>
      </w:r>
      <w:ins w:id="32" w:author="dsturde" w:date="2014-11-24T15:37:00Z">
        <w:r>
          <w:rPr>
            <w:rFonts w:asciiTheme="minorHAnsi" w:hAnsiTheme="minorHAnsi" w:cstheme="minorHAnsi"/>
            <w:color w:val="000000"/>
          </w:rPr>
          <w:t xml:space="preserve"> since </w:t>
        </w:r>
      </w:ins>
      <w:ins w:id="33" w:author="dsturde" w:date="2014-11-24T15:38:00Z">
        <w:r>
          <w:rPr>
            <w:rFonts w:asciiTheme="minorHAnsi" w:hAnsiTheme="minorHAnsi" w:cstheme="minorHAnsi"/>
            <w:color w:val="000000"/>
          </w:rPr>
          <w:t xml:space="preserve">prior to </w:t>
        </w:r>
      </w:ins>
      <w:ins w:id="34" w:author="dsturde" w:date="2014-11-24T15:37:00Z">
        <w:r>
          <w:rPr>
            <w:rFonts w:asciiTheme="minorHAnsi" w:hAnsiTheme="minorHAnsi" w:cstheme="minorHAnsi"/>
            <w:color w:val="000000"/>
          </w:rPr>
          <w:t>1975</w:t>
        </w:r>
      </w:ins>
      <w:r w:rsidR="00C866BD">
        <w:rPr>
          <w:rFonts w:asciiTheme="minorHAnsi" w:hAnsiTheme="minorHAnsi" w:cstheme="minorHAnsi"/>
          <w:color w:val="000000"/>
        </w:rPr>
        <w:t>.</w:t>
      </w: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1"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35" w:name="AdvisoryCommittee"/>
      <w:r w:rsidRPr="006807BF">
        <w:rPr>
          <w:rFonts w:asciiTheme="majorHAnsi" w:hAnsiTheme="majorHAnsi" w:cstheme="majorHAnsi"/>
          <w:bCs/>
          <w:color w:val="000000" w:themeColor="text1"/>
          <w:sz w:val="22"/>
          <w:szCs w:val="22"/>
        </w:rPr>
        <w:t>Advisory committee</w:t>
      </w:r>
      <w:bookmarkEnd w:id="35"/>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C94966"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C94966" w:rsidRPr="00C11796">
        <w:rPr>
          <w:rFonts w:asciiTheme="majorHAnsi" w:hAnsiTheme="majorHAnsi" w:cstheme="majorHAnsi"/>
        </w:rPr>
        <w:fldChar w:fldCharType="separate"/>
      </w:r>
      <w:r>
        <w:rPr>
          <w:rFonts w:asciiTheme="majorHAnsi" w:hAnsiTheme="majorHAnsi" w:cstheme="majorHAnsi"/>
          <w:noProof/>
        </w:rPr>
        <w:t>1</w:t>
      </w:r>
      <w:r w:rsidR="00C94966"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2"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C94966" w:rsidP="00DA798F">
      <w:pPr>
        <w:pStyle w:val="ListParagraph"/>
        <w:spacing w:after="120"/>
        <w:ind w:left="1440" w:right="900"/>
        <w:outlineLvl w:val="9"/>
        <w:rPr>
          <w:rStyle w:val="Emphasis"/>
        </w:rPr>
      </w:pPr>
      <w:r w:rsidRPr="00C94966">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AD2525" w:rsidRPr="001A4DE1" w:rsidRDefault="00AD2525"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AD2525" w:rsidRPr="001A4DE1" w:rsidRDefault="00AD2525"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AD2525" w:rsidRDefault="00AD2525"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commentRangeStart w:id="36"/>
      <w:r w:rsidRPr="00D13EA4">
        <w:t>Presiding Officers’ Record</w:t>
      </w:r>
      <w:commentRangeEnd w:id="36"/>
      <w:r w:rsidR="0042176F">
        <w:rPr>
          <w:rStyle w:val="CommentReference"/>
          <w:rFonts w:ascii="Times New Roman" w:hAnsi="Times New Roman" w:cs="Times New Roman"/>
          <w:bCs w:val="0"/>
          <w:color w:val="auto"/>
        </w:rPr>
        <w:commentReference w:id="36"/>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w:t>
      </w:r>
      <w:proofErr w:type="gramStart"/>
      <w:r w:rsidR="00FF33AE">
        <w:t>informal</w:t>
      </w:r>
      <w:proofErr w:type="gramEnd"/>
      <w:r w:rsidR="00FF33AE">
        <w:t xml:space="preserve">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EB7333" w:rsidRDefault="00EB7333" w:rsidP="00EB7333">
      <w:pPr>
        <w:pStyle w:val="ListParagraph"/>
        <w:numPr>
          <w:ilvl w:val="0"/>
          <w:numId w:val="28"/>
        </w:numPr>
        <w:ind w:right="1008"/>
        <w:rPr>
          <w:rFonts w:asciiTheme="minorHAnsi" w:hAnsiTheme="minorHAnsi" w:cstheme="minorHAnsi"/>
          <w:color w:val="000000"/>
          <w:highlight w:val="yellow"/>
        </w:rPr>
      </w:pPr>
      <w:r w:rsidRPr="00EB7333">
        <w:rPr>
          <w:rFonts w:asciiTheme="minorHAnsi" w:hAnsiTheme="minorHAnsi" w:cstheme="minorHAnsi"/>
          <w:color w:val="000000" w:themeColor="text1"/>
          <w:highlight w:val="yellow"/>
        </w:rPr>
        <w:t xml:space="preserve">Regional permitting </w:t>
      </w:r>
      <w:proofErr w:type="gramStart"/>
      <w:r w:rsidRPr="00EB7333">
        <w:rPr>
          <w:rFonts w:asciiTheme="minorHAnsi" w:hAnsiTheme="minorHAnsi" w:cstheme="minorHAnsi"/>
          <w:color w:val="000000" w:themeColor="text1"/>
          <w:highlight w:val="yellow"/>
        </w:rPr>
        <w:t xml:space="preserve">staff </w:t>
      </w:r>
      <w:r w:rsidR="00A34742">
        <w:rPr>
          <w:rFonts w:asciiTheme="minorHAnsi" w:hAnsiTheme="minorHAnsi" w:cstheme="minorHAnsi"/>
          <w:color w:val="000000" w:themeColor="text1"/>
          <w:highlight w:val="yellow"/>
        </w:rPr>
        <w:t>email</w:t>
      </w:r>
      <w:proofErr w:type="gramEnd"/>
      <w:r w:rsidR="00A34742">
        <w:rPr>
          <w:rFonts w:asciiTheme="minorHAnsi" w:hAnsiTheme="minorHAnsi" w:cstheme="minorHAnsi"/>
          <w:color w:val="000000" w:themeColor="text1"/>
          <w:highlight w:val="yellow"/>
        </w:rPr>
        <w:t xml:space="preserve"> </w:t>
      </w:r>
      <w:r w:rsidRPr="00EB7333">
        <w:rPr>
          <w:rFonts w:asciiTheme="minorHAnsi" w:hAnsiTheme="minorHAnsi" w:cstheme="minorHAnsi"/>
          <w:color w:val="000000" w:themeColor="text1"/>
          <w:highlight w:val="yellow"/>
        </w:rPr>
        <w:t>communication to individual NPDES permittees</w:t>
      </w:r>
      <w:r w:rsidR="00F166E9">
        <w:rPr>
          <w:rFonts w:asciiTheme="minorHAnsi" w:hAnsiTheme="minorHAnsi" w:cstheme="minorHAnsi"/>
          <w:color w:val="000000" w:themeColor="text1"/>
          <w:highlight w:val="yellow"/>
        </w:rPr>
        <w:t>, Jennifer</w:t>
      </w:r>
      <w:r w:rsidRPr="00EB7333">
        <w:rPr>
          <w:rFonts w:asciiTheme="minorHAnsi" w:hAnsiTheme="minorHAnsi" w:cstheme="minorHAnsi"/>
          <w:color w:val="000000" w:themeColor="text1"/>
          <w:highlight w:val="yellow"/>
        </w:rPr>
        <w:t>?</w:t>
      </w:r>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Pr>
          <w:rFonts w:asciiTheme="minorHAnsi" w:hAnsiTheme="minorHAnsi" w:cstheme="minorHAnsi"/>
          <w:color w:val="000000"/>
        </w:rPr>
        <w:t>P</w:t>
      </w:r>
      <w:r w:rsidR="008E6469">
        <w:rPr>
          <w:rFonts w:asciiTheme="minorHAnsi" w:hAnsiTheme="minorHAnsi" w:cstheme="minorHAnsi"/>
          <w:color w:val="000000"/>
        </w:rPr>
        <w:t xml:space="preserve">ermitting staff </w:t>
      </w:r>
      <w:commentRangeStart w:id="37"/>
      <w:r w:rsidR="008E6469">
        <w:rPr>
          <w:rFonts w:asciiTheme="minorHAnsi" w:hAnsiTheme="minorHAnsi" w:cstheme="minorHAnsi"/>
          <w:color w:val="000000"/>
        </w:rPr>
        <w:t>may</w:t>
      </w:r>
      <w:commentRangeEnd w:id="37"/>
      <w:r w:rsidR="006F5145">
        <w:rPr>
          <w:rStyle w:val="CommentReference"/>
        </w:rPr>
        <w:commentReference w:id="37"/>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commentRangeStart w:id="38"/>
      <w:r w:rsidRPr="00D13EA4">
        <w:t xml:space="preserve">Exemption </w:t>
      </w:r>
      <w:r>
        <w:t>from five-year rule review</w:t>
      </w:r>
      <w:r w:rsidRPr="00D13EA4">
        <w:t xml:space="preserve"> </w:t>
      </w:r>
      <w:commentRangeEnd w:id="38"/>
      <w:r w:rsidR="00DC4EAA">
        <w:rPr>
          <w:rStyle w:val="CommentReference"/>
          <w:rFonts w:ascii="Times New Roman" w:hAnsi="Times New Roman" w:cs="Times New Roman"/>
          <w:bCs w:val="0"/>
          <w:color w:val="auto"/>
        </w:rPr>
        <w:commentReference w:id="38"/>
      </w:r>
    </w:p>
    <w:p w:rsidR="00D824D5" w:rsidRDefault="00E052E0" w:rsidP="00D824D5">
      <w:pPr>
        <w:ind w:right="14"/>
        <w:rPr>
          <w:rFonts w:asciiTheme="minorHAnsi" w:hAnsiTheme="minorHAnsi" w:cstheme="minorHAnsi"/>
          <w:bCs/>
        </w:rPr>
      </w:pPr>
      <w:r w:rsidRPr="00007748">
        <w:rPr>
          <w:rStyle w:val="Emphasis"/>
        </w:rPr>
        <w:t>OPTION 1</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00D824D5">
        <w:rPr>
          <w:rFonts w:asciiTheme="minorHAnsi" w:hAnsiTheme="minorHAnsi" w:cstheme="minorHAnsi"/>
        </w:rPr>
        <w:t xml:space="preserve"> </w:t>
      </w:r>
      <w:r w:rsidR="00DC4EAA">
        <w:rPr>
          <w:rFonts w:asciiTheme="minorHAnsi" w:hAnsiTheme="minorHAnsi" w:cstheme="minorHAnsi"/>
          <w:bCs/>
        </w:rPr>
        <w:t>OAR</w:t>
      </w:r>
      <w:r w:rsidR="00D824D5" w:rsidRPr="00122E68">
        <w:rPr>
          <w:rFonts w:asciiTheme="minorHAnsi" w:hAnsiTheme="minorHAnsi" w:cstheme="minorHAnsi"/>
          <w:bCs/>
        </w:rPr>
        <w:t xml:space="preserve"> 340-041-0002, 340-041-0007, 340-041-0028, </w:t>
      </w:r>
    </w:p>
    <w:p w:rsidR="00E052E0" w:rsidRPr="00D90062" w:rsidRDefault="00D824D5" w:rsidP="00D824D5">
      <w:pPr>
        <w:autoSpaceDE w:val="0"/>
        <w:autoSpaceDN w:val="0"/>
        <w:adjustRightInd w:val="0"/>
        <w:ind w:right="1008"/>
        <w:rPr>
          <w:rFonts w:asciiTheme="minorHAnsi" w:hAnsiTheme="minorHAnsi" w:cstheme="minorHAnsi"/>
        </w:rPr>
      </w:pPr>
      <w:r w:rsidRPr="00122E68">
        <w:rPr>
          <w:rFonts w:asciiTheme="minorHAnsi" w:hAnsiTheme="minorHAnsi" w:cstheme="minorHAnsi"/>
          <w:bCs/>
        </w:rPr>
        <w:t xml:space="preserve">340-041-0033, 340-041-0124, </w:t>
      </w:r>
      <w:r>
        <w:rPr>
          <w:rFonts w:asciiTheme="minorHAnsi" w:hAnsiTheme="minorHAnsi" w:cstheme="minorHAnsi"/>
          <w:bCs/>
        </w:rPr>
        <w:t xml:space="preserve">340-041-0310, and </w:t>
      </w:r>
      <w:r w:rsidRPr="00122E68">
        <w:rPr>
          <w:rFonts w:asciiTheme="minorHAnsi" w:hAnsiTheme="minorHAnsi" w:cstheme="minorHAnsi"/>
          <w:bCs/>
        </w:rPr>
        <w:t>340-041-0315</w:t>
      </w:r>
      <w:r w:rsidR="00E052E0" w:rsidRPr="0019385F">
        <w:rPr>
          <w:rFonts w:asciiTheme="minorHAnsi" w:hAnsiTheme="minorHAnsi" w:cstheme="minorHAnsi"/>
        </w:rPr>
        <w:t xml:space="preserve"> </w:t>
      </w:r>
      <w:r>
        <w:rPr>
          <w:rFonts w:asciiTheme="minorHAnsi" w:hAnsiTheme="minorHAnsi" w:cstheme="minorHAnsi"/>
        </w:rPr>
        <w:t xml:space="preserve">proposed </w:t>
      </w:r>
      <w:r w:rsidR="00E052E0" w:rsidRPr="0019385F">
        <w:rPr>
          <w:rFonts w:asciiTheme="minorHAnsi" w:hAnsiTheme="minorHAnsi" w:cstheme="minorHAnsi"/>
        </w:rPr>
        <w:t>rules</w:t>
      </w:r>
      <w:r w:rsidR="00E052E0">
        <w:rPr>
          <w:rFonts w:asciiTheme="minorHAnsi" w:hAnsiTheme="minorHAnsi" w:cstheme="minorHAnsi"/>
        </w:rPr>
        <w:t xml:space="preserve"> from the five-year</w:t>
      </w:r>
      <w:r w:rsidR="00E052E0" w:rsidRPr="0019385F">
        <w:rPr>
          <w:rFonts w:asciiTheme="minorHAnsi" w:hAnsiTheme="minorHAnsi" w:cstheme="minorHAnsi"/>
        </w:rPr>
        <w:t xml:space="preserve"> rule review </w:t>
      </w:r>
      <w:r w:rsidR="00E052E0">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Default="00C94966"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D824D5">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D824D5" w:rsidRPr="00D90062" w:rsidRDefault="00D824D5"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r>
        <w:rPr>
          <w:rFonts w:asciiTheme="minorHAnsi" w:hAnsiTheme="minorHAnsi" w:cstheme="minorHAnsi"/>
        </w:rPr>
        <w:t>Correct errors or omissions. ORS 183.405(d)</w:t>
      </w:r>
    </w:p>
    <w:p w:rsidR="00D824D5" w:rsidRDefault="00D824D5" w:rsidP="00E052E0">
      <w:pPr>
        <w:pStyle w:val="ListParagraph"/>
        <w:autoSpaceDE w:val="0"/>
        <w:autoSpaceDN w:val="0"/>
        <w:adjustRightInd w:val="0"/>
        <w:ind w:right="1008"/>
        <w:rPr>
          <w:rStyle w:val="Emphasis"/>
          <w:vanish w:val="0"/>
        </w:rPr>
      </w:pPr>
    </w:p>
    <w:p w:rsidR="00E052E0" w:rsidRPr="00746ED7" w:rsidRDefault="00E052E0" w:rsidP="00E052E0">
      <w:pPr>
        <w:pStyle w:val="ListParagraph"/>
        <w:autoSpaceDE w:val="0"/>
        <w:autoSpaceDN w:val="0"/>
        <w:adjustRightInd w:val="0"/>
        <w:ind w:right="1008"/>
        <w:rPr>
          <w:rFonts w:asciiTheme="minorHAnsi" w:hAnsiTheme="minorHAnsi" w:cstheme="minorHAnsi"/>
        </w:rPr>
      </w:pPr>
      <w:commentRangeStart w:id="39"/>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commentRangeEnd w:id="39"/>
      <w:r w:rsidR="00DC4EAA">
        <w:rPr>
          <w:rStyle w:val="CommentReference"/>
        </w:rPr>
        <w:commentReference w:id="39"/>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commentRangeStart w:id="40"/>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commentRangeEnd w:id="40"/>
    <w:p w:rsidR="00E052E0" w:rsidRDefault="00DC4EAA" w:rsidP="00E052E0">
      <w:pPr>
        <w:autoSpaceDE w:val="0"/>
        <w:autoSpaceDN w:val="0"/>
        <w:adjustRightInd w:val="0"/>
        <w:spacing w:after="120"/>
        <w:ind w:right="1008"/>
        <w:rPr>
          <w:rFonts w:ascii="Verdana" w:hAnsi="Verdana" w:cs="Verdana"/>
          <w:sz w:val="20"/>
          <w:szCs w:val="20"/>
        </w:rPr>
      </w:pPr>
      <w:r>
        <w:rPr>
          <w:rStyle w:val="CommentReference"/>
        </w:rPr>
        <w:commentReference w:id="40"/>
      </w:r>
      <w:r w:rsidR="00E052E0">
        <w:rPr>
          <w:rFonts w:asciiTheme="minorHAnsi" w:hAnsiTheme="minorHAnsi" w:cstheme="minorHAnsi"/>
        </w:rPr>
        <w:t xml:space="preserve">No later </w:t>
      </w:r>
      <w:commentRangeStart w:id="41"/>
      <w:r w:rsidR="00E052E0">
        <w:rPr>
          <w:rFonts w:asciiTheme="minorHAnsi" w:hAnsiTheme="minorHAnsi" w:cstheme="minorHAnsi"/>
        </w:rPr>
        <w:t>than</w:t>
      </w:r>
      <w:r w:rsidR="00E052E0">
        <w:rPr>
          <w:rFonts w:asciiTheme="minorHAnsi" w:hAnsiTheme="minorHAnsi" w:cstheme="minorHAnsi"/>
          <w:color w:val="000000"/>
        </w:rPr>
        <w:t xml:space="preserve"> </w:t>
      </w:r>
      <w:r w:rsidR="00E052E0" w:rsidRPr="00007748">
        <w:rPr>
          <w:rStyle w:val="Emphasis"/>
        </w:rPr>
        <w:t>E</w:t>
      </w:r>
      <w:r w:rsidR="00007748">
        <w:rPr>
          <w:rStyle w:val="Emphasis"/>
        </w:rPr>
        <w:t>nter the date that that is 5 years from EQC meeting date in Mmm dd, yyyy format. Example  Sept. 6, 2012</w:t>
      </w:r>
      <w:commentRangeEnd w:id="41"/>
      <w:r w:rsidR="00B3131E">
        <w:rPr>
          <w:rStyle w:val="CommentReference"/>
        </w:rPr>
        <w:commentReference w:id="41"/>
      </w:r>
      <w:r w:rsidR="00007748">
        <w:rPr>
          <w:rStyle w:val="Emphasis"/>
        </w:rPr>
        <w:t>.</w:t>
      </w:r>
      <w:r w:rsidR="00E052E0">
        <w:rPr>
          <w:rFonts w:asciiTheme="minorHAnsi" w:hAnsiTheme="minorHAnsi" w:cstheme="minorHAnsi"/>
          <w:color w:val="618889" w:themeColor="accent3" w:themeShade="BF"/>
        </w:rPr>
        <w:t xml:space="preserve"> </w:t>
      </w:r>
      <w:commentRangeStart w:id="42"/>
      <w:r>
        <w:rPr>
          <w:rFonts w:asciiTheme="minorHAnsi" w:hAnsiTheme="minorHAnsi" w:cstheme="minorHAnsi"/>
          <w:color w:val="618889" w:themeColor="accent3" w:themeShade="BF"/>
        </w:rPr>
        <w:t>XXXXXX</w:t>
      </w:r>
      <w:commentRangeEnd w:id="42"/>
      <w:r>
        <w:rPr>
          <w:rStyle w:val="CommentReference"/>
        </w:rPr>
        <w:commentReference w:id="42"/>
      </w:r>
      <w:r>
        <w:rPr>
          <w:rFonts w:asciiTheme="minorHAnsi" w:hAnsiTheme="minorHAnsi" w:cstheme="minorHAnsi"/>
          <w:color w:val="618889" w:themeColor="accent3" w:themeShade="BF"/>
        </w:rPr>
        <w:t xml:space="preserve"> </w:t>
      </w:r>
      <w:r w:rsidR="00E052E0">
        <w:rPr>
          <w:rFonts w:asciiTheme="minorHAnsi" w:hAnsiTheme="minorHAnsi" w:cstheme="minorHAnsi"/>
        </w:rPr>
        <w:t>DEQ wil</w:t>
      </w:r>
      <w:r>
        <w:rPr>
          <w:rFonts w:asciiTheme="minorHAnsi" w:hAnsiTheme="minorHAnsi" w:cstheme="minorHAnsi"/>
        </w:rPr>
        <w:t>l review the newly adopted rule, OAR 340-041-8033</w:t>
      </w:r>
      <w:r w:rsidR="00E052E0">
        <w:rPr>
          <w:rFonts w:asciiTheme="minorHAnsi" w:hAnsiTheme="minorHAnsi" w:cstheme="minorHAnsi"/>
        </w:rPr>
        <w:t xml:space="preserve"> </w:t>
      </w:r>
      <w:ins w:id="43" w:author="dsturde" w:date="2014-11-24T16:18:00Z">
        <w:r w:rsidR="00B3131E">
          <w:rPr>
            <w:rFonts w:asciiTheme="minorHAnsi" w:hAnsiTheme="minorHAnsi" w:cstheme="minorHAnsi"/>
          </w:rPr>
          <w:t xml:space="preserve">as </w:t>
        </w:r>
      </w:ins>
      <w:r w:rsidR="00E052E0">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44"/>
      <w:r w:rsidRPr="00732601">
        <w:rPr>
          <w:rFonts w:asciiTheme="minorHAnsi" w:hAnsiTheme="minorHAnsi" w:cstheme="minorHAnsi"/>
        </w:rPr>
        <w:t>the advisory committee</w:t>
      </w:r>
      <w:r>
        <w:rPr>
          <w:rFonts w:asciiTheme="minorHAnsi" w:hAnsiTheme="minorHAnsi" w:cstheme="minorHAnsi"/>
        </w:rPr>
        <w:t xml:space="preserve"> </w:t>
      </w:r>
      <w:commentRangeEnd w:id="44"/>
      <w:r w:rsidR="00B3131E">
        <w:rPr>
          <w:rStyle w:val="CommentReference"/>
        </w:rPr>
        <w:commentReference w:id="44"/>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dsturde" w:date="2014-11-24T16:19:00Z" w:initials="ds">
    <w:p w:rsidR="00AD2525" w:rsidRDefault="00AD2525">
      <w:pPr>
        <w:pStyle w:val="CommentText"/>
      </w:pPr>
      <w:r>
        <w:rPr>
          <w:rStyle w:val="CommentReference"/>
        </w:rPr>
        <w:annotationRef/>
      </w:r>
      <w:r>
        <w:t>Is this overstating a bit?  What if there is a situation where we can’t do this?  Would it be more accurate to say to minimize impacts wherever feasible?</w:t>
      </w:r>
    </w:p>
  </w:comment>
  <w:comment w:id="36" w:author="amatzke" w:date="2014-11-25T13:43:00Z" w:initials="alm">
    <w:p w:rsidR="00AD2525" w:rsidRDefault="00AD2525">
      <w:pPr>
        <w:pStyle w:val="CommentText"/>
      </w:pPr>
      <w:r>
        <w:rPr>
          <w:rStyle w:val="CommentReference"/>
        </w:rPr>
        <w:annotationRef/>
      </w:r>
      <w:r>
        <w:t xml:space="preserve">Meyer, Deb </w:t>
      </w:r>
      <w:proofErr w:type="spellStart"/>
      <w:r>
        <w:t>Sturdevant</w:t>
      </w:r>
      <w:proofErr w:type="spellEnd"/>
      <w:r>
        <w:t xml:space="preserve"> doesn’t agree that the public hearing should have closed at 7:00 like we earlier discussed. Since she is the hearings officer I made all the changes she wanted. If you have concerns about the Presiding Officer’s Report, please contact her directly and cc me—thanks</w:t>
      </w:r>
      <w:r>
        <w:sym w:font="Wingdings" w:char="F04A"/>
      </w:r>
    </w:p>
  </w:comment>
  <w:comment w:id="37" w:author="dsturde" w:date="2014-11-25T14:34:00Z" w:initials="ds">
    <w:p w:rsidR="00AD2525" w:rsidRDefault="00AD2525">
      <w:pPr>
        <w:pStyle w:val="CommentText"/>
      </w:pPr>
      <w:r>
        <w:rPr>
          <w:rStyle w:val="CommentReference"/>
        </w:rPr>
        <w:annotationRef/>
      </w:r>
      <w:r>
        <w:t>Why is this a “may”? Are we unsure whether this will be needed or just when we may get to it?</w:t>
      </w:r>
    </w:p>
    <w:p w:rsidR="00AD2525" w:rsidRDefault="00AD2525">
      <w:pPr>
        <w:pStyle w:val="CommentText"/>
      </w:pPr>
    </w:p>
    <w:p w:rsidR="00AD2525" w:rsidRDefault="00AD2525">
      <w:pPr>
        <w:pStyle w:val="CommentText"/>
      </w:pPr>
      <w:r>
        <w:t>I said “may” since I don’t want to commit permitting into developing guidance docs. From my understanding, it seemed likely that some sort of guidance (RPA spreadsheet, permit template, etc.) may need to be done.</w:t>
      </w:r>
    </w:p>
  </w:comment>
  <w:comment w:id="38" w:author="amatzke" w:date="2014-11-25T14:35:00Z" w:initials="alm">
    <w:p w:rsidR="00AD2525" w:rsidRDefault="00AD2525">
      <w:pPr>
        <w:pStyle w:val="CommentText"/>
      </w:pPr>
      <w:r>
        <w:rPr>
          <w:rStyle w:val="CommentReference"/>
        </w:rPr>
        <w:annotationRef/>
      </w:r>
      <w:r>
        <w:t xml:space="preserve">Meyer: I did this a little differently than what I think the template indicated to do. It seemed more direct to put in the amended rules that are not applicable to the 5 yr. rule than using the drop down </w:t>
      </w:r>
      <w:proofErr w:type="gramStart"/>
      <w:r>
        <w:t>options .</w:t>
      </w:r>
      <w:proofErr w:type="gramEnd"/>
    </w:p>
  </w:comment>
  <w:comment w:id="39" w:author="amatzke" w:date="2014-11-25T14:35:00Z" w:initials="alm">
    <w:p w:rsidR="00AD2525" w:rsidRDefault="00AD2525">
      <w:pPr>
        <w:pStyle w:val="CommentText"/>
      </w:pPr>
      <w:r>
        <w:rPr>
          <w:rStyle w:val="CommentReference"/>
        </w:rPr>
        <w:annotationRef/>
      </w:r>
      <w:r>
        <w:t>Meyer: This sentence can be deleted, right?</w:t>
      </w:r>
    </w:p>
  </w:comment>
  <w:comment w:id="40" w:author="amatzke" w:date="2014-11-25T14:35:00Z" w:initials="alm">
    <w:p w:rsidR="00AD2525" w:rsidRDefault="00AD2525">
      <w:pPr>
        <w:pStyle w:val="CommentText"/>
      </w:pPr>
      <w:r>
        <w:rPr>
          <w:rStyle w:val="CommentReference"/>
        </w:rPr>
        <w:annotationRef/>
      </w:r>
      <w:r>
        <w:t>Meyer: My understanding is that OAR 340-041-8033 is the only new rule proposed in this rulemaking and therefore falls under the 5 yr. rule review. We decided (per recommendations from Maggie) to move the toxic tables to a new rule in -8033. Please let me know if this is a correct understanding. Also, I’d like to get a sense of what this 5-</w:t>
      </w:r>
      <w:proofErr w:type="gramStart"/>
      <w:r>
        <w:t>yr  review</w:t>
      </w:r>
      <w:proofErr w:type="gramEnd"/>
      <w:r>
        <w:t xml:space="preserve"> will entail—should be a quick assessment, right?</w:t>
      </w:r>
    </w:p>
  </w:comment>
  <w:comment w:id="41" w:author="dsturde" w:date="2014-11-24T16:19:00Z" w:initials="ds">
    <w:p w:rsidR="00AD2525" w:rsidRDefault="00AD2525">
      <w:pPr>
        <w:pStyle w:val="CommentText"/>
      </w:pPr>
      <w:r>
        <w:rPr>
          <w:rStyle w:val="CommentReference"/>
        </w:rPr>
        <w:annotationRef/>
      </w:r>
      <w:r>
        <w:t>?</w:t>
      </w:r>
    </w:p>
  </w:comment>
  <w:comment w:id="42" w:author="amatzke" w:date="2014-11-25T13:38:00Z" w:initials="alm">
    <w:p w:rsidR="00AD2525" w:rsidRDefault="00AD2525">
      <w:pPr>
        <w:pStyle w:val="CommentText"/>
      </w:pPr>
      <w:r>
        <w:rPr>
          <w:rStyle w:val="CommentReference"/>
        </w:rPr>
        <w:annotationRef/>
      </w:r>
      <w:r>
        <w:t>Meyer to fill in…</w:t>
      </w:r>
    </w:p>
  </w:comment>
  <w:comment w:id="44" w:author="dsturde" w:date="2014-11-24T16:19:00Z" w:initials="ds">
    <w:p w:rsidR="00AD2525" w:rsidRDefault="00AD2525">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525" w:rsidRDefault="00AD2525" w:rsidP="002D6C99">
      <w:r>
        <w:separator/>
      </w:r>
    </w:p>
  </w:endnote>
  <w:endnote w:type="continuationSeparator" w:id="0">
    <w:p w:rsidR="00AD2525" w:rsidRDefault="00AD2525"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25" w:rsidRDefault="00AD2525" w:rsidP="002D6C99">
    <w:pPr>
      <w:pStyle w:val="Footer"/>
    </w:pPr>
  </w:p>
  <w:p w:rsidR="00AD2525" w:rsidRPr="002B4E71" w:rsidRDefault="00AD2525" w:rsidP="002D6C99">
    <w:pPr>
      <w:pStyle w:val="Footer"/>
    </w:pPr>
    <w:r>
      <w:t>Staff Report</w:t>
    </w:r>
    <w:r w:rsidRPr="002B4E71">
      <w:t xml:space="preserve"> page |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25" w:rsidRPr="002B4E71" w:rsidRDefault="00AD2525"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E86E73">
      <w:rPr>
        <w:rFonts w:asciiTheme="minorHAnsi" w:hAnsiTheme="minorHAnsi" w:cstheme="minorHAnsi"/>
        <w:noProof/>
      </w:rPr>
      <w:t>20</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525" w:rsidRDefault="00AD2525" w:rsidP="002D6C99">
      <w:r>
        <w:separator/>
      </w:r>
    </w:p>
  </w:footnote>
  <w:footnote w:type="continuationSeparator" w:id="0">
    <w:p w:rsidR="00AD2525" w:rsidRDefault="00AD2525" w:rsidP="002D6C99">
      <w:r>
        <w:continuationSeparator/>
      </w:r>
    </w:p>
  </w:footnote>
  <w:footnote w:id="1">
    <w:p w:rsidR="00AD2525" w:rsidRPr="006F555C" w:rsidRDefault="00AD2525"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AD2525" w:rsidRDefault="00AD2525"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9">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6">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16"/>
  </w:num>
  <w:num w:numId="6">
    <w:abstractNumId w:val="4"/>
  </w:num>
  <w:num w:numId="7">
    <w:abstractNumId w:val="24"/>
  </w:num>
  <w:num w:numId="8">
    <w:abstractNumId w:val="14"/>
  </w:num>
  <w:num w:numId="9">
    <w:abstractNumId w:val="13"/>
  </w:num>
  <w:num w:numId="10">
    <w:abstractNumId w:val="27"/>
  </w:num>
  <w:num w:numId="11">
    <w:abstractNumId w:val="3"/>
  </w:num>
  <w:num w:numId="12">
    <w:abstractNumId w:val="15"/>
  </w:num>
  <w:num w:numId="13">
    <w:abstractNumId w:val="22"/>
  </w:num>
  <w:num w:numId="14">
    <w:abstractNumId w:val="18"/>
  </w:num>
  <w:num w:numId="15">
    <w:abstractNumId w:val="20"/>
  </w:num>
  <w:num w:numId="16">
    <w:abstractNumId w:val="17"/>
  </w:num>
  <w:num w:numId="17">
    <w:abstractNumId w:val="11"/>
  </w:num>
  <w:num w:numId="18">
    <w:abstractNumId w:val="19"/>
  </w:num>
  <w:num w:numId="19">
    <w:abstractNumId w:val="0"/>
  </w:num>
  <w:num w:numId="20">
    <w:abstractNumId w:val="5"/>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
  </w:num>
  <w:num w:numId="27">
    <w:abstractNumId w:val="28"/>
  </w:num>
  <w:num w:numId="28">
    <w:abstractNumId w:val="2"/>
  </w:num>
  <w:num w:numId="29">
    <w:abstractNumId w:val="29"/>
  </w:num>
  <w:num w:numId="30">
    <w:abstractNumId w:val="9"/>
  </w:num>
  <w:num w:numId="31">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6268"/>
    <w:rsid w:val="002C7A23"/>
    <w:rsid w:val="002D0329"/>
    <w:rsid w:val="002D1FBB"/>
    <w:rsid w:val="002D263C"/>
    <w:rsid w:val="002D3856"/>
    <w:rsid w:val="002D6C99"/>
    <w:rsid w:val="002D7877"/>
    <w:rsid w:val="002E0F87"/>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22E4"/>
    <w:rsid w:val="004F2D22"/>
    <w:rsid w:val="004F4493"/>
    <w:rsid w:val="004F4B6D"/>
    <w:rsid w:val="004F673A"/>
    <w:rsid w:val="00504F15"/>
    <w:rsid w:val="005102CA"/>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3AC"/>
    <w:rsid w:val="00C944E5"/>
    <w:rsid w:val="00C94966"/>
    <w:rsid w:val="00CA42E0"/>
    <w:rsid w:val="00CA45A4"/>
    <w:rsid w:val="00CA4696"/>
    <w:rsid w:val="00CB06BC"/>
    <w:rsid w:val="00CB070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41AC"/>
    <w:rsid w:val="00DC4EAA"/>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hyperlink" Target="http://www.oregon.gov/deq/WQ/Pages/Standards/ammonia.aspx" TargetMode="Externa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comments" Target="comments.xm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5A11FBB-0BF9-4BBE-8E4E-BFD3CF0C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9873</Words>
  <Characters>56280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2014-11-25T23:39:00Z</dcterms:created>
  <dcterms:modified xsi:type="dcterms:W3CDTF">2014-11-25T23:39:00Z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