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381DDC"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 that</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483E60"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DEQ </w:t>
      </w:r>
      <w:r w:rsidRPr="00A209C4">
        <w:rPr>
          <w:rFonts w:asciiTheme="minorHAnsi" w:hAnsiTheme="minorHAnsi" w:cstheme="minorHAnsi"/>
        </w:rPr>
        <w:t>propose</w:t>
      </w:r>
      <w:r>
        <w:rPr>
          <w:rFonts w:asciiTheme="minorHAnsi" w:hAnsiTheme="minorHAnsi" w:cstheme="minorHAnsi"/>
        </w:rPr>
        <w:t>s</w:t>
      </w:r>
      <w:r w:rsidRPr="00A209C4">
        <w:rPr>
          <w:rFonts w:asciiTheme="minorHAnsi" w:hAnsiTheme="minorHAnsi" w:cstheme="minorHAnsi"/>
        </w:rPr>
        <w:t xml:space="preserve"> </w:t>
      </w:r>
      <w:r>
        <w:rPr>
          <w:rFonts w:asciiTheme="minorHAnsi" w:hAnsiTheme="minorHAnsi" w:cstheme="minorHAnsi"/>
        </w:rPr>
        <w:t>adding a</w:t>
      </w:r>
      <w:r w:rsidRPr="00A209C4">
        <w:rPr>
          <w:rFonts w:asciiTheme="minorHAnsi" w:hAnsiTheme="minorHAnsi" w:cstheme="minorHAnsi"/>
        </w:rPr>
        <w:t xml:space="preserve"> note </w:t>
      </w:r>
      <w:r>
        <w:rPr>
          <w:rFonts w:asciiTheme="minorHAnsi" w:hAnsiTheme="minorHAnsi" w:cstheme="minorHAnsi"/>
        </w:rPr>
        <w:t xml:space="preserve">below </w:t>
      </w:r>
      <w:r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Pr>
          <w:rFonts w:asciiTheme="minorHAnsi" w:hAnsiTheme="minorHAnsi" w:cstheme="minorHAnsi"/>
        </w:rPr>
        <w:t>, and, therefore, that these provisions may not be applied for Clean Water Act purposes, such as wastewater discharge permits or total maximum daily loads</w:t>
      </w:r>
      <w:r w:rsidRPr="00A209C4">
        <w:rPr>
          <w:rFonts w:asciiTheme="minorHAnsi" w:hAnsiTheme="minorHAnsi" w:cstheme="minorHAnsi"/>
        </w:rPr>
        <w:t xml:space="preserve">. DEQ </w:t>
      </w:r>
      <w:r>
        <w:rPr>
          <w:rFonts w:asciiTheme="minorHAnsi" w:hAnsiTheme="minorHAnsi" w:cstheme="minorHAnsi"/>
        </w:rPr>
        <w:t>will</w:t>
      </w:r>
      <w:r w:rsidRPr="00A209C4">
        <w:rPr>
          <w:rFonts w:asciiTheme="minorHAnsi" w:hAnsiTheme="minorHAnsi" w:cstheme="minorHAnsi"/>
        </w:rPr>
        <w:t xml:space="preserve"> not accept public comments on the notes because they </w:t>
      </w:r>
      <w:r>
        <w:rPr>
          <w:rFonts w:asciiTheme="minorHAnsi" w:hAnsiTheme="minorHAnsi" w:cstheme="minorHAnsi"/>
        </w:rPr>
        <w:t xml:space="preserve">only provide information </w:t>
      </w:r>
      <w:r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483E60" w:rsidP="00570A2A">
            <w:pPr>
              <w:spacing w:after="120"/>
              <w:ind w:left="0"/>
              <w:rPr>
                <w:rFonts w:asciiTheme="minorHAnsi" w:hAnsiTheme="minorHAnsi" w:cstheme="minorHAnsi"/>
                <w:bCs/>
                <w:sz w:val="24"/>
                <w:szCs w:val="24"/>
                <w:highlight w:val="lightGray"/>
              </w:rPr>
            </w:pPr>
            <w:r w:rsidRPr="00FD64C1">
              <w:rPr>
                <w:rFonts w:asciiTheme="minorHAnsi" w:hAnsiTheme="minorHAnsi" w:cstheme="minorHAnsi"/>
                <w:bCs/>
                <w:sz w:val="24"/>
                <w:szCs w:val="24"/>
              </w:rPr>
              <w:t>ORS 340-041-8033</w:t>
            </w:r>
            <w:r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483E60" w:rsidP="00570A2A">
            <w:pPr>
              <w:ind w:left="0" w:right="14"/>
              <w:rPr>
                <w:rFonts w:asciiTheme="minorHAnsi" w:hAnsiTheme="minorHAnsi" w:cstheme="minorHAnsi"/>
                <w:bCs/>
                <w:sz w:val="24"/>
                <w:szCs w:val="24"/>
              </w:rPr>
            </w:pPr>
            <w:r w:rsidRPr="00122E68">
              <w:rPr>
                <w:rFonts w:asciiTheme="minorHAnsi" w:hAnsiTheme="minorHAnsi" w:cstheme="minorHAnsi"/>
                <w:bCs/>
                <w:sz w:val="24"/>
                <w:szCs w:val="24"/>
              </w:rPr>
              <w:t xml:space="preserve">ORS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381DDC"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381DDC"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381DDC"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381DDC"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381DDC"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381DDC"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381DDC"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381DDC"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381DDC"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Additional data points would better characterize the discharge, minimize statistical </w:t>
      </w:r>
      <w:r w:rsidRPr="005E7B2A">
        <w:rPr>
          <w:rFonts w:asciiTheme="minorHAnsi" w:hAnsiTheme="minorHAnsi" w:cstheme="minorHAnsi"/>
        </w:rPr>
        <w:lastRenderedPageBreak/>
        <w:t>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lastRenderedPageBreak/>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xml:space="preserve">. DEQ does not track how many of the </w:t>
            </w:r>
            <w:r w:rsidRPr="00C73AF8">
              <w:rPr>
                <w:rFonts w:asciiTheme="minorHAnsi" w:hAnsiTheme="minorHAnsi" w:cstheme="minorHAnsi"/>
                <w:sz w:val="24"/>
                <w:szCs w:val="24"/>
              </w:rPr>
              <w:lastRenderedPageBreak/>
              <w:t>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lastRenderedPageBreak/>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381DDC"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381DDC"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641511" w:rsidRDefault="00641511" w:rsidP="00641511">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criteria in January 2013, Oregon dischargers have been unable </w:t>
      </w:r>
      <w:r w:rsidR="003567CE">
        <w:rPr>
          <w:rFonts w:asciiTheme="minorHAnsi" w:hAnsiTheme="minorHAnsi" w:cstheme="minorHAnsi"/>
          <w:bCs/>
        </w:rPr>
        <w:lastRenderedPageBreak/>
        <w:t>to plan for any potential pollution control investments because of the uncertainty of which ammonia criteria would ultimately be approved by EPA.</w:t>
      </w:r>
    </w:p>
    <w:p w:rsidR="003567CE" w:rsidRDefault="003567CE" w:rsidP="00641511">
      <w:pPr>
        <w:spacing w:after="120"/>
        <w:ind w:left="2970" w:right="630" w:hanging="1710"/>
        <w:rPr>
          <w:rFonts w:asciiTheme="minorHAnsi" w:hAnsiTheme="minorHAnsi" w:cstheme="minorHAnsi"/>
          <w:bCs/>
        </w:rPr>
      </w:pPr>
    </w:p>
    <w:p w:rsidR="00091903" w:rsidRDefault="003567CE" w:rsidP="00A1105D">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the National Marine Fisheries Service </w:t>
      </w:r>
      <w:r w:rsidR="00CB070C">
        <w:rPr>
          <w:rFonts w:asciiTheme="minorHAnsi" w:hAnsiTheme="minorHAnsi" w:cstheme="minorHAnsi"/>
          <w:bCs/>
        </w:rPr>
        <w:t xml:space="preserve">(NMFS) </w:t>
      </w:r>
      <w:r>
        <w:rPr>
          <w:rFonts w:asciiTheme="minorHAnsi" w:hAnsiTheme="minorHAnsi" w:cstheme="minorHAnsi"/>
          <w:bCs/>
        </w:rPr>
        <w:t xml:space="preserve">will find that EPA’s latest recommendations are protective of threatened and endangered </w:t>
      </w:r>
      <w:proofErr w:type="spellStart"/>
      <w:r>
        <w:rPr>
          <w:rFonts w:asciiTheme="minorHAnsi" w:hAnsiTheme="minorHAnsi" w:cstheme="minorHAnsi"/>
          <w:bCs/>
        </w:rPr>
        <w:t>salmonid</w:t>
      </w:r>
      <w:proofErr w:type="spellEnd"/>
      <w:r>
        <w:rPr>
          <w:rFonts w:asciiTheme="minorHAnsi" w:hAnsiTheme="minorHAnsi" w:cstheme="minorHAnsi"/>
          <w:bCs/>
        </w:rPr>
        <w:t xml:space="preserve">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CB070C">
        <w:rPr>
          <w:rFonts w:asciiTheme="minorHAnsi" w:hAnsiTheme="minorHAnsi" w:cstheme="minorHAnsi"/>
          <w:bCs/>
        </w:rPr>
        <w:t>EPA has been working closely with NMFS to conduct the needed analyses based on process</w:t>
      </w:r>
      <w:r w:rsidR="00A1105D">
        <w:rPr>
          <w:rFonts w:asciiTheme="minorHAnsi" w:hAnsiTheme="minorHAnsi" w:cstheme="minorHAnsi"/>
          <w:bCs/>
        </w:rPr>
        <w:t xml:space="preserve">es specifically outlined in </w:t>
      </w:r>
      <w:r w:rsidR="00CB070C">
        <w:rPr>
          <w:rFonts w:asciiTheme="minorHAnsi" w:hAnsiTheme="minorHAnsi" w:cstheme="minorHAnsi"/>
          <w:bCs/>
        </w:rPr>
        <w:t>Reasonable and Prudent Alternatives in the Biological Opinion.</w:t>
      </w:r>
      <w:r w:rsidR="00780315">
        <w:rPr>
          <w:rFonts w:asciiTheme="minorHAnsi" w:hAnsiTheme="minorHAnsi" w:cstheme="minorHAnsi"/>
          <w:bCs/>
        </w:rPr>
        <w:t xml:space="preserve"> EPA has given DEQ reasonable assurance that the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w:t>
      </w:r>
      <w:proofErr w:type="spellStart"/>
      <w:r w:rsidR="00A1105D">
        <w:rPr>
          <w:rFonts w:asciiTheme="minorHAnsi" w:hAnsiTheme="minorHAnsi" w:cstheme="minorHAnsi"/>
          <w:bCs/>
        </w:rPr>
        <w:t>salmonid</w:t>
      </w:r>
      <w:proofErr w:type="spellEnd"/>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091903" w:rsidRDefault="00091903" w:rsidP="00A1105D">
      <w:pPr>
        <w:spacing w:after="120"/>
        <w:ind w:left="2970" w:right="630" w:hanging="1710"/>
        <w:rPr>
          <w:rFonts w:asciiTheme="minorHAnsi" w:hAnsiTheme="minorHAnsi" w:cstheme="minorHAnsi"/>
          <w:bCs/>
        </w:rPr>
      </w:pPr>
    </w:p>
    <w:p w:rsidR="00D25650" w:rsidRDefault="00780315" w:rsidP="00091903">
      <w:pPr>
        <w:spacing w:after="120"/>
        <w:ind w:left="2970" w:right="630"/>
        <w:rPr>
          <w:rFonts w:asciiTheme="minorHAnsi" w:hAnsiTheme="minorHAnsi" w:cstheme="minorHAnsi"/>
          <w:bCs/>
        </w:rPr>
      </w:pPr>
      <w:r>
        <w:rPr>
          <w:rFonts w:asciiTheme="minorHAnsi" w:hAnsiTheme="minorHAnsi" w:cstheme="minorHAnsi"/>
          <w:bCs/>
        </w:rPr>
        <w:t>EQC’s adoption of revised criteria must go to EPA for approval before the criteria become effective fo</w:t>
      </w:r>
      <w:r w:rsidR="00DD77BE">
        <w:rPr>
          <w:rFonts w:asciiTheme="minorHAnsi" w:hAnsiTheme="minorHAnsi" w:cstheme="minorHAnsi"/>
          <w:bCs/>
        </w:rPr>
        <w:t xml:space="preserve">r CWA purposes. DEQ </w:t>
      </w:r>
      <w:r>
        <w:rPr>
          <w:rFonts w:asciiTheme="minorHAnsi" w:hAnsiTheme="minorHAnsi" w:cstheme="minorHAnsi"/>
          <w:bCs/>
        </w:rPr>
        <w:t>submission requires EPA to respond to DEQ’s adoption within 90 days. Therefore, it is in</w:t>
      </w:r>
      <w:r w:rsidR="00DD77BE">
        <w:rPr>
          <w:rFonts w:asciiTheme="minorHAnsi" w:hAnsiTheme="minorHAnsi" w:cstheme="minorHAnsi"/>
          <w:bCs/>
        </w:rPr>
        <w:t xml:space="preserve"> DEQ’s </w:t>
      </w:r>
      <w:r>
        <w:rPr>
          <w:rFonts w:asciiTheme="minorHAnsi" w:hAnsiTheme="minorHAnsi" w:cstheme="minorHAnsi"/>
          <w:bCs/>
        </w:rPr>
        <w:t xml:space="preserve">best interest </w:t>
      </w:r>
      <w:r w:rsidR="00091903">
        <w:rPr>
          <w:rFonts w:asciiTheme="minorHAnsi" w:hAnsiTheme="minorHAnsi" w:cstheme="minorHAnsi"/>
          <w:bCs/>
        </w:rPr>
        <w:t>for</w:t>
      </w:r>
      <w:r w:rsidR="00DD77BE">
        <w:rPr>
          <w:rFonts w:asciiTheme="minorHAnsi" w:hAnsiTheme="minorHAnsi" w:cstheme="minorHAnsi"/>
          <w:bCs/>
        </w:rPr>
        <w:t xml:space="preserve"> EPA </w:t>
      </w:r>
      <w:r w:rsidR="00091903">
        <w:rPr>
          <w:rFonts w:asciiTheme="minorHAnsi" w:hAnsiTheme="minorHAnsi" w:cstheme="minorHAnsi"/>
          <w:bCs/>
        </w:rPr>
        <w:t xml:space="preserve">to </w:t>
      </w:r>
      <w:r>
        <w:rPr>
          <w:rFonts w:asciiTheme="minorHAnsi" w:hAnsiTheme="minorHAnsi" w:cstheme="minorHAnsi"/>
          <w:bCs/>
        </w:rPr>
        <w:t>continue working with NMFS</w:t>
      </w:r>
      <w:r w:rsidR="00101469">
        <w:rPr>
          <w:rFonts w:asciiTheme="minorHAnsi" w:hAnsiTheme="minorHAnsi" w:cstheme="minorHAnsi"/>
          <w:bCs/>
        </w:rPr>
        <w:t xml:space="preserve"> in a timely manner. In addition, according to CWA regulations, DEQ is required to address EPA </w:t>
      </w:r>
      <w:r w:rsidR="00091903">
        <w:rPr>
          <w:rFonts w:asciiTheme="minorHAnsi" w:hAnsiTheme="minorHAnsi" w:cstheme="minorHAnsi"/>
          <w:bCs/>
        </w:rPr>
        <w:t>disapprovals within 90 days</w:t>
      </w:r>
      <w:r w:rsidR="00101469">
        <w:rPr>
          <w:rFonts w:asciiTheme="minorHAnsi" w:hAnsiTheme="minorHAnsi" w:cstheme="minorHAnsi"/>
          <w:bCs/>
        </w:rPr>
        <w:t xml:space="preserve"> of receiving EPA’s action. </w:t>
      </w:r>
      <w:r w:rsidR="007C1525">
        <w:rPr>
          <w:rFonts w:asciiTheme="minorHAnsi" w:hAnsiTheme="minorHAnsi" w:cstheme="minorHAnsi"/>
          <w:bCs/>
        </w:rPr>
        <w:t xml:space="preserve">Delaying EQC adoption may put DEQ at risk for third party lawsuits. </w:t>
      </w:r>
      <w:r w:rsidR="00101469">
        <w:rPr>
          <w:rFonts w:asciiTheme="minorHAnsi" w:hAnsiTheme="minorHAnsi" w:cstheme="minorHAnsi"/>
          <w:bCs/>
        </w:rPr>
        <w:t xml:space="preserve">For these reasons, DEQ believes it </w:t>
      </w:r>
      <w:r w:rsidR="007C1525">
        <w:rPr>
          <w:rFonts w:asciiTheme="minorHAnsi" w:hAnsiTheme="minorHAnsi" w:cstheme="minorHAnsi"/>
          <w:bCs/>
        </w:rPr>
        <w:t xml:space="preserve">is </w:t>
      </w:r>
      <w:r w:rsidR="00101469">
        <w:rPr>
          <w:rFonts w:asciiTheme="minorHAnsi" w:hAnsiTheme="minorHAnsi" w:cstheme="minorHAnsi"/>
          <w:bCs/>
        </w:rPr>
        <w:t>prudent to adopt these ammonia revisions</w:t>
      </w:r>
      <w:r w:rsidR="007C1525">
        <w:rPr>
          <w:rFonts w:asciiTheme="minorHAnsi" w:hAnsiTheme="minorHAnsi" w:cstheme="minorHAnsi"/>
          <w:bCs/>
        </w:rPr>
        <w:t xml:space="preserve"> now</w:t>
      </w:r>
      <w:r w:rsidR="00101469">
        <w:rPr>
          <w:rFonts w:asciiTheme="minorHAnsi" w:hAnsiTheme="minorHAnsi" w:cstheme="minorHAnsi"/>
          <w:bCs/>
        </w:rPr>
        <w:t>, rather than waiting until NMFS has made a final decision.</w:t>
      </w:r>
      <w:r w:rsidR="00DD77BE">
        <w:rPr>
          <w:rFonts w:asciiTheme="minorHAnsi" w:hAnsiTheme="minorHAnsi" w:cstheme="minorHAnsi"/>
          <w:bCs/>
        </w:rPr>
        <w:t xml:space="preserve"> In the event that </w:t>
      </w:r>
      <w:r w:rsidR="00091903">
        <w:rPr>
          <w:rFonts w:asciiTheme="minorHAnsi" w:hAnsiTheme="minorHAnsi" w:cstheme="minorHAnsi"/>
          <w:bCs/>
        </w:rPr>
        <w:t xml:space="preserve">NMFS determines </w:t>
      </w:r>
      <w:r w:rsidR="00DE7E88">
        <w:rPr>
          <w:rFonts w:asciiTheme="minorHAnsi" w:hAnsiTheme="minorHAnsi" w:cstheme="minorHAnsi"/>
          <w:bCs/>
        </w:rPr>
        <w:t xml:space="preserve">the criteria are not protective of threatened and endangered </w:t>
      </w:r>
      <w:proofErr w:type="spellStart"/>
      <w:r w:rsidR="00DE7E88">
        <w:rPr>
          <w:rFonts w:asciiTheme="minorHAnsi" w:hAnsiTheme="minorHAnsi" w:cstheme="minorHAnsi"/>
          <w:bCs/>
        </w:rPr>
        <w:t>salmonids</w:t>
      </w:r>
      <w:proofErr w:type="spellEnd"/>
      <w:r w:rsidR="00DE7E88">
        <w:rPr>
          <w:rFonts w:asciiTheme="minorHAnsi" w:hAnsiTheme="minorHAnsi" w:cstheme="minorHAnsi"/>
          <w:bCs/>
        </w:rPr>
        <w:t>, DEQ will w</w:t>
      </w:r>
      <w:r w:rsidR="00091903">
        <w:rPr>
          <w:rFonts w:asciiTheme="minorHAnsi" w:hAnsiTheme="minorHAnsi" w:cstheme="minorHAnsi"/>
          <w:bCs/>
        </w:rPr>
        <w:t>ork with EPA and NMFS to develop mutually acceptable</w:t>
      </w:r>
      <w:r w:rsidR="00DE7E88">
        <w:rPr>
          <w:rFonts w:asciiTheme="minorHAnsi" w:hAnsiTheme="minorHAnsi" w:cstheme="minorHAnsi"/>
          <w:bCs/>
        </w:rPr>
        <w:t xml:space="preserve"> remedies.</w:t>
      </w:r>
    </w:p>
    <w:p w:rsidR="00A1105D" w:rsidRDefault="00A1105D" w:rsidP="00A1105D">
      <w:pPr>
        <w:spacing w:after="120"/>
        <w:ind w:left="2970" w:right="630" w:hanging="171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w:t>
      </w:r>
      <w:proofErr w:type="spellStart"/>
      <w:r w:rsidRPr="001107B0">
        <w:rPr>
          <w:rFonts w:asciiTheme="minorHAnsi" w:hAnsiTheme="minorHAnsi" w:cstheme="minorHAnsi"/>
          <w:bCs/>
          <w:color w:val="000000" w:themeColor="text1"/>
        </w:rPr>
        <w:t>commenters</w:t>
      </w:r>
      <w:proofErr w:type="spellEnd"/>
      <w:r w:rsidRPr="001107B0">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DEQ did not remove the disapproved portions of the statewide natural conditions criterion and the natural conditions criterion for temperature because the agency is beginning a process to address EPA’s disapproval of these conditions.  DEQ does not foresee how the disapproved policies can be used for purposes outside the Clean Water Act; however, the EQC has not</w:t>
      </w:r>
      <w:r w:rsidR="002E0F87">
        <w:t xml:space="preserve"> yet</w:t>
      </w:r>
      <w:r w:rsidR="00FE0388">
        <w:t xml:space="preserve"> had the opportunity to consider how to address these disapprovals</w:t>
      </w:r>
      <w:r w:rsidR="002E0F87">
        <w:t xml:space="preserve">. As a result, they are still </w:t>
      </w:r>
      <w:r w:rsidR="00FE0388">
        <w:t>part of EQC’s policy, even if they are not effective for Clean Water Act purposes. As part of the process of addressing EPA’s disapprovals of these criteria, DEQ will provide opportunity to comment on the temperature standard. </w:t>
      </w:r>
    </w:p>
    <w:p w:rsidR="002E0F87" w:rsidRDefault="002E0F87" w:rsidP="00FE0388">
      <w:pPr>
        <w:spacing w:after="120"/>
        <w:ind w:left="2970" w:right="630" w:hanging="1710"/>
      </w:pP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 litigation.</w:t>
      </w:r>
      <w:r w:rsidR="00FE0388">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w:t>
      </w:r>
      <w:proofErr w:type="spellStart"/>
      <w:r w:rsidRPr="009F3D9E">
        <w:rPr>
          <w:rFonts w:asciiTheme="minorHAnsi" w:hAnsiTheme="minorHAnsi" w:cstheme="minorHAnsi"/>
          <w:bCs/>
          <w:color w:val="000000" w:themeColor="text1"/>
        </w:rPr>
        <w:t>commenters</w:t>
      </w:r>
      <w:proofErr w:type="spellEnd"/>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 xml:space="preserve">At a minimum, DEQ should require the collection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It is not DEQ’s intention to revise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extant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w:t>
      </w:r>
      <w:proofErr w:type="spellStart"/>
      <w:r w:rsidR="007F048C" w:rsidRPr="007F048C">
        <w:rPr>
          <w:rFonts w:asciiTheme="minorHAnsi" w:hAnsiTheme="minorHAnsi" w:cstheme="minorHAnsi"/>
          <w:color w:val="000000"/>
        </w:rPr>
        <w:t>salmonid</w:t>
      </w:r>
      <w:proofErr w:type="spellEnd"/>
      <w:r w:rsidR="007F048C" w:rsidRPr="007F048C">
        <w:rPr>
          <w:rFonts w:asciiTheme="minorHAnsi" w:hAnsiTheme="minorHAnsi" w:cstheme="minorHAnsi"/>
          <w:color w:val="000000"/>
        </w:rPr>
        <w:t xml:space="preserve">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r w:rsidRPr="007F048C">
        <w:rPr>
          <w:rFonts w:asciiTheme="minorHAnsi" w:hAnsiTheme="minorHAnsi" w:cstheme="minorHAnsi"/>
          <w:color w:val="000000"/>
        </w:rPr>
        <w:t xml:space="preserve">In practicality, most modern diffusers use ports that angle upwards and with </w:t>
      </w:r>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 xml:space="preserve">rols to ensure rapid mixing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r w:rsidRPr="007F048C">
        <w:rPr>
          <w:rFonts w:asciiTheme="minorHAnsi" w:hAnsiTheme="minorHAnsi" w:cstheme="minorHAnsi"/>
          <w:color w:val="000000"/>
        </w:rPr>
        <w:t xml:space="preserve">Accordingly, </w:t>
      </w:r>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ensure that shellfish communities are </w:t>
      </w:r>
      <w:r w:rsidRPr="007F048C">
        <w:rPr>
          <w:rFonts w:asciiTheme="minorHAnsi" w:hAnsiTheme="minorHAnsi" w:cstheme="minorHAnsi"/>
          <w:color w:val="000000"/>
        </w:rPr>
        <w:t>adequately protected.</w:t>
      </w:r>
    </w:p>
    <w:p w:rsidR="00885634" w:rsidRDefault="00885634" w:rsidP="00495352">
      <w:pPr>
        <w:ind w:left="2880" w:right="648"/>
        <w:rPr>
          <w:rFonts w:asciiTheme="minorHAnsi" w:hAnsiTheme="minorHAnsi" w:cstheme="minorHAnsi"/>
          <w:color w:val="000000"/>
        </w:rPr>
      </w:pPr>
    </w:p>
    <w:p w:rsidR="00885634" w:rsidRPr="007F048C" w:rsidRDefault="00C61FBC" w:rsidP="00495352">
      <w:pPr>
        <w:ind w:left="2880" w:right="648"/>
        <w:rPr>
          <w:rFonts w:asciiTheme="minorHAnsi" w:hAnsiTheme="minorHAnsi" w:cstheme="minorHAnsi"/>
          <w:color w:val="1F497D"/>
        </w:rPr>
      </w:pPr>
      <w:r>
        <w:rPr>
          <w:rFonts w:asciiTheme="minorHAnsi" w:hAnsiTheme="minorHAnsi" w:cstheme="minorHAnsi"/>
          <w:color w:val="000000"/>
        </w:rPr>
        <w:t>In regards to the</w:t>
      </w:r>
      <w:r w:rsidR="00885634">
        <w:rPr>
          <w:rFonts w:asciiTheme="minorHAnsi" w:hAnsiTheme="minorHAnsi" w:cstheme="minorHAnsi"/>
          <w:color w:val="000000"/>
        </w:rPr>
        <w:t xml:space="preserve"> commenter’s suggestion to collect and address evidence of localized extirpations of freshwater mussels, DEQ does not believe this is necessary. DEQ’s proposed amendments to the ammonia criteria are based on the assumption that mussels are </w:t>
      </w:r>
      <w:r w:rsidR="00C866BD">
        <w:rPr>
          <w:rFonts w:asciiTheme="minorHAnsi" w:hAnsiTheme="minorHAnsi" w:cstheme="minorHAnsi"/>
          <w:color w:val="000000"/>
        </w:rPr>
        <w:t xml:space="preserve">already </w:t>
      </w:r>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were likely never present at a site.</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0"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5" w:name="AdvisoryCommittee"/>
      <w:r w:rsidRPr="006807BF">
        <w:rPr>
          <w:rFonts w:asciiTheme="majorHAnsi" w:hAnsiTheme="majorHAnsi" w:cstheme="majorHAnsi"/>
          <w:bCs/>
          <w:color w:val="000000" w:themeColor="text1"/>
          <w:sz w:val="22"/>
          <w:szCs w:val="22"/>
        </w:rPr>
        <w:t>Advisory committee</w:t>
      </w:r>
      <w:bookmarkEnd w:id="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did not convene an advisory committee. DEQ does not anticipate</w:t>
      </w:r>
      <w:r>
        <w:rPr>
          <w:rFonts w:asciiTheme="minorHAnsi" w:hAnsiTheme="minorHAnsi" w:cstheme="minorHAnsi"/>
          <w:iCs/>
          <w:color w:val="000000" w:themeColor="text1"/>
        </w:rPr>
        <w:t xml:space="preserve"> the proposed rules would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381DDC"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381DDC" w:rsidRPr="00C11796">
        <w:rPr>
          <w:rFonts w:asciiTheme="majorHAnsi" w:hAnsiTheme="majorHAnsi" w:cstheme="majorHAnsi"/>
        </w:rPr>
        <w:fldChar w:fldCharType="separate"/>
      </w:r>
      <w:r>
        <w:rPr>
          <w:rFonts w:asciiTheme="majorHAnsi" w:hAnsiTheme="majorHAnsi" w:cstheme="majorHAnsi"/>
          <w:noProof/>
        </w:rPr>
        <w:t>1</w:t>
      </w:r>
      <w:r w:rsidR="00381DDC"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1"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2"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3"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4"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5"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381DDC" w:rsidP="00DA798F">
      <w:pPr>
        <w:pStyle w:val="ListParagraph"/>
        <w:spacing w:after="120"/>
        <w:ind w:left="1440" w:right="900"/>
        <w:outlineLvl w:val="9"/>
        <w:rPr>
          <w:rStyle w:val="Emphasis"/>
        </w:rPr>
      </w:pPr>
      <w:r w:rsidRPr="00381DDC">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C63C24" w:rsidRPr="001A4DE1" w:rsidRDefault="00C63C24"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C63C24" w:rsidRPr="001A4DE1" w:rsidRDefault="00C63C24"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C63C24" w:rsidRDefault="00C63C24"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r w:rsidRPr="00D13EA4">
        <w:t>Presiding Officers’ Record</w:t>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7:00</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 xml:space="preserve">Presiding Officer:  Debra </w:t>
      </w:r>
      <w:proofErr w:type="spellStart"/>
      <w:r>
        <w:rPr>
          <w:bCs/>
          <w:color w:val="000000" w:themeColor="text1"/>
        </w:rPr>
        <w:t>Sturdevant</w:t>
      </w:r>
      <w:proofErr w:type="spellEnd"/>
      <w:r>
        <w:rPr>
          <w:bCs/>
          <w:color w:val="000000" w:themeColor="text1"/>
        </w:rPr>
        <w: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did not make any oral comments or submit written comments.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rsidRPr="00B603E7">
        <w:t xml:space="preserve">According to </w:t>
      </w:r>
      <w:hyperlink r:id="rId46" w:history="1">
        <w:r w:rsidRPr="00B603E7">
          <w:rPr>
            <w:rStyle w:val="Hyperlink"/>
          </w:rPr>
          <w:t>O</w:t>
        </w:r>
        <w:r>
          <w:rPr>
            <w:rStyle w:val="Hyperlink"/>
          </w:rPr>
          <w:t xml:space="preserve">regon Administrative Rule </w:t>
        </w:r>
        <w:r w:rsidRPr="00B603E7">
          <w:rPr>
            <w:rStyle w:val="Hyperlink"/>
          </w:rPr>
          <w:t>137-001-0030</w:t>
        </w:r>
      </w:hyperlink>
      <w:r w:rsidRPr="00B603E7">
        <w:t xml:space="preserve">, the </w:t>
      </w:r>
      <w:r>
        <w:t>p</w:t>
      </w:r>
      <w:r w:rsidRPr="00B603E7">
        <w:t xml:space="preserve">residing </w:t>
      </w:r>
      <w:r>
        <w:t>o</w:t>
      </w:r>
      <w:r w:rsidRPr="00B603E7">
        <w:t>ffi</w:t>
      </w:r>
      <w:r>
        <w:t xml:space="preserve">cer </w:t>
      </w:r>
      <w:r w:rsidRPr="00B603E7">
        <w:t xml:space="preserve">summarized the content of the notice given under </w:t>
      </w:r>
      <w:hyperlink r:id="rId47" w:history="1">
        <w:r w:rsidRPr="00B603E7">
          <w:rPr>
            <w:rStyle w:val="Hyperlink"/>
          </w:rPr>
          <w:t>O</w:t>
        </w:r>
        <w:r>
          <w:rPr>
            <w:rStyle w:val="Hyperlink"/>
          </w:rPr>
          <w:t xml:space="preserve">regon Revised Statute </w:t>
        </w:r>
        <w:r w:rsidRPr="00B603E7">
          <w:rPr>
            <w:rStyle w:val="Hyperlink"/>
          </w:rPr>
          <w:t>183.335</w:t>
        </w:r>
      </w:hyperlink>
      <w:r w:rsidRPr="00B603E7">
        <w:t xml:space="preserve">.  </w:t>
      </w:r>
      <w:r>
        <w:t>DEQ offered to review the presentation with the attendee, but this offer was declined, since she had attended a previous webinar on the rulemaking proposal. Instead she preferred to ask DEQ staff specific questions about the rulemaking and implementation of the new criteria. The presiding officer closed the hearing at 7</w:t>
      </w:r>
      <w:r w:rsidRPr="0012325D">
        <w:t xml:space="preserve"> p.m. </w:t>
      </w:r>
      <w:r>
        <w:t xml:space="preserve">following the question and answer session.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EB7333" w:rsidRPr="00EB7333"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8" w:history="1">
        <w:r w:rsidRPr="00BB6576">
          <w:rPr>
            <w:rStyle w:val="Hyperlink"/>
            <w:rFonts w:asciiTheme="minorHAnsi" w:hAnsiTheme="minorHAnsi" w:cstheme="minorHAnsi"/>
          </w:rPr>
          <w:t>http://www.deq.state.or.us/wq/standards/standards.htm</w:t>
        </w:r>
      </w:hyperlink>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 xml:space="preserve">communication to individual NPDES </w:t>
      </w:r>
      <w:proofErr w:type="spellStart"/>
      <w:r w:rsidRPr="00EB7333">
        <w:rPr>
          <w:rFonts w:asciiTheme="minorHAnsi" w:hAnsiTheme="minorHAnsi" w:cstheme="minorHAnsi"/>
          <w:color w:val="000000" w:themeColor="text1"/>
          <w:highlight w:val="yellow"/>
        </w:rPr>
        <w:t>permittees</w:t>
      </w:r>
      <w:proofErr w:type="spellEnd"/>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A34742">
      <w:pPr>
        <w:pStyle w:val="ListParagraph"/>
        <w:numPr>
          <w:ilvl w:val="0"/>
          <w:numId w:val="29"/>
        </w:numPr>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4A37E8">
      <w:pPr>
        <w:spacing w:after="120"/>
        <w:ind w:right="1008"/>
        <w:rPr>
          <w:rFonts w:asciiTheme="minorHAnsi" w:hAnsiTheme="minorHAnsi" w:cstheme="minorHAnsi"/>
          <w:color w:val="000000"/>
        </w:rPr>
      </w:pP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8054BF">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Dischargers will need to assess current monitoring, sampling and reporting requirements</w:t>
      </w:r>
      <w:r w:rsidR="007B3559">
        <w:rPr>
          <w:rFonts w:asciiTheme="minorHAnsi" w:hAnsiTheme="minorHAnsi" w:cstheme="minorHAnsi"/>
          <w:color w:val="000000"/>
        </w:rPr>
        <w:t xml:space="preserve"> and determine whether changes will need to occur in order to comply with the revised ammonia criteria requirements.</w:t>
      </w:r>
    </w:p>
    <w:p w:rsidR="00E052E0" w:rsidRPr="00FF2CB9" w:rsidRDefault="00E052E0" w:rsidP="00783FC6">
      <w:pPr>
        <w:pStyle w:val="ListParagraph"/>
        <w:spacing w:after="120"/>
        <w:ind w:left="1080" w:right="1008"/>
        <w:contextualSpacing w:val="0"/>
        <w:rPr>
          <w:rFonts w:asciiTheme="minorHAnsi" w:hAnsiTheme="minorHAnsi" w:cstheme="minorHAnsi"/>
          <w:color w:val="000000"/>
        </w:rPr>
      </w:pPr>
    </w:p>
    <w:p w:rsidR="00E052E0" w:rsidRDefault="007B3559"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ermitting staff may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0B5F80" w:rsidRDefault="00E052E0" w:rsidP="000B5F80">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9" w:history="1">
        <w:r w:rsidR="000B5F80" w:rsidRPr="00BB6576">
          <w:rPr>
            <w:rStyle w:val="Hyperlink"/>
            <w:rFonts w:asciiTheme="minorHAnsi" w:hAnsiTheme="minorHAnsi" w:cstheme="minorHAnsi"/>
          </w:rPr>
          <w:t>http://www.deq.state.or.us/wq/standards/standards.htm</w:t>
        </w:r>
      </w:hyperlink>
    </w:p>
    <w:p w:rsidR="00B92CF2"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No implementation actions related to water quality databases, such as the Discharge Monitoring System are needed.</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lastRenderedPageBreak/>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381DDC"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D90062" w:rsidRDefault="00381DDC"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p>
    <w:p w:rsidR="00E052E0" w:rsidRPr="00D90062" w:rsidRDefault="00381DDC"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24" w:rsidRDefault="00C63C24" w:rsidP="002D6C99">
      <w:r>
        <w:separator/>
      </w:r>
    </w:p>
  </w:endnote>
  <w:endnote w:type="continuationSeparator" w:id="0">
    <w:p w:rsidR="00C63C24" w:rsidRDefault="00C63C24"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24" w:rsidRDefault="00C63C24" w:rsidP="002D6C99">
    <w:pPr>
      <w:pStyle w:val="Footer"/>
    </w:pPr>
  </w:p>
  <w:p w:rsidR="00C63C24" w:rsidRPr="002B4E71" w:rsidRDefault="00C63C24" w:rsidP="002D6C99">
    <w:pPr>
      <w:pStyle w:val="Footer"/>
    </w:pPr>
    <w:r>
      <w:t>Staff Report</w:t>
    </w:r>
    <w:r w:rsidRPr="002B4E71">
      <w:t xml:space="preserve"> page |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24" w:rsidRPr="002B4E71" w:rsidRDefault="00C63C24"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C75563">
      <w:rPr>
        <w:rFonts w:asciiTheme="minorHAnsi" w:hAnsiTheme="minorHAnsi" w:cstheme="minorHAnsi"/>
        <w:noProof/>
      </w:rPr>
      <w:t>27</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24" w:rsidRDefault="00C63C24" w:rsidP="002D6C99">
      <w:r>
        <w:separator/>
      </w:r>
    </w:p>
  </w:footnote>
  <w:footnote w:type="continuationSeparator" w:id="0">
    <w:p w:rsidR="00C63C24" w:rsidRDefault="00C63C24" w:rsidP="002D6C99">
      <w:r>
        <w:continuationSeparator/>
      </w:r>
    </w:p>
  </w:footnote>
  <w:footnote w:id="1">
    <w:p w:rsidR="00C63C24" w:rsidRPr="006F555C" w:rsidRDefault="00C63C24"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C63C24" w:rsidRDefault="00C63C24"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8">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4">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11"/>
  </w:num>
  <w:num w:numId="4">
    <w:abstractNumId w:val="8"/>
  </w:num>
  <w:num w:numId="5">
    <w:abstractNumId w:val="15"/>
  </w:num>
  <w:num w:numId="6">
    <w:abstractNumId w:val="4"/>
  </w:num>
  <w:num w:numId="7">
    <w:abstractNumId w:val="22"/>
  </w:num>
  <w:num w:numId="8">
    <w:abstractNumId w:val="13"/>
  </w:num>
  <w:num w:numId="9">
    <w:abstractNumId w:val="12"/>
  </w:num>
  <w:num w:numId="10">
    <w:abstractNumId w:val="25"/>
  </w:num>
  <w:num w:numId="11">
    <w:abstractNumId w:val="3"/>
  </w:num>
  <w:num w:numId="12">
    <w:abstractNumId w:val="14"/>
  </w:num>
  <w:num w:numId="13">
    <w:abstractNumId w:val="21"/>
  </w:num>
  <w:num w:numId="14">
    <w:abstractNumId w:val="17"/>
  </w:num>
  <w:num w:numId="15">
    <w:abstractNumId w:val="19"/>
  </w:num>
  <w:num w:numId="16">
    <w:abstractNumId w:val="16"/>
  </w:num>
  <w:num w:numId="17">
    <w:abstractNumId w:val="10"/>
  </w:num>
  <w:num w:numId="18">
    <w:abstractNumId w:val="18"/>
  </w:num>
  <w:num w:numId="19">
    <w:abstractNumId w:val="0"/>
  </w:num>
  <w:num w:numId="20">
    <w:abstractNumId w:val="5"/>
  </w:num>
  <w:num w:numId="21">
    <w:abstractNumId w:val="23"/>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
  </w:num>
  <w:num w:numId="27">
    <w:abstractNumId w:val="26"/>
  </w:num>
  <w:num w:numId="28">
    <w:abstractNumId w:val="2"/>
  </w:num>
  <w:num w:numId="29">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1469"/>
    <w:rsid w:val="00103838"/>
    <w:rsid w:val="0010650B"/>
    <w:rsid w:val="00106B3F"/>
    <w:rsid w:val="00107189"/>
    <w:rsid w:val="00107B12"/>
    <w:rsid w:val="001107B0"/>
    <w:rsid w:val="0011396A"/>
    <w:rsid w:val="00115619"/>
    <w:rsid w:val="001220C0"/>
    <w:rsid w:val="0012491C"/>
    <w:rsid w:val="00125DA7"/>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AE"/>
    <w:rsid w:val="00284A27"/>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0F87"/>
    <w:rsid w:val="002E27EF"/>
    <w:rsid w:val="002E283F"/>
    <w:rsid w:val="002E4AA0"/>
    <w:rsid w:val="002E4B0F"/>
    <w:rsid w:val="002E5F1C"/>
    <w:rsid w:val="002F0C40"/>
    <w:rsid w:val="002F18FE"/>
    <w:rsid w:val="002F204B"/>
    <w:rsid w:val="002F412E"/>
    <w:rsid w:val="002F5550"/>
    <w:rsid w:val="0030348C"/>
    <w:rsid w:val="00303D62"/>
    <w:rsid w:val="00304756"/>
    <w:rsid w:val="00304A23"/>
    <w:rsid w:val="00305328"/>
    <w:rsid w:val="0031008D"/>
    <w:rsid w:val="00322A9E"/>
    <w:rsid w:val="00324289"/>
    <w:rsid w:val="003248CA"/>
    <w:rsid w:val="003359FB"/>
    <w:rsid w:val="00343477"/>
    <w:rsid w:val="00351E50"/>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4181"/>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432A"/>
    <w:rsid w:val="00C74D58"/>
    <w:rsid w:val="00C75563"/>
    <w:rsid w:val="00C76B21"/>
    <w:rsid w:val="00C866BD"/>
    <w:rsid w:val="00C9239E"/>
    <w:rsid w:val="00C933AC"/>
    <w:rsid w:val="00C944E5"/>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F18"/>
    <w:rsid w:val="00E81582"/>
    <w:rsid w:val="00E82718"/>
    <w:rsid w:val="00E82D32"/>
    <w:rsid w:val="00E82FA7"/>
    <w:rsid w:val="00E8332D"/>
    <w:rsid w:val="00E8584B"/>
    <w:rsid w:val="00E90978"/>
    <w:rsid w:val="00E948B4"/>
    <w:rsid w:val="00EA4362"/>
    <w:rsid w:val="00EA4AC5"/>
    <w:rsid w:val="00EA4AE2"/>
    <w:rsid w:val="00EA4D80"/>
    <w:rsid w:val="00EA7ABC"/>
    <w:rsid w:val="00EA7F6B"/>
    <w:rsid w:val="00EB2CFC"/>
    <w:rsid w:val="00EB34DD"/>
    <w:rsid w:val="00EB6A1D"/>
    <w:rsid w:val="00EB7333"/>
    <w:rsid w:val="00EB79B4"/>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166E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hyperlink" Target="http://arcweb.sos.state.or.us/pages/rules/bulletin/past.html" TargetMode="External"/><Relationship Id="rId47" Type="http://schemas.openxmlformats.org/officeDocument/2006/relationships/hyperlink" Target="http://www.leg.state.or.us/ors/183.html"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http://www.oregon.gov/deq/WQ/Pages/Standards/ammonia.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file://deqhq1/Rule_Development/Currrent%20Plan" TargetMode="External"/><Relationship Id="rId45" Type="http://schemas.openxmlformats.org/officeDocument/2006/relationships/hyperlink" Target="http://www.oregonlaws.org/ors/183.335"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hyperlink" Target="http://www.deq.state.or.us/wq/standards/standards.ht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RulesandRegulations/Pages/proposedrule.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www.oregon.gov/deq/WQ/Pages/Standards/ammonia.aspx"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66A8475-1DEC-424E-9D30-FEB46E5A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9845</Words>
  <Characters>56118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2014-11-21T21:48:00Z</dcterms:created>
  <dcterms:modified xsi:type="dcterms:W3CDTF">2014-11-21T21:48:00Z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