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headerReference w:type="even" r:id="rId15"/>
          <w:headerReference w:type="default" r:id="rId16"/>
          <w:footerReference w:type="even" r:id="rId17"/>
          <w:footerReference w:type="default" r:id="rId18"/>
          <w:headerReference w:type="first" r:id="rId19"/>
          <w:footerReference w:type="first" r:id="rId20"/>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21"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22"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23"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CC429D"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ins w:id="1" w:author="GARTENBAUM Andrea" w:date="2014-10-13T16:32:00Z"/>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 that</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483E60"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DEQ </w:t>
      </w:r>
      <w:r w:rsidRPr="00A209C4">
        <w:rPr>
          <w:rFonts w:asciiTheme="minorHAnsi" w:hAnsiTheme="minorHAnsi" w:cstheme="minorHAnsi"/>
        </w:rPr>
        <w:t>propose</w:t>
      </w:r>
      <w:r>
        <w:rPr>
          <w:rFonts w:asciiTheme="minorHAnsi" w:hAnsiTheme="minorHAnsi" w:cstheme="minorHAnsi"/>
        </w:rPr>
        <w:t>s</w:t>
      </w:r>
      <w:r w:rsidRPr="00A209C4">
        <w:rPr>
          <w:rFonts w:asciiTheme="minorHAnsi" w:hAnsiTheme="minorHAnsi" w:cstheme="minorHAnsi"/>
        </w:rPr>
        <w:t xml:space="preserve"> </w:t>
      </w:r>
      <w:r>
        <w:rPr>
          <w:rFonts w:asciiTheme="minorHAnsi" w:hAnsiTheme="minorHAnsi" w:cstheme="minorHAnsi"/>
        </w:rPr>
        <w:t>adding a</w:t>
      </w:r>
      <w:r w:rsidRPr="00A209C4">
        <w:rPr>
          <w:rFonts w:asciiTheme="minorHAnsi" w:hAnsiTheme="minorHAnsi" w:cstheme="minorHAnsi"/>
        </w:rPr>
        <w:t xml:space="preserve"> note </w:t>
      </w:r>
      <w:r>
        <w:rPr>
          <w:rFonts w:asciiTheme="minorHAnsi" w:hAnsiTheme="minorHAnsi" w:cstheme="minorHAnsi"/>
        </w:rPr>
        <w:t xml:space="preserve">below </w:t>
      </w:r>
      <w:r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Pr>
          <w:rFonts w:asciiTheme="minorHAnsi" w:hAnsiTheme="minorHAnsi" w:cstheme="minorHAnsi"/>
        </w:rPr>
        <w:t>, and, therefore, that these provisions may not be applied for Clean Water Act purposes, such as wastewater discharge permits or total maximum daily loads</w:t>
      </w:r>
      <w:r w:rsidRPr="00A209C4">
        <w:rPr>
          <w:rFonts w:asciiTheme="minorHAnsi" w:hAnsiTheme="minorHAnsi" w:cstheme="minorHAnsi"/>
        </w:rPr>
        <w:t xml:space="preserve">. DEQ </w:t>
      </w:r>
      <w:r>
        <w:rPr>
          <w:rFonts w:asciiTheme="minorHAnsi" w:hAnsiTheme="minorHAnsi" w:cstheme="minorHAnsi"/>
        </w:rPr>
        <w:t>will</w:t>
      </w:r>
      <w:r w:rsidRPr="00A209C4">
        <w:rPr>
          <w:rFonts w:asciiTheme="minorHAnsi" w:hAnsiTheme="minorHAnsi" w:cstheme="minorHAnsi"/>
        </w:rPr>
        <w:t xml:space="preserve"> not accept public comments on the notes because they </w:t>
      </w:r>
      <w:r>
        <w:rPr>
          <w:rFonts w:asciiTheme="minorHAnsi" w:hAnsiTheme="minorHAnsi" w:cstheme="minorHAnsi"/>
        </w:rPr>
        <w:t xml:space="preserve">only provide information </w:t>
      </w:r>
      <w:r w:rsidRPr="00A209C4">
        <w:rPr>
          <w:rFonts w:asciiTheme="minorHAnsi" w:hAnsiTheme="minorHAnsi" w:cstheme="minorHAnsi"/>
        </w:rPr>
        <w:t>and do not amend the rule.</w:t>
      </w:r>
      <w:r w:rsidR="00FE0388" w:rsidRPr="00FE0388">
        <w:rPr>
          <w:rFonts w:asciiTheme="minorHAnsi" w:hAnsiTheme="minorHAnsi" w:cstheme="minorHAnsi"/>
        </w:rPr>
        <w:t xml:space="preserve"> </w:t>
      </w:r>
      <w:r w:rsidR="00FE0388" w:rsidRPr="00FE0388">
        <w:rPr>
          <w:rFonts w:asciiTheme="minorHAnsi" w:hAnsiTheme="minorHAnsi" w:cstheme="minorHAnsi"/>
          <w:highlight w:val="yellow"/>
        </w:rPr>
        <w:t>The disapprovals were based on Northwest Environmental Advocate litigation</w:t>
      </w:r>
      <w:r w:rsidR="00FE0388" w:rsidRPr="002E0F87">
        <w:rPr>
          <w:rFonts w:asciiTheme="minorHAnsi" w:hAnsiTheme="minorHAnsi" w:cstheme="minorHAnsi"/>
          <w:highlight w:val="yellow"/>
        </w:rPr>
        <w:t>.</w:t>
      </w:r>
      <w:r w:rsidR="002E0F87" w:rsidRPr="002E0F87">
        <w:rPr>
          <w:rFonts w:asciiTheme="minorHAnsi" w:hAnsiTheme="minorHAnsi" w:cstheme="minorHAnsi"/>
          <w:highlight w:val="yellow"/>
        </w:rPr>
        <w:t xml:space="preserve"> (</w:t>
      </w:r>
      <w:proofErr w:type="gramStart"/>
      <w:r w:rsidR="002E0F87">
        <w:rPr>
          <w:rFonts w:asciiTheme="minorHAnsi" w:hAnsiTheme="minorHAnsi" w:cstheme="minorHAnsi"/>
          <w:highlight w:val="yellow"/>
        </w:rPr>
        <w:t>additional</w:t>
      </w:r>
      <w:proofErr w:type="gramEnd"/>
      <w:r w:rsidR="002E0F87">
        <w:rPr>
          <w:rFonts w:asciiTheme="minorHAnsi" w:hAnsiTheme="minorHAnsi" w:cstheme="minorHAnsi"/>
          <w:highlight w:val="yellow"/>
        </w:rPr>
        <w:t xml:space="preserve"> clarity </w:t>
      </w:r>
      <w:r w:rsidR="002E0F87" w:rsidRPr="002E0F87">
        <w:rPr>
          <w:rFonts w:asciiTheme="minorHAnsi" w:hAnsiTheme="minorHAnsi" w:cstheme="minorHAnsi"/>
          <w:highlight w:val="yellow"/>
        </w:rPr>
        <w:t>requested by NWPPA—OK?)</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24"/>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Pr="009F4699">
        <w:rPr>
          <w:rStyle w:val="Emphasis"/>
          <w:rFonts w:asciiTheme="minorHAnsi" w:hAnsiTheme="minorHAnsi" w:cstheme="minorHAnsi"/>
          <w:color w:val="222222"/>
        </w:rPr>
        <w:t>National Pollutant Discharge Elimination System</w:t>
      </w:r>
      <w:r>
        <w:rPr>
          <w:color w:val="000000"/>
        </w:rPr>
        <w:t xml:space="preserve"> or NPDES,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the whole of the mainstem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 xml:space="preserve">On Aug. 8, 2013, EPA disapproved rule sections OAR 340-041-0007(2) and OAR 340-041-0028(8) because of a March 2012 U.S. District Court decision.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quality criteria for the West Division Main Canal in Table 315. EPA disapproved some of the </w:t>
      </w:r>
      <w:r>
        <w:rPr>
          <w:rFonts w:asciiTheme="minorHAnsi" w:hAnsiTheme="minorHAnsi" w:cstheme="minorHAnsi"/>
        </w:rPr>
        <w:lastRenderedPageBreak/>
        <w:t>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483E60">
      <w:pPr>
        <w:spacing w:after="120"/>
        <w:ind w:left="360" w:right="14"/>
        <w:rPr>
          <w:bCs/>
          <w:sz w:val="22"/>
          <w:szCs w:val="22"/>
        </w:rPr>
      </w:pPr>
      <w:r>
        <w:rPr>
          <w:bCs/>
          <w:sz w:val="22"/>
          <w:szCs w:val="22"/>
        </w:rPr>
        <w:t>How will DEQ know the rule has addressed the need?</w:t>
      </w:r>
      <w:r w:rsidRPr="00B31975">
        <w:rPr>
          <w:bCs/>
          <w:sz w:val="22"/>
          <w:szCs w:val="22"/>
        </w:rPr>
        <w:t xml:space="preserve"> </w:t>
      </w:r>
    </w:p>
    <w:p w:rsidR="00483E60" w:rsidRPr="009172F0" w:rsidRDefault="00483E60" w:rsidP="00483E60">
      <w:pPr>
        <w:autoSpaceDE w:val="0"/>
        <w:autoSpaceDN w:val="0"/>
        <w:adjustRightInd w:val="0"/>
        <w:ind w:left="36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483E60" w:rsidP="00570A2A">
            <w:pPr>
              <w:spacing w:after="120"/>
              <w:ind w:left="0"/>
              <w:rPr>
                <w:rFonts w:asciiTheme="minorHAnsi" w:hAnsiTheme="minorHAnsi" w:cstheme="minorHAnsi"/>
                <w:bCs/>
                <w:sz w:val="24"/>
                <w:szCs w:val="24"/>
                <w:highlight w:val="lightGray"/>
              </w:rPr>
            </w:pPr>
            <w:r w:rsidRPr="00FD64C1">
              <w:rPr>
                <w:rFonts w:asciiTheme="minorHAnsi" w:hAnsiTheme="minorHAnsi" w:cstheme="minorHAnsi"/>
                <w:bCs/>
                <w:sz w:val="24"/>
                <w:szCs w:val="24"/>
              </w:rPr>
              <w:t>ORS 340-041-8033</w:t>
            </w:r>
            <w:r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483E60" w:rsidP="00570A2A">
            <w:pPr>
              <w:ind w:left="0" w:right="14"/>
              <w:rPr>
                <w:rFonts w:asciiTheme="minorHAnsi" w:hAnsiTheme="minorHAnsi" w:cstheme="minorHAnsi"/>
                <w:bCs/>
                <w:sz w:val="24"/>
                <w:szCs w:val="24"/>
              </w:rPr>
            </w:pPr>
            <w:r w:rsidRPr="00122E68">
              <w:rPr>
                <w:rFonts w:asciiTheme="minorHAnsi" w:hAnsiTheme="minorHAnsi" w:cstheme="minorHAnsi"/>
                <w:bCs/>
                <w:sz w:val="24"/>
                <w:szCs w:val="24"/>
              </w:rPr>
              <w:t xml:space="preserve">ORS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2"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2"/>
      <w:r w:rsidRPr="006807BF">
        <w:rPr>
          <w:rFonts w:asciiTheme="majorHAnsi" w:hAnsiTheme="majorHAnsi" w:cstheme="majorHAnsi"/>
          <w:bCs/>
          <w:color w:val="000000" w:themeColor="text1"/>
          <w:sz w:val="22"/>
          <w:szCs w:val="22"/>
        </w:rPr>
        <w:tab/>
      </w:r>
      <w:hyperlink r:id="rId25"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CC429D" w:rsidP="00570A2A">
            <w:pPr>
              <w:ind w:left="72"/>
              <w:rPr>
                <w:bCs/>
                <w:color w:val="000000" w:themeColor="text1"/>
                <w:sz w:val="24"/>
                <w:szCs w:val="24"/>
              </w:rPr>
            </w:pPr>
            <w:hyperlink r:id="rId26"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CC429D" w:rsidP="00570A2A">
            <w:pPr>
              <w:ind w:left="72"/>
              <w:rPr>
                <w:bCs/>
                <w:color w:val="000000" w:themeColor="text1"/>
              </w:rPr>
            </w:pPr>
            <w:hyperlink r:id="rId27"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CC429D" w:rsidP="00570A2A">
            <w:pPr>
              <w:pStyle w:val="Default"/>
              <w:ind w:left="0"/>
              <w:rPr>
                <w:rFonts w:ascii="Times New Roman" w:hAnsi="Times New Roman" w:cs="Times New Roman"/>
                <w:b w:val="0"/>
                <w:color w:val="0000FF"/>
              </w:rPr>
            </w:pPr>
            <w:hyperlink r:id="rId28"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CC429D" w:rsidP="00570A2A">
            <w:pPr>
              <w:ind w:left="0"/>
              <w:rPr>
                <w:bCs/>
                <w:color w:val="000000" w:themeColor="text1"/>
              </w:rPr>
            </w:pPr>
            <w:hyperlink r:id="rId29"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CC429D" w:rsidP="00570A2A">
            <w:pPr>
              <w:ind w:left="0"/>
              <w:rPr>
                <w:bCs/>
                <w:color w:val="000000" w:themeColor="text1"/>
              </w:rPr>
            </w:pPr>
            <w:hyperlink r:id="rId30"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CC429D" w:rsidP="00570A2A">
            <w:pPr>
              <w:pStyle w:val="Default"/>
              <w:ind w:left="0"/>
              <w:rPr>
                <w:rFonts w:asciiTheme="minorHAnsi" w:hAnsiTheme="minorHAnsi" w:cstheme="minorHAnsi"/>
                <w:b w:val="0"/>
              </w:rPr>
            </w:pPr>
            <w:hyperlink r:id="rId31"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CC429D" w:rsidP="00570A2A">
            <w:pPr>
              <w:pStyle w:val="Default"/>
              <w:ind w:left="0"/>
              <w:rPr>
                <w:rFonts w:asciiTheme="minorHAnsi" w:hAnsiTheme="minorHAnsi" w:cstheme="minorHAnsi"/>
                <w:b w:val="0"/>
              </w:rPr>
            </w:pPr>
            <w:hyperlink r:id="rId32"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CC429D" w:rsidP="00570A2A">
            <w:pPr>
              <w:pStyle w:val="Default"/>
              <w:ind w:left="0"/>
              <w:rPr>
                <w:rFonts w:asciiTheme="minorHAnsi" w:hAnsiTheme="minorHAnsi" w:cstheme="minorHAnsi"/>
                <w:b w:val="0"/>
              </w:rPr>
            </w:pPr>
            <w:hyperlink r:id="rId33"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CC429D" w:rsidP="00570A2A">
            <w:pPr>
              <w:pStyle w:val="Default"/>
              <w:ind w:left="0"/>
              <w:rPr>
                <w:rFonts w:asciiTheme="minorHAnsi" w:hAnsiTheme="minorHAnsi" w:cstheme="minorHAnsi"/>
                <w:b w:val="0"/>
              </w:rPr>
            </w:pPr>
            <w:hyperlink r:id="rId34"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3" w:name="RANGE!A226:B243"/>
      <w:bookmarkEnd w:id="3"/>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5"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E0602D" w:rsidRDefault="00483E60" w:rsidP="00483E60">
      <w:pPr>
        <w:spacing w:after="120"/>
        <w:ind w:left="1080" w:right="14"/>
        <w:rPr>
          <w:rFonts w:asciiTheme="majorHAnsi" w:hAnsiTheme="majorHAnsi" w:cstheme="majorHAnsi"/>
          <w:bCs/>
          <w:color w:val="000000" w:themeColor="text1"/>
          <w:sz w:val="20"/>
          <w:szCs w:val="20"/>
        </w:rPr>
      </w:pPr>
      <w:r w:rsidRPr="00307CD9">
        <w:rPr>
          <w:rFonts w:asciiTheme="majorHAnsi" w:hAnsiTheme="majorHAnsi" w:cstheme="majorHAnsi"/>
          <w:bCs/>
          <w:color w:val="000000" w:themeColor="text1"/>
          <w:sz w:val="20"/>
          <w:szCs w:val="20"/>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The proposed ammonia criteria would require additional DEQ permitting staff time to administer </w:t>
      </w:r>
      <w:proofErr w:type="gramStart"/>
      <w:r>
        <w:rPr>
          <w:rFonts w:asciiTheme="minorHAnsi" w:hAnsiTheme="minorHAnsi" w:cstheme="minorHAnsi"/>
          <w:bCs/>
          <w:color w:val="000000" w:themeColor="text1"/>
        </w:rPr>
        <w:t xml:space="preserve">the </w:t>
      </w:r>
      <w:proofErr w:type="gramEnd"/>
      <w:r w:rsidRPr="00863AD3">
        <w:rPr>
          <w:rStyle w:val="Emphasis"/>
          <w:rFonts w:asciiTheme="minorHAnsi" w:hAnsiTheme="minorHAnsi" w:cstheme="minorHAnsi"/>
          <w:color w:val="222222"/>
        </w:rPr>
        <w:t>National Pollutant Discharge Elimination System</w:t>
      </w:r>
      <w:r>
        <w:rPr>
          <w:rStyle w:val="Emphasis"/>
          <w:rFonts w:asciiTheme="minorHAnsi" w:hAnsiTheme="minorHAnsi" w:cstheme="minorHAnsi"/>
          <w:color w:val="222222"/>
        </w:rPr>
        <w:t xml:space="preserve"> permitting program for individual permits (permits that directly discharge to a water body) in the near term for the transition from current to proposed criteria</w:t>
      </w:r>
      <w:r>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To provide 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483E60" w:rsidRDefault="00483E60"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Indirect Impacts</w:t>
      </w:r>
      <w:r>
        <w:rPr>
          <w:rFonts w:asciiTheme="minorHAnsi" w:hAnsiTheme="minorHAnsi" w:cstheme="minorHAnsi"/>
          <w:bCs/>
          <w:color w:val="000000" w:themeColor="text1"/>
        </w:rPr>
        <w:tab/>
        <w:t>None 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564105" w:rsidRDefault="00483E60" w:rsidP="00483E60">
      <w:pPr>
        <w:spacing w:after="120"/>
        <w:ind w:left="1080" w:right="14"/>
        <w:rPr>
          <w:rFonts w:asciiTheme="majorHAnsi" w:hAnsiTheme="majorHAnsi" w:cstheme="majorHAnsi"/>
          <w:bCs/>
          <w:color w:val="000000" w:themeColor="text1"/>
          <w:sz w:val="20"/>
          <w:szCs w:val="20"/>
        </w:rPr>
      </w:pPr>
      <w:r w:rsidRPr="00307CD9">
        <w:rPr>
          <w:rFonts w:asciiTheme="majorHAnsi" w:hAnsiTheme="majorHAnsi" w:cstheme="majorHAnsi"/>
          <w:bCs/>
          <w:color w:val="000000" w:themeColor="text1"/>
          <w:sz w:val="20"/>
          <w:szCs w:val="20"/>
        </w:rPr>
        <w:t xml:space="preserve">Other State </w:t>
      </w:r>
      <w:r>
        <w:rPr>
          <w:rFonts w:asciiTheme="majorHAnsi" w:hAnsiTheme="majorHAnsi" w:cstheme="majorHAnsi"/>
          <w:bCs/>
          <w:color w:val="000000" w:themeColor="text1"/>
          <w:sz w:val="20"/>
          <w:szCs w:val="20"/>
        </w:rPr>
        <w:t>P</w:t>
      </w:r>
      <w:r w:rsidRPr="00307CD9">
        <w:rPr>
          <w:rFonts w:asciiTheme="majorHAnsi" w:hAnsiTheme="majorHAnsi" w:cstheme="majorHAnsi"/>
          <w:bCs/>
          <w:color w:val="000000" w:themeColor="text1"/>
          <w:sz w:val="20"/>
          <w:szCs w:val="20"/>
        </w:rPr>
        <w:t xml:space="preserve">ermitting </w:t>
      </w:r>
      <w:r>
        <w:rPr>
          <w:rFonts w:asciiTheme="majorHAnsi" w:hAnsiTheme="majorHAnsi" w:cstheme="majorHAnsi"/>
          <w:bCs/>
          <w:color w:val="000000" w:themeColor="text1"/>
          <w:sz w:val="20"/>
          <w:szCs w:val="20"/>
        </w:rPr>
        <w:t>A</w:t>
      </w:r>
      <w:r w:rsidRPr="00307CD9">
        <w:rPr>
          <w:rFonts w:asciiTheme="majorHAnsi" w:hAnsiTheme="majorHAnsi" w:cstheme="majorHAnsi"/>
          <w:bCs/>
          <w:color w:val="000000" w:themeColor="text1"/>
          <w:sz w:val="20"/>
          <w:szCs w:val="20"/>
        </w:rPr>
        <w:t>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Pr>
          <w:rFonts w:asciiTheme="minorHAnsi" w:hAnsiTheme="minorHAnsi" w:cstheme="minorHAnsi"/>
          <w:color w:val="000000"/>
        </w:rPr>
        <w:t>, f</w:t>
      </w:r>
      <w:r w:rsidRPr="0057523F">
        <w:rPr>
          <w:rFonts w:asciiTheme="minorHAnsi" w:hAnsiTheme="minorHAnsi" w:cstheme="minorHAnsi"/>
          <w:color w:val="000000"/>
        </w:rPr>
        <w:t>ive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Additional data points would better characterize the discharge, minimize statistical </w:t>
      </w:r>
      <w:r w:rsidRPr="005E7B2A">
        <w:rPr>
          <w:rFonts w:asciiTheme="minorHAnsi" w:hAnsiTheme="minorHAnsi" w:cstheme="minorHAnsi"/>
        </w:rPr>
        <w:lastRenderedPageBreak/>
        <w:t>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preserve the 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Clean Water Act 303(d</w:t>
      </w:r>
      <w:proofErr w:type="gramStart"/>
      <w:r w:rsidRPr="00637299">
        <w:rPr>
          <w:rFonts w:asciiTheme="minorHAnsi" w:hAnsiTheme="minorHAnsi" w:cstheme="minorHAnsi"/>
        </w:rPr>
        <w:t>)(</w:t>
      </w:r>
      <w:proofErr w:type="gramEnd"/>
      <w:r w:rsidRPr="00637299">
        <w:rPr>
          <w:rFonts w:asciiTheme="minorHAnsi" w:hAnsiTheme="minorHAnsi" w:cstheme="minorHAnsi"/>
        </w:rPr>
        <w:t xml:space="preserve">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lastRenderedPageBreak/>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6"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xml:space="preserve">. DEQ does not track how many of the </w:t>
            </w:r>
            <w:r w:rsidRPr="00C73AF8">
              <w:rPr>
                <w:rFonts w:asciiTheme="minorHAnsi" w:hAnsiTheme="minorHAnsi" w:cstheme="minorHAnsi"/>
                <w:sz w:val="24"/>
                <w:szCs w:val="24"/>
              </w:rPr>
              <w:lastRenderedPageBreak/>
              <w:t>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lastRenderedPageBreak/>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7"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8"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9"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40"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41"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4" w:name="AlternativesConsidered"/>
      <w:bookmarkStart w:id="5" w:name="RANGE!C35"/>
      <w:r w:rsidRPr="006807BF">
        <w:rPr>
          <w:rFonts w:asciiTheme="majorHAnsi" w:hAnsiTheme="majorHAnsi" w:cstheme="majorHAnsi"/>
          <w:bCs/>
          <w:color w:val="000000" w:themeColor="text1"/>
          <w:sz w:val="22"/>
          <w:szCs w:val="22"/>
        </w:rPr>
        <w:t>What alternatives did DEQ consider</w:t>
      </w:r>
      <w:bookmarkEnd w:id="4"/>
      <w:r w:rsidRPr="006807BF">
        <w:rPr>
          <w:rFonts w:asciiTheme="majorHAnsi" w:hAnsiTheme="majorHAnsi" w:cstheme="majorHAnsi"/>
          <w:bCs/>
          <w:color w:val="000000" w:themeColor="text1"/>
          <w:sz w:val="22"/>
          <w:szCs w:val="22"/>
        </w:rPr>
        <w:t xml:space="preserve"> if any?</w:t>
      </w:r>
      <w:bookmarkEnd w:id="5"/>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42"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CC429D"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43"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4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 xml:space="preserve">The water quality standards program in general could affect land uses, but the proposed rules do not. The proposed rules would revise Oregon’s freshwater criteria for ammonia, or provide minor corrections, but do not change the beneficial uses of state waters and the water quality standards will continue to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CC429D"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Pr="008A174B" w:rsidRDefault="00641511" w:rsidP="00641511">
      <w:pPr>
        <w:ind w:right="828"/>
        <w:rPr>
          <w:rFonts w:asciiTheme="minorHAnsi" w:hAnsiTheme="minorHAnsi" w:cstheme="minorHAnsi"/>
        </w:rPr>
      </w:pPr>
      <w:r w:rsidRPr="008A174B">
        <w:rPr>
          <w:rStyle w:val="Emphasis"/>
        </w:rPr>
        <w:t xml:space="preserve">OPTION 1 </w:t>
      </w:r>
      <w:r w:rsidRPr="008A174B">
        <w:rPr>
          <w:rFonts w:asciiTheme="minorHAnsi" w:hAnsiTheme="minorHAnsi" w:cstheme="minorHAnsi"/>
        </w:rPr>
        <w:t>DEQ did not change the proposed rules in response to comments.</w:t>
      </w:r>
    </w:p>
    <w:p w:rsidR="00641511" w:rsidRDefault="00641511" w:rsidP="00641511">
      <w:pPr>
        <w:ind w:right="828"/>
        <w:rPr>
          <w:rFonts w:asciiTheme="minorHAnsi" w:hAnsiTheme="minorHAnsi" w:cstheme="minorHAnsi"/>
          <w:bCs/>
          <w:color w:val="000000" w:themeColor="text1"/>
        </w:rPr>
      </w:pPr>
      <w:r w:rsidRPr="008A174B">
        <w:rPr>
          <w:rStyle w:val="Emphasis"/>
        </w:rPr>
        <w:t xml:space="preserve">OPTION 2 </w:t>
      </w:r>
      <w:r w:rsidRPr="008A174B">
        <w:rPr>
          <w:rFonts w:asciiTheme="minorHAnsi" w:hAnsiTheme="minorHAnsi" w:cstheme="minorHAnsi"/>
        </w:rPr>
        <w:t>DEQ changed the proposed rules in response to comments</w:t>
      </w:r>
      <w:r>
        <w:rPr>
          <w:rFonts w:asciiTheme="minorHAnsi" w:hAnsiTheme="minorHAnsi" w:cstheme="minorHAnsi"/>
        </w:rPr>
        <w:t xml:space="preserve"> described in the </w:t>
      </w:r>
      <w:r w:rsidRPr="008A174B">
        <w:rPr>
          <w:rFonts w:asciiTheme="minorHAnsi" w:hAnsiTheme="minorHAnsi" w:cstheme="minorHAnsi"/>
        </w:rPr>
        <w:t>response section</w:t>
      </w:r>
      <w:r>
        <w:rPr>
          <w:rFonts w:asciiTheme="minorHAnsi" w:hAnsiTheme="minorHAnsi" w:cstheme="minorHAnsi"/>
        </w:rPr>
        <w:t>s</w:t>
      </w:r>
      <w:r w:rsidRPr="008A174B">
        <w:rPr>
          <w:rFonts w:asciiTheme="minorHAnsi" w:hAnsiTheme="minorHAnsi" w:cstheme="minorHAnsi"/>
        </w:rPr>
        <w:t xml:space="preserve"> below</w:t>
      </w:r>
    </w:p>
    <w:p w:rsidR="00641511" w:rsidRDefault="00641511" w:rsidP="00641511">
      <w:pPr>
        <w:spacing w:after="120"/>
        <w:ind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E643DB" w:rsidRPr="00427ABB" w:rsidRDefault="00E643DB" w:rsidP="00E643DB">
      <w:pPr>
        <w:pStyle w:val="ListParagraph"/>
        <w:spacing w:after="120"/>
        <w:ind w:left="2880" w:right="634"/>
        <w:contextualSpacing w:val="0"/>
        <w:rPr>
          <w:rFonts w:asciiTheme="minorHAnsi" w:hAnsiTheme="minorHAnsi" w:cstheme="minorHAnsi"/>
          <w:bCs/>
          <w:color w:val="000000" w:themeColor="text1"/>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w:t>
      </w:r>
      <w:proofErr w:type="spellStart"/>
      <w:r w:rsidRPr="009F3D9E">
        <w:rPr>
          <w:rFonts w:asciiTheme="minorHAnsi" w:hAnsiTheme="minorHAnsi" w:cstheme="minorHAnsi"/>
          <w:bCs/>
          <w:color w:val="000000" w:themeColor="text1"/>
        </w:rPr>
        <w:t>commenters</w:t>
      </w:r>
      <w:proofErr w:type="spellEnd"/>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p>
    <w:p w:rsidR="00641511" w:rsidRPr="00D42853" w:rsidRDefault="00641511" w:rsidP="00B00AAF">
      <w:pPr>
        <w:tabs>
          <w:tab w:val="left" w:pos="1080"/>
        </w:tabs>
        <w:spacing w:after="120"/>
        <w:ind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ssociation</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B00AAF">
        <w:rPr>
          <w:rFonts w:asciiTheme="minorHAnsi" w:hAnsiTheme="minorHAnsi" w:cstheme="minorHAnsi"/>
          <w:bCs/>
          <w:color w:val="000000" w:themeColor="text1"/>
        </w:rPr>
        <w: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641511" w:rsidRPr="00427ABB" w:rsidRDefault="00641511" w:rsidP="00641511">
      <w:pPr>
        <w:pStyle w:val="ListParagraph"/>
        <w:spacing w:after="120"/>
        <w:ind w:left="2880" w:right="634"/>
        <w:contextualSpacing w:val="0"/>
        <w:rPr>
          <w:rFonts w:asciiTheme="minorHAnsi" w:hAnsiTheme="minorHAnsi" w:cstheme="minorHAnsi"/>
          <w:bCs/>
          <w:color w:val="000000" w:themeColor="text1"/>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commenters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p>
    <w:p w:rsidR="00641511" w:rsidRPr="00427ABB" w:rsidRDefault="00641511" w:rsidP="00641511">
      <w:pPr>
        <w:spacing w:after="120"/>
        <w:ind w:left="297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1107B0" w:rsidRPr="001107B0" w:rsidRDefault="001107B0" w:rsidP="001107B0">
      <w:pPr>
        <w:spacing w:after="120"/>
        <w:ind w:left="2880" w:right="634"/>
        <w:rPr>
          <w:rFonts w:asciiTheme="minorHAnsi" w:hAnsiTheme="minorHAnsi" w:cstheme="minorHAnsi"/>
          <w:bCs/>
          <w:color w:val="000000" w:themeColor="text1"/>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w:t>
      </w:r>
      <w:proofErr w:type="spellStart"/>
      <w:r w:rsidRPr="001107B0">
        <w:rPr>
          <w:rFonts w:asciiTheme="minorHAnsi" w:hAnsiTheme="minorHAnsi" w:cstheme="minorHAnsi"/>
          <w:bCs/>
          <w:color w:val="000000" w:themeColor="text1"/>
        </w:rPr>
        <w:t>commenters</w:t>
      </w:r>
      <w:proofErr w:type="spellEnd"/>
      <w:r w:rsidRPr="001107B0">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lastRenderedPageBreak/>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1107B0" w:rsidRPr="001107B0" w:rsidRDefault="001107B0" w:rsidP="001107B0">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p>
    <w:p w:rsidR="001107B0" w:rsidRDefault="001107B0" w:rsidP="00641511">
      <w:pPr>
        <w:pStyle w:val="ListParagraph"/>
        <w:spacing w:after="120"/>
        <w:ind w:left="2880" w:right="634"/>
        <w:contextualSpacing w:val="0"/>
        <w:rPr>
          <w:rFonts w:asciiTheme="minorHAnsi" w:hAnsiTheme="minorHAnsi" w:cstheme="minorHAnsi"/>
        </w:rPr>
      </w:pP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DEQ did not remove the disapproved portions of the statewide natural conditions criterion and the natural conditions criterion for temperature because the agency is beginning a process to address EPA’s disapproval of these conditions.  DEQ does not foresee how the disapproved policies can be used for purposes outside the Clean Water Act; however, the EQC has not</w:t>
      </w:r>
      <w:r w:rsidR="002E0F87">
        <w:t xml:space="preserve"> yet</w:t>
      </w:r>
      <w:r w:rsidR="00FE0388">
        <w:t xml:space="preserve"> had the opportunity to consider how to address these disapprovals</w:t>
      </w:r>
      <w:r w:rsidR="002E0F87">
        <w:t xml:space="preserve">. As a result, they are still </w:t>
      </w:r>
      <w:r w:rsidR="00FE0388">
        <w:t>part of EQC’s policy, even if they are not effective for Clean Water Act purposes. As part of the process of addressing EPA’s disapprovals of these criteria, DEQ will provide opportunity to comment on the temperature standard. </w:t>
      </w:r>
    </w:p>
    <w:p w:rsidR="002E0F87" w:rsidRDefault="002E0F87" w:rsidP="00FE0388">
      <w:pPr>
        <w:spacing w:after="120"/>
        <w:ind w:left="2970" w:right="630" w:hanging="1710"/>
      </w:pPr>
    </w:p>
    <w:p w:rsidR="00FE0388" w:rsidRPr="00FE0388" w:rsidRDefault="002E0F87" w:rsidP="00FE0388">
      <w:pPr>
        <w:spacing w:after="120"/>
        <w:ind w:left="2970" w:right="630" w:hanging="1710"/>
        <w:rPr>
          <w:rFonts w:asciiTheme="minorHAnsi" w:hAnsiTheme="minorHAnsi" w:cstheme="minorHAnsi"/>
          <w:color w:val="70481C" w:themeColor="accent6" w:themeShade="80"/>
        </w:rPr>
      </w:pPr>
      <w:r>
        <w:tab/>
        <w:t>DEQ added clarifying language under the Overview section in this report that the disapproval of these policies was based on Northwest Environmental Advocates litigation.</w:t>
      </w:r>
      <w:r w:rsidR="00FE0388">
        <w:t xml:space="preserve"> </w:t>
      </w:r>
    </w:p>
    <w:p w:rsidR="00FE0388" w:rsidRPr="00427ABB" w:rsidRDefault="00FE0388" w:rsidP="00641511">
      <w:pPr>
        <w:spacing w:after="120"/>
        <w:ind w:left="2970" w:right="630" w:hanging="1710"/>
        <w:rPr>
          <w:rFonts w:asciiTheme="minorHAnsi" w:hAnsiTheme="minorHAnsi" w:cstheme="minorHAnsi"/>
          <w:color w:val="618889" w:themeColor="accent3" w:themeShade="BF"/>
        </w:rPr>
      </w:pP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Default="00641511" w:rsidP="00641511">
      <w:pPr>
        <w:pStyle w:val="ListParagraph"/>
        <w:spacing w:after="120"/>
        <w:ind w:left="2880" w:right="634"/>
        <w:contextualSpacing w:val="0"/>
        <w:rPr>
          <w:rFonts w:asciiTheme="minorHAnsi" w:hAnsiTheme="minorHAnsi" w:cstheme="minorHAnsi"/>
          <w:bCs/>
          <w:color w:val="000000" w:themeColor="text1"/>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w:t>
      </w:r>
      <w:proofErr w:type="spellStart"/>
      <w:r w:rsidRPr="009F3D9E">
        <w:rPr>
          <w:rFonts w:asciiTheme="minorHAnsi" w:hAnsiTheme="minorHAnsi" w:cstheme="minorHAnsi"/>
          <w:bCs/>
          <w:color w:val="000000" w:themeColor="text1"/>
        </w:rPr>
        <w:t>commenters</w:t>
      </w:r>
      <w:proofErr w:type="spellEnd"/>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substantive changes were made, and 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Pr>
          <w:rFonts w:asciiTheme="minorHAnsi" w:hAnsiTheme="minorHAnsi" w:cstheme="minorHAnsi"/>
          <w:bCs/>
          <w:color w:val="000000" w:themeColor="text1"/>
        </w:rPr>
        <w:t>Text</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Pr>
          <w:rFonts w:asciiTheme="minorHAnsi" w:hAnsiTheme="minorHAnsi" w:cstheme="minorHAnsi"/>
          <w:bCs/>
          <w:color w:val="000000" w:themeColor="text1"/>
        </w:rPr>
        <w:t>Text</w:t>
      </w: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5"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641511" w:rsidRDefault="00641511" w:rsidP="00641511">
      <w:pPr>
        <w:spacing w:after="120"/>
        <w:ind w:right="630"/>
        <w:rPr>
          <w:rFonts w:asciiTheme="minorHAnsi" w:hAnsiTheme="minorHAnsi" w:cstheme="minorHAnsi"/>
        </w:rPr>
      </w:pPr>
      <w:r w:rsidRPr="00BD3CBE">
        <w:rPr>
          <w:color w:val="000000" w:themeColor="text1"/>
        </w:rPr>
        <w:t xml:space="preserve">The table below </w:t>
      </w:r>
      <w:r>
        <w:rPr>
          <w:color w:val="000000" w:themeColor="text1"/>
        </w:rPr>
        <w:t>lists</w:t>
      </w:r>
      <w:r w:rsidRPr="00AB3135">
        <w:rPr>
          <w:rStyle w:val="Emphasis"/>
        </w:rPr>
        <w:t xml:space="preserve"> </w:t>
      </w:r>
      <w:r>
        <w:rPr>
          <w:rStyle w:val="Emphasis"/>
        </w:rPr>
        <w:t>Enter the number of commenters</w:t>
      </w:r>
      <w:r>
        <w:rPr>
          <w:color w:val="000000" w:themeColor="text1"/>
        </w:rPr>
        <w:t xml:space="preserve"> people and organizations who submitted </w:t>
      </w:r>
      <w:r w:rsidRPr="00BD3CBE">
        <w:rPr>
          <w:rFonts w:asciiTheme="minorHAnsi" w:hAnsiTheme="minorHAnsi" w:cstheme="minorHAnsi"/>
          <w:bCs/>
          <w:color w:val="000000" w:themeColor="text1"/>
        </w:rPr>
        <w:t>comment</w:t>
      </w:r>
      <w:r>
        <w:rPr>
          <w:rFonts w:asciiTheme="minorHAnsi" w:hAnsiTheme="minorHAnsi" w:cstheme="minorHAnsi"/>
          <w:bCs/>
          <w:color w:val="000000" w:themeColor="text1"/>
        </w:rPr>
        <w:t xml:space="preserve">s </w:t>
      </w:r>
      <w:r w:rsidRPr="00F43F19">
        <w:rPr>
          <w:rFonts w:asciiTheme="minorHAnsi" w:hAnsiTheme="minorHAnsi" w:cstheme="minorHAnsi"/>
          <w:bCs/>
          <w:color w:val="000000" w:themeColor="text1"/>
          <w:u w:val="single"/>
        </w:rPr>
        <w:t>after</w:t>
      </w:r>
      <w:r>
        <w:rPr>
          <w:rFonts w:asciiTheme="minorHAnsi" w:hAnsiTheme="minorHAnsi" w:cstheme="minorHAnsi"/>
          <w:bCs/>
          <w:color w:val="000000" w:themeColor="text1"/>
        </w:rPr>
        <w:t xml:space="preserve"> the close of public comment on </w:t>
      </w:r>
      <w:r>
        <w:rPr>
          <w:rStyle w:val="Emphasis"/>
        </w:rPr>
        <w:t>Enter the date and time for comment closure. Example Feb. 14, 2014 at 5 p.m.</w:t>
      </w:r>
      <w:r>
        <w:rPr>
          <w:rFonts w:asciiTheme="minorHAnsi" w:hAnsiTheme="minorHAnsi" w:cstheme="minorHAnsi"/>
          <w:bCs/>
          <w:color w:val="000000" w:themeColor="text1"/>
        </w:rPr>
        <w:t xml:space="preserve"> </w:t>
      </w:r>
      <w:r w:rsidRPr="00643871">
        <w:rPr>
          <w:rFonts w:asciiTheme="minorHAnsi" w:hAnsiTheme="minorHAnsi" w:cstheme="minorHAnsi"/>
        </w:rPr>
        <w:t xml:space="preserve">DEQ cannot consider </w:t>
      </w:r>
      <w:r>
        <w:rPr>
          <w:rFonts w:asciiTheme="minorHAnsi" w:hAnsiTheme="minorHAnsi" w:cstheme="minorHAnsi"/>
        </w:rPr>
        <w:t>these comment</w:t>
      </w:r>
      <w:r w:rsidRPr="00F43F19">
        <w:rPr>
          <w:rFonts w:asciiTheme="minorHAnsi" w:hAnsiTheme="minorHAnsi" w:cstheme="minorHAnsi"/>
        </w:rPr>
        <w:t xml:space="preserve">s </w:t>
      </w:r>
      <w:r w:rsidRPr="00F43F19">
        <w:rPr>
          <w:rFonts w:asciiTheme="minorHAnsi" w:hAnsiTheme="minorHAnsi" w:cstheme="minorHAnsi"/>
          <w:bCs/>
        </w:rPr>
        <w:t>in the final rule analysis</w:t>
      </w:r>
      <w:r w:rsidRPr="00F43F19">
        <w:rPr>
          <w:rFonts w:asciiTheme="minorHAnsi" w:hAnsiTheme="minorHAnsi" w:cstheme="minorHAnsi"/>
        </w:rPr>
        <w:t>.</w:t>
      </w:r>
    </w:p>
    <w:p w:rsidR="00641511" w:rsidRDefault="00641511" w:rsidP="00641511">
      <w:pPr>
        <w:spacing w:after="120"/>
        <w:ind w:right="630"/>
        <w:rPr>
          <w:rFonts w:asciiTheme="minorHAnsi" w:hAnsiTheme="minorHAnsi" w:cstheme="minorHAnsi"/>
          <w:b/>
          <w:bCs/>
          <w:color w:val="000000" w:themeColor="text1"/>
        </w:rPr>
      </w:pPr>
    </w:p>
    <w:p w:rsidR="00641511" w:rsidRPr="00150BD4" w:rsidRDefault="00641511" w:rsidP="00641511">
      <w:pPr>
        <w:pStyle w:val="ListParagraph"/>
        <w:numPr>
          <w:ilvl w:val="0"/>
          <w:numId w:val="27"/>
        </w:numPr>
        <w:tabs>
          <w:tab w:val="left" w:pos="1080"/>
        </w:tabs>
        <w:ind w:left="2880" w:right="634" w:hanging="2160"/>
        <w:contextualSpacing w:val="0"/>
      </w:pPr>
      <w:r w:rsidRPr="00EE7382">
        <w:rPr>
          <w:rFonts w:asciiTheme="majorHAnsi" w:hAnsiTheme="majorHAnsi" w:cstheme="majorHAnsi"/>
          <w:b/>
          <w:bCs/>
          <w:sz w:val="22"/>
          <w:szCs w:val="22"/>
        </w:rPr>
        <w:t>Commenter</w:t>
      </w:r>
      <w:r w:rsidRPr="00EE7382">
        <w:rPr>
          <w:rFonts w:asciiTheme="majorHAnsi" w:hAnsiTheme="majorHAnsi" w:cstheme="majorHAnsi"/>
          <w:b/>
          <w:bCs/>
          <w:color w:val="463D38" w:themeColor="accent4" w:themeShade="80"/>
          <w:sz w:val="22"/>
          <w:szCs w:val="22"/>
        </w:rPr>
        <w:tab/>
      </w:r>
      <w:r w:rsidRPr="00B92CF2">
        <w:rPr>
          <w:rStyle w:val="Emphasis"/>
        </w:rPr>
        <w:t>Enter name</w:t>
      </w:r>
      <w:r w:rsidRPr="00EE7382">
        <w:rPr>
          <w:sz w:val="22"/>
          <w:szCs w:val="22"/>
        </w:rPr>
        <w:t>Text</w:t>
      </w:r>
    </w:p>
    <w:p w:rsidR="00641511" w:rsidRPr="00427ABB" w:rsidRDefault="00641511" w:rsidP="00641511">
      <w:pPr>
        <w:pStyle w:val="ListParagraph"/>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150BD4">
        <w:rPr>
          <w:rStyle w:val="Emphasis"/>
        </w:rPr>
        <w:t xml:space="preserve">Enter name of party </w:t>
      </w:r>
      <w:r>
        <w:rPr>
          <w:rStyle w:val="Emphasis"/>
        </w:rPr>
        <w:t xml:space="preserve">that </w:t>
      </w:r>
      <w:r w:rsidRPr="00150BD4">
        <w:rPr>
          <w:rStyle w:val="Emphasis"/>
        </w:rPr>
        <w:t>this person represents.</w:t>
      </w:r>
      <w:r w:rsidRPr="00150BD4">
        <w:rPr>
          <w:sz w:val="22"/>
          <w:szCs w:val="22"/>
        </w:rPr>
        <w:t>Text</w:t>
      </w:r>
    </w:p>
    <w:p w:rsidR="00641511" w:rsidRDefault="00641511" w:rsidP="00641511">
      <w:pPr>
        <w:pStyle w:val="ListParagraph"/>
        <w:ind w:left="2880" w:right="634" w:hanging="1440"/>
        <w:contextualSpacing w:val="0"/>
        <w:rPr>
          <w:sz w:val="22"/>
          <w:szCs w:val="22"/>
        </w:rPr>
      </w:pPr>
      <w:r w:rsidRPr="004268DD">
        <w:rPr>
          <w:rFonts w:asciiTheme="majorHAnsi" w:hAnsiTheme="majorHAnsi" w:cstheme="majorHAnsi"/>
          <w:bCs/>
          <w:color w:val="463D38" w:themeColor="accent4" w:themeShade="80"/>
          <w:sz w:val="22"/>
          <w:szCs w:val="22"/>
        </w:rPr>
        <w:t>Received</w:t>
      </w:r>
      <w:r>
        <w:rPr>
          <w:rFonts w:asciiTheme="majorHAnsi" w:hAnsiTheme="majorHAnsi" w:cstheme="majorHAnsi"/>
          <w:b/>
          <w:bCs/>
          <w:color w:val="463D38" w:themeColor="accent4" w:themeShade="80"/>
          <w:sz w:val="22"/>
          <w:szCs w:val="22"/>
        </w:rPr>
        <w:t xml:space="preserve"> </w:t>
      </w:r>
      <w:r>
        <w:rPr>
          <w:rFonts w:asciiTheme="majorHAnsi" w:hAnsiTheme="majorHAnsi" w:cstheme="majorHAnsi"/>
          <w:b/>
          <w:bCs/>
          <w:color w:val="463D38" w:themeColor="accent4" w:themeShade="80"/>
          <w:sz w:val="22"/>
          <w:szCs w:val="22"/>
        </w:rPr>
        <w:tab/>
      </w:r>
      <w:r w:rsidRPr="00150BD4">
        <w:rPr>
          <w:rStyle w:val="Emphasis"/>
        </w:rPr>
        <w:t>Enter delinquent submittal date and time. Example Feb. 14, 2014 at 6:02 p.m.</w:t>
      </w:r>
      <w:r w:rsidRPr="00150BD4">
        <w:rPr>
          <w:sz w:val="22"/>
          <w:szCs w:val="22"/>
        </w:rPr>
        <w:t>Text</w:t>
      </w:r>
    </w:p>
    <w:p w:rsidR="00641511" w:rsidRPr="00150BD4" w:rsidRDefault="00641511" w:rsidP="00641511">
      <w:pPr>
        <w:pStyle w:val="ListParagraph"/>
        <w:ind w:left="2880" w:right="634" w:hanging="1440"/>
        <w:contextualSpacing w:val="0"/>
        <w:rPr>
          <w:rStyle w:val="Emphasis"/>
        </w:rPr>
      </w:pPr>
    </w:p>
    <w:p w:rsidR="00641511" w:rsidRPr="00150BD4" w:rsidRDefault="00641511" w:rsidP="00641511">
      <w:pPr>
        <w:pStyle w:val="ListParagraph"/>
        <w:ind w:left="2880" w:right="634" w:hanging="1440"/>
        <w:contextualSpacing w:val="0"/>
        <w:rPr>
          <w:rFonts w:asciiTheme="majorHAnsi" w:hAnsiTheme="majorHAnsi" w:cstheme="majorHAnsi"/>
          <w:bCs/>
          <w:color w:val="463D38" w:themeColor="accent4" w:themeShade="80"/>
          <w:sz w:val="22"/>
          <w:szCs w:val="22"/>
        </w:rPr>
      </w:pPr>
    </w:p>
    <w:p w:rsidR="00641511" w:rsidRPr="00150BD4" w:rsidRDefault="00641511" w:rsidP="00641511">
      <w:pPr>
        <w:pStyle w:val="ListParagraph"/>
        <w:numPr>
          <w:ilvl w:val="0"/>
          <w:numId w:val="27"/>
        </w:numPr>
        <w:tabs>
          <w:tab w:val="left" w:pos="1080"/>
          <w:tab w:val="left" w:pos="2070"/>
        </w:tabs>
        <w:ind w:left="2880" w:right="634" w:hanging="2160"/>
        <w:contextualSpacing w:val="0"/>
      </w:pPr>
      <w:r w:rsidRPr="00EE7382">
        <w:rPr>
          <w:rFonts w:asciiTheme="majorHAnsi" w:hAnsiTheme="majorHAnsi" w:cstheme="majorHAnsi"/>
          <w:b/>
          <w:bCs/>
          <w:sz w:val="22"/>
          <w:szCs w:val="22"/>
        </w:rPr>
        <w:t>Commenter</w:t>
      </w:r>
      <w:r w:rsidRPr="00EE7382">
        <w:rPr>
          <w:rFonts w:asciiTheme="majorHAnsi" w:hAnsiTheme="majorHAnsi" w:cstheme="majorHAnsi"/>
          <w:b/>
          <w:bCs/>
          <w:color w:val="463D38" w:themeColor="accent4" w:themeShade="80"/>
          <w:sz w:val="22"/>
          <w:szCs w:val="22"/>
        </w:rPr>
        <w:tab/>
      </w:r>
      <w:r w:rsidRPr="00B92CF2">
        <w:rPr>
          <w:rStyle w:val="Emphasis"/>
        </w:rPr>
        <w:t>Enter name</w:t>
      </w:r>
      <w:r w:rsidRPr="00EE7382">
        <w:rPr>
          <w:sz w:val="22"/>
          <w:szCs w:val="22"/>
        </w:rPr>
        <w:t>Text</w:t>
      </w:r>
    </w:p>
    <w:p w:rsidR="00641511" w:rsidRPr="00427ABB" w:rsidRDefault="00641511" w:rsidP="00641511">
      <w:pPr>
        <w:pStyle w:val="ListParagraph"/>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150BD4">
        <w:rPr>
          <w:rStyle w:val="Emphasis"/>
        </w:rPr>
        <w:t xml:space="preserve">Enter name of party </w:t>
      </w:r>
      <w:r>
        <w:rPr>
          <w:rStyle w:val="Emphasis"/>
        </w:rPr>
        <w:t xml:space="preserve">that </w:t>
      </w:r>
      <w:r w:rsidRPr="00150BD4">
        <w:rPr>
          <w:rStyle w:val="Emphasis"/>
        </w:rPr>
        <w:t>this person represents.</w:t>
      </w:r>
      <w:r w:rsidRPr="00150BD4">
        <w:rPr>
          <w:sz w:val="22"/>
          <w:szCs w:val="22"/>
        </w:rPr>
        <w:t>Text</w:t>
      </w:r>
    </w:p>
    <w:p w:rsidR="00641511" w:rsidRDefault="00641511" w:rsidP="00641511">
      <w:pPr>
        <w:pStyle w:val="ListParagraph"/>
        <w:ind w:left="2880" w:right="634" w:hanging="1440"/>
        <w:contextualSpacing w:val="0"/>
        <w:rPr>
          <w:sz w:val="22"/>
          <w:szCs w:val="22"/>
        </w:rPr>
      </w:pPr>
      <w:r w:rsidRPr="004268DD">
        <w:rPr>
          <w:rFonts w:asciiTheme="majorHAnsi" w:hAnsiTheme="majorHAnsi" w:cstheme="majorHAnsi"/>
          <w:bCs/>
          <w:color w:val="463D38" w:themeColor="accent4" w:themeShade="80"/>
          <w:sz w:val="22"/>
          <w:szCs w:val="22"/>
        </w:rPr>
        <w:t>Received</w:t>
      </w:r>
      <w:r>
        <w:rPr>
          <w:rFonts w:asciiTheme="majorHAnsi" w:hAnsiTheme="majorHAnsi" w:cstheme="majorHAnsi"/>
          <w:b/>
          <w:bCs/>
          <w:color w:val="463D38" w:themeColor="accent4" w:themeShade="80"/>
          <w:sz w:val="22"/>
          <w:szCs w:val="22"/>
        </w:rPr>
        <w:t xml:space="preserve"> </w:t>
      </w:r>
      <w:r>
        <w:rPr>
          <w:rFonts w:asciiTheme="majorHAnsi" w:hAnsiTheme="majorHAnsi" w:cstheme="majorHAnsi"/>
          <w:b/>
          <w:bCs/>
          <w:color w:val="463D38" w:themeColor="accent4" w:themeShade="80"/>
          <w:sz w:val="22"/>
          <w:szCs w:val="22"/>
        </w:rPr>
        <w:tab/>
      </w:r>
      <w:r w:rsidRPr="00150BD4">
        <w:rPr>
          <w:rStyle w:val="Emphasis"/>
        </w:rPr>
        <w:t>Enter delinquent submittal date and time. Example Feb. 14, 2014 at 6:02 p.m.</w:t>
      </w:r>
      <w:r w:rsidRPr="00150BD4">
        <w:rPr>
          <w:sz w:val="22"/>
          <w:szCs w:val="22"/>
        </w:rPr>
        <w:t>Text</w:t>
      </w:r>
    </w:p>
    <w:p w:rsidR="00641511" w:rsidRPr="00150BD4" w:rsidRDefault="00641511" w:rsidP="00641511">
      <w:pPr>
        <w:pStyle w:val="ListParagraph"/>
        <w:ind w:left="2880" w:right="634" w:hanging="1440"/>
        <w:contextualSpacing w:val="0"/>
        <w:rPr>
          <w:rStyle w:val="Emphasis"/>
        </w:rPr>
      </w:pPr>
    </w:p>
    <w:p w:rsidR="00641511" w:rsidRDefault="00641511" w:rsidP="00641511">
      <w:pPr>
        <w:pStyle w:val="ListParagraph"/>
        <w:ind w:left="2700" w:right="634" w:hanging="1620"/>
        <w:contextualSpacing w:val="0"/>
        <w:rPr>
          <w:rFonts w:asciiTheme="majorHAnsi" w:hAnsiTheme="majorHAnsi" w:cstheme="majorHAnsi"/>
          <w:b/>
          <w:bCs/>
          <w:color w:val="463D38" w:themeColor="accent4" w:themeShade="80"/>
          <w:sz w:val="22"/>
          <w:szCs w:val="22"/>
        </w:rPr>
      </w:pPr>
    </w:p>
    <w:p w:rsidR="00641511" w:rsidRPr="00150BD4" w:rsidRDefault="00641511" w:rsidP="00641511">
      <w:pPr>
        <w:pStyle w:val="ListParagraph"/>
        <w:numPr>
          <w:ilvl w:val="0"/>
          <w:numId w:val="27"/>
        </w:numPr>
        <w:tabs>
          <w:tab w:val="left" w:pos="1080"/>
          <w:tab w:val="left" w:pos="2070"/>
        </w:tabs>
        <w:ind w:left="2880" w:right="634" w:hanging="2160"/>
        <w:contextualSpacing w:val="0"/>
      </w:pPr>
      <w:r w:rsidRPr="00EE7382">
        <w:rPr>
          <w:rFonts w:asciiTheme="majorHAnsi" w:hAnsiTheme="majorHAnsi" w:cstheme="majorHAnsi"/>
          <w:b/>
          <w:bCs/>
          <w:sz w:val="22"/>
          <w:szCs w:val="22"/>
        </w:rPr>
        <w:t>Commenter</w:t>
      </w:r>
      <w:r w:rsidRPr="00EE7382">
        <w:rPr>
          <w:rFonts w:asciiTheme="majorHAnsi" w:hAnsiTheme="majorHAnsi" w:cstheme="majorHAnsi"/>
          <w:b/>
          <w:bCs/>
          <w:color w:val="463D38" w:themeColor="accent4" w:themeShade="80"/>
          <w:sz w:val="22"/>
          <w:szCs w:val="22"/>
        </w:rPr>
        <w:tab/>
      </w:r>
      <w:r w:rsidRPr="00B92CF2">
        <w:rPr>
          <w:rStyle w:val="Emphasis"/>
        </w:rPr>
        <w:t>Enter name</w:t>
      </w:r>
      <w:r w:rsidRPr="00EE7382">
        <w:rPr>
          <w:sz w:val="22"/>
          <w:szCs w:val="22"/>
        </w:rPr>
        <w:t>Text</w:t>
      </w:r>
    </w:p>
    <w:p w:rsidR="00641511" w:rsidRPr="00427ABB" w:rsidRDefault="00641511" w:rsidP="00641511">
      <w:pPr>
        <w:pStyle w:val="ListParagraph"/>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150BD4">
        <w:rPr>
          <w:rStyle w:val="Emphasis"/>
        </w:rPr>
        <w:t xml:space="preserve">Enter name of party </w:t>
      </w:r>
      <w:r>
        <w:rPr>
          <w:rStyle w:val="Emphasis"/>
        </w:rPr>
        <w:t xml:space="preserve">that </w:t>
      </w:r>
      <w:r w:rsidRPr="00150BD4">
        <w:rPr>
          <w:rStyle w:val="Emphasis"/>
        </w:rPr>
        <w:t>this person represents.</w:t>
      </w:r>
      <w:r w:rsidRPr="00150BD4">
        <w:rPr>
          <w:sz w:val="22"/>
          <w:szCs w:val="22"/>
        </w:rPr>
        <w:t>Text</w:t>
      </w:r>
    </w:p>
    <w:p w:rsidR="00641511" w:rsidRDefault="00641511" w:rsidP="00641511">
      <w:pPr>
        <w:pStyle w:val="ListParagraph"/>
        <w:ind w:left="2880" w:right="634" w:hanging="1440"/>
        <w:contextualSpacing w:val="0"/>
        <w:rPr>
          <w:sz w:val="22"/>
          <w:szCs w:val="22"/>
        </w:rPr>
      </w:pPr>
      <w:r w:rsidRPr="004268DD">
        <w:rPr>
          <w:rFonts w:asciiTheme="majorHAnsi" w:hAnsiTheme="majorHAnsi" w:cstheme="majorHAnsi"/>
          <w:bCs/>
          <w:color w:val="463D38" w:themeColor="accent4" w:themeShade="80"/>
          <w:sz w:val="22"/>
          <w:szCs w:val="22"/>
        </w:rPr>
        <w:t>Received</w:t>
      </w:r>
      <w:r>
        <w:rPr>
          <w:rFonts w:asciiTheme="majorHAnsi" w:hAnsiTheme="majorHAnsi" w:cstheme="majorHAnsi"/>
          <w:b/>
          <w:bCs/>
          <w:color w:val="463D38" w:themeColor="accent4" w:themeShade="80"/>
          <w:sz w:val="22"/>
          <w:szCs w:val="22"/>
        </w:rPr>
        <w:t xml:space="preserve"> </w:t>
      </w:r>
      <w:r>
        <w:rPr>
          <w:rFonts w:asciiTheme="majorHAnsi" w:hAnsiTheme="majorHAnsi" w:cstheme="majorHAnsi"/>
          <w:b/>
          <w:bCs/>
          <w:color w:val="463D38" w:themeColor="accent4" w:themeShade="80"/>
          <w:sz w:val="22"/>
          <w:szCs w:val="22"/>
        </w:rPr>
        <w:tab/>
      </w:r>
      <w:r w:rsidRPr="00150BD4">
        <w:rPr>
          <w:rStyle w:val="Emphasis"/>
        </w:rPr>
        <w:t>Enter delinquent submittal date and time. Example Feb. 14, 2014 at 6:02 p.m.</w:t>
      </w:r>
      <w:r w:rsidRPr="00150BD4">
        <w:rPr>
          <w:sz w:val="22"/>
          <w:szCs w:val="22"/>
        </w:rPr>
        <w:t>Text</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6" w:name="AdvisoryCommittee"/>
      <w:r w:rsidRPr="006807BF">
        <w:rPr>
          <w:rFonts w:asciiTheme="majorHAnsi" w:hAnsiTheme="majorHAnsi" w:cstheme="majorHAnsi"/>
          <w:bCs/>
          <w:color w:val="000000" w:themeColor="text1"/>
          <w:sz w:val="22"/>
          <w:szCs w:val="22"/>
        </w:rPr>
        <w:t>Advisory committee</w:t>
      </w:r>
      <w:bookmarkEnd w:id="6"/>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did not convene an advisory committee. DEQ does not anticipate</w:t>
      </w:r>
      <w:r>
        <w:rPr>
          <w:rFonts w:asciiTheme="minorHAnsi" w:hAnsiTheme="minorHAnsi" w:cstheme="minorHAnsi"/>
          <w:iCs/>
          <w:color w:val="000000" w:themeColor="text1"/>
        </w:rPr>
        <w:t xml:space="preserve"> the proposed rules would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Pr="005A6669">
        <w:rPr>
          <w:rFonts w:asciiTheme="minorHAnsi" w:hAnsiTheme="minorHAnsi" w:cstheme="minorHAnsi"/>
          <w:iCs/>
          <w:color w:val="000000" w:themeColor="text1"/>
        </w:rPr>
        <w:t xml:space="preserve"> criteria are more conservative 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CC429D"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CC429D" w:rsidRPr="00C11796">
        <w:rPr>
          <w:rFonts w:asciiTheme="majorHAnsi" w:hAnsiTheme="majorHAnsi" w:cstheme="majorHAnsi"/>
        </w:rPr>
        <w:fldChar w:fldCharType="separate"/>
      </w:r>
      <w:r>
        <w:rPr>
          <w:rFonts w:asciiTheme="majorHAnsi" w:hAnsiTheme="majorHAnsi" w:cstheme="majorHAnsi"/>
          <w:noProof/>
        </w:rPr>
        <w:t>1</w:t>
      </w:r>
      <w:r w:rsidR="00CC429D"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6"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7"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8"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9"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50"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Default="00483E60" w:rsidP="00483E60">
      <w:pPr>
        <w:shd w:val="clear" w:color="auto" w:fill="FFFFFF"/>
        <w:rPr>
          <w:color w:val="000000"/>
          <w:sz w:val="18"/>
          <w:szCs w:val="1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hearings</w:t>
      </w:r>
    </w:p>
    <w:p w:rsidR="00483E60" w:rsidRDefault="00483E60" w:rsidP="00483E60">
      <w:pPr>
        <w:rPr>
          <w:rFonts w:asciiTheme="minorHAnsi" w:hAnsiTheme="minorHAnsi" w:cstheme="minorHAnsi"/>
          <w:bCs/>
          <w:color w:val="000000" w:themeColor="text1"/>
        </w:rPr>
      </w:pPr>
      <w:r>
        <w:rPr>
          <w:rFonts w:asciiTheme="minorHAnsi" w:hAnsiTheme="minorHAnsi" w:cstheme="minorHAnsi"/>
          <w:bCs/>
          <w:color w:val="000000" w:themeColor="text1"/>
        </w:rPr>
        <w:t xml:space="preserve">DEQ plans to hold the following public hearing in Portland. </w:t>
      </w:r>
    </w:p>
    <w:p w:rsidR="00483E60" w:rsidRDefault="00483E60" w:rsidP="00483E60">
      <w:pPr>
        <w:ind w:left="2160"/>
        <w:rPr>
          <w:rFonts w:asciiTheme="minorHAnsi" w:hAnsiTheme="minorHAnsi" w:cstheme="minorHAnsi"/>
          <w:color w:val="70481C" w:themeColor="accent6" w:themeShade="80"/>
        </w:rPr>
      </w:pPr>
    </w:p>
    <w:p w:rsidR="00483E60" w:rsidRDefault="00483E60" w:rsidP="00483E60">
      <w:pPr>
        <w:tabs>
          <w:tab w:val="left" w:pos="4140"/>
        </w:tabs>
        <w:spacing w:after="120"/>
        <w:ind w:left="2160" w:right="14"/>
        <w:rPr>
          <w:rFonts w:asciiTheme="minorHAnsi" w:hAnsiTheme="minorHAnsi" w:cstheme="minorHAnsi"/>
          <w:color w:val="70481C" w:themeColor="accent6" w:themeShade="80"/>
        </w:rPr>
      </w:pPr>
      <w:r w:rsidRPr="00AF4286">
        <w:rPr>
          <w:rFonts w:asciiTheme="minorHAnsi" w:hAnsiTheme="minorHAnsi" w:cstheme="minorHAnsi"/>
          <w:b/>
          <w:color w:val="70481C" w:themeColor="accent6" w:themeShade="80"/>
        </w:rPr>
        <w:t>Date</w:t>
      </w:r>
      <w:r>
        <w:rPr>
          <w:rFonts w:asciiTheme="minorHAnsi" w:hAnsiTheme="minorHAnsi" w:cstheme="minorHAnsi"/>
          <w:color w:val="70481C" w:themeColor="accent6" w:themeShade="80"/>
        </w:rPr>
        <w:tab/>
        <w:t>Oct. 15, 2014</w:t>
      </w:r>
    </w:p>
    <w:p w:rsidR="00483E60" w:rsidRDefault="00483E60" w:rsidP="00483E60">
      <w:pPr>
        <w:tabs>
          <w:tab w:val="left" w:pos="4140"/>
        </w:tabs>
        <w:spacing w:after="120"/>
        <w:ind w:left="2160" w:right="14"/>
        <w:rPr>
          <w:rFonts w:asciiTheme="minorHAnsi" w:hAnsiTheme="minorHAnsi" w:cstheme="minorHAnsi"/>
          <w:color w:val="70481C" w:themeColor="accent6" w:themeShade="80"/>
        </w:rPr>
      </w:pPr>
      <w:r w:rsidRPr="00AF4286">
        <w:rPr>
          <w:rFonts w:asciiTheme="minorHAnsi" w:hAnsiTheme="minorHAnsi" w:cstheme="minorHAnsi"/>
          <w:b/>
          <w:color w:val="70481C" w:themeColor="accent6" w:themeShade="80"/>
        </w:rPr>
        <w:t>Time</w:t>
      </w:r>
      <w:r>
        <w:rPr>
          <w:rFonts w:asciiTheme="minorHAnsi" w:hAnsiTheme="minorHAnsi" w:cstheme="minorHAnsi"/>
          <w:color w:val="70481C" w:themeColor="accent6" w:themeShade="80"/>
        </w:rPr>
        <w:tab/>
        <w:t>6 p.m.</w:t>
      </w:r>
    </w:p>
    <w:p w:rsidR="00483E60" w:rsidRDefault="00483E60" w:rsidP="00483E60">
      <w:pPr>
        <w:tabs>
          <w:tab w:val="left" w:pos="4140"/>
        </w:tabs>
        <w:ind w:left="2160"/>
        <w:rPr>
          <w:rFonts w:asciiTheme="minorHAnsi" w:hAnsiTheme="minorHAnsi" w:cstheme="minorHAnsi"/>
          <w:color w:val="70481C" w:themeColor="accent6" w:themeShade="80"/>
        </w:rPr>
      </w:pPr>
      <w:r w:rsidRPr="00AF4286">
        <w:rPr>
          <w:rFonts w:asciiTheme="minorHAnsi" w:hAnsiTheme="minorHAnsi" w:cstheme="minorHAnsi"/>
          <w:b/>
          <w:color w:val="70481C" w:themeColor="accent6" w:themeShade="80"/>
        </w:rPr>
        <w:t>Address</w:t>
      </w:r>
      <w:r>
        <w:rPr>
          <w:rFonts w:asciiTheme="minorHAnsi" w:hAnsiTheme="minorHAnsi" w:cstheme="minorHAnsi"/>
          <w:color w:val="70481C" w:themeColor="accent6" w:themeShade="80"/>
        </w:rPr>
        <w:tab/>
        <w:t>DEQ</w:t>
      </w:r>
    </w:p>
    <w:p w:rsidR="00483E60" w:rsidRDefault="00483E60" w:rsidP="00483E60">
      <w:pPr>
        <w:tabs>
          <w:tab w:val="left" w:pos="4140"/>
        </w:tabs>
        <w:ind w:left="2160"/>
        <w:rPr>
          <w:rFonts w:asciiTheme="minorHAnsi" w:hAnsiTheme="minorHAnsi" w:cstheme="minorHAnsi"/>
          <w:color w:val="70481C" w:themeColor="accent6" w:themeShade="80"/>
        </w:rPr>
      </w:pPr>
      <w:r>
        <w:rPr>
          <w:rFonts w:asciiTheme="minorHAnsi" w:hAnsiTheme="minorHAnsi" w:cstheme="minorHAnsi"/>
          <w:color w:val="70481C" w:themeColor="accent6" w:themeShade="80"/>
        </w:rPr>
        <w:tab/>
        <w:t>811 SW Sixth Ave.</w:t>
      </w:r>
    </w:p>
    <w:p w:rsidR="00483E60" w:rsidRDefault="00483E60" w:rsidP="00483E60">
      <w:pPr>
        <w:tabs>
          <w:tab w:val="left" w:pos="4140"/>
        </w:tabs>
        <w:spacing w:after="120"/>
        <w:ind w:left="2160" w:right="14"/>
        <w:rPr>
          <w:rFonts w:asciiTheme="minorHAnsi" w:hAnsiTheme="minorHAnsi" w:cstheme="minorHAnsi"/>
          <w:color w:val="70481C" w:themeColor="accent6" w:themeShade="80"/>
        </w:rPr>
      </w:pPr>
      <w:r>
        <w:rPr>
          <w:rFonts w:asciiTheme="minorHAnsi" w:hAnsiTheme="minorHAnsi" w:cstheme="minorHAnsi"/>
          <w:color w:val="70481C" w:themeColor="accent6" w:themeShade="80"/>
        </w:rPr>
        <w:tab/>
        <w:t>Portland, OR  97204</w:t>
      </w:r>
    </w:p>
    <w:p w:rsidR="00483E60" w:rsidRDefault="00483E60" w:rsidP="00483E60">
      <w:pPr>
        <w:tabs>
          <w:tab w:val="left" w:pos="4140"/>
        </w:tabs>
        <w:ind w:left="2160"/>
        <w:rPr>
          <w:rFonts w:asciiTheme="minorHAnsi" w:hAnsiTheme="minorHAnsi" w:cstheme="minorHAnsi"/>
          <w:color w:val="70481C" w:themeColor="accent6" w:themeShade="80"/>
        </w:rPr>
      </w:pPr>
      <w:r w:rsidRPr="00AF4286">
        <w:rPr>
          <w:rFonts w:asciiTheme="minorHAnsi" w:hAnsiTheme="minorHAnsi" w:cstheme="minorHAnsi"/>
          <w:b/>
          <w:color w:val="70481C" w:themeColor="accent6" w:themeShade="80"/>
        </w:rPr>
        <w:t>Presiding Officer</w:t>
      </w:r>
      <w:r>
        <w:rPr>
          <w:rFonts w:asciiTheme="minorHAnsi" w:hAnsiTheme="minorHAnsi" w:cstheme="minorHAnsi"/>
          <w:color w:val="70481C" w:themeColor="accent6" w:themeShade="80"/>
        </w:rPr>
        <w:tab/>
        <w:t>DEQ staff</w:t>
      </w:r>
    </w:p>
    <w:p w:rsidR="00483E60" w:rsidRDefault="00483E60" w:rsidP="00483E60">
      <w:pPr>
        <w:tabs>
          <w:tab w:val="left" w:pos="3600"/>
        </w:tabs>
        <w:ind w:left="2160"/>
        <w:rPr>
          <w:rFonts w:asciiTheme="minorHAnsi" w:hAnsiTheme="minorHAnsi" w:cstheme="minorHAnsi"/>
          <w:color w:val="70481C" w:themeColor="accent6" w:themeShade="80"/>
        </w:rPr>
      </w:pPr>
    </w:p>
    <w:p w:rsidR="00483E60" w:rsidRDefault="00483E60" w:rsidP="00483E60">
      <w:r>
        <w:rPr>
          <w:rFonts w:asciiTheme="minorHAnsi" w:hAnsiTheme="minorHAnsi" w:cstheme="minorHAnsi"/>
          <w:bCs/>
          <w:color w:val="000000" w:themeColor="text1"/>
        </w:rPr>
        <w:t>Before taking public comment and a</w:t>
      </w:r>
      <w:r w:rsidRPr="008B7C03">
        <w:t xml:space="preserve">ccording to </w:t>
      </w:r>
      <w:hyperlink r:id="rId51" w:history="1">
        <w:r w:rsidRPr="008B7C03">
          <w:rPr>
            <w:rStyle w:val="Hyperlink"/>
          </w:rPr>
          <w:t>Oregon Administrative Rule 137-001-0030</w:t>
        </w:r>
      </w:hyperlink>
      <w:r>
        <w:t>, staff presenter(s) will s</w:t>
      </w:r>
      <w:r w:rsidRPr="008B7C03">
        <w:t>ummarize the content of the notice given under</w:t>
      </w:r>
      <w:r>
        <w:t xml:space="preserve"> </w:t>
      </w:r>
      <w:hyperlink r:id="rId52" w:history="1">
        <w:r>
          <w:rPr>
            <w:rStyle w:val="Hyperlink"/>
            <w:rFonts w:asciiTheme="minorHAnsi" w:hAnsiTheme="minorHAnsi" w:cstheme="minorHAnsi"/>
          </w:rPr>
          <w:t xml:space="preserve">Oregon Revised </w:t>
        </w:r>
        <w:proofErr w:type="gramStart"/>
        <w:r>
          <w:rPr>
            <w:rStyle w:val="Hyperlink"/>
            <w:rFonts w:asciiTheme="minorHAnsi" w:hAnsiTheme="minorHAnsi" w:cstheme="minorHAnsi"/>
          </w:rPr>
          <w:t>Statute  183.335</w:t>
        </w:r>
        <w:proofErr w:type="gramEnd"/>
      </w:hyperlink>
      <w:r w:rsidRPr="008B7C03">
        <w:t xml:space="preserve"> </w:t>
      </w:r>
      <w:r>
        <w:t xml:space="preserve">and respond to any questions </w:t>
      </w:r>
      <w:r w:rsidRPr="008B7C03">
        <w:t xml:space="preserve">about the rulemaking. </w:t>
      </w:r>
    </w:p>
    <w:p w:rsidR="00483E60" w:rsidRDefault="00483E60" w:rsidP="00483E60">
      <w:pPr>
        <w:tabs>
          <w:tab w:val="left" w:pos="-1440"/>
          <w:tab w:val="left" w:pos="-720"/>
        </w:tabs>
        <w:suppressAutoHyphens/>
      </w:pPr>
    </w:p>
    <w:p w:rsidR="00483E60" w:rsidRDefault="00483E60" w:rsidP="00483E60">
      <w:pPr>
        <w:tabs>
          <w:tab w:val="left" w:pos="-1440"/>
          <w:tab w:val="left" w:pos="-720"/>
        </w:tabs>
        <w:suppressAutoHyphens/>
      </w:pPr>
      <w:r>
        <w:t xml:space="preserve">DEQ will add the names, addresses and affiliations of all hearing attendees to the interested parties list for this rule if provided on a registration form or the attendee list. DEQ will consider verbal and written comments received at the hearing listed below before completing the draft rules. DEQ will </w:t>
      </w:r>
      <w:r>
        <w:lastRenderedPageBreak/>
        <w:t>summarize all comments and respond to comments in the Oregon Environmental Quality Commission staff report.</w:t>
      </w:r>
    </w:p>
    <w:p w:rsidR="00483E60" w:rsidRDefault="00483E60" w:rsidP="00483E60">
      <w:pPr>
        <w:tabs>
          <w:tab w:val="left" w:pos="-1440"/>
          <w:tab w:val="left" w:pos="-720"/>
        </w:tabs>
        <w:suppressAutoHyphens/>
      </w:pPr>
    </w:p>
    <w:p w:rsidR="00483E60" w:rsidRDefault="00483E60" w:rsidP="00483E60">
      <w:pPr>
        <w:spacing w:after="120"/>
        <w:ind w:left="0"/>
        <w:rPr>
          <w:rFonts w:asciiTheme="majorHAnsi" w:hAnsiTheme="majorHAnsi" w:cstheme="majorHAnsi"/>
          <w:bCs/>
          <w:color w:val="504938"/>
          <w:sz w:val="22"/>
          <w:szCs w:val="22"/>
        </w:rPr>
      </w:pPr>
      <w:bookmarkStart w:id="7" w:name="_MON_1421138453"/>
      <w:bookmarkEnd w:id="7"/>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Close of public comment period</w:t>
      </w:r>
    </w:p>
    <w:p w:rsidR="00483E60" w:rsidRDefault="00483E60" w:rsidP="00483E60">
      <w:pPr>
        <w:spacing w:after="120"/>
        <w:rPr>
          <w:rFonts w:asciiTheme="minorHAnsi" w:hAnsiTheme="minorHAnsi" w:cstheme="minorHAnsi"/>
          <w:bCs/>
          <w:color w:val="000000" w:themeColor="text1"/>
        </w:rPr>
      </w:pPr>
      <w:r>
        <w:rPr>
          <w:rFonts w:asciiTheme="minorHAnsi" w:hAnsiTheme="minorHAnsi" w:cstheme="minorHAnsi"/>
          <w:bCs/>
          <w:color w:val="000000" w:themeColor="text1"/>
        </w:rPr>
        <w:t>DEQ will close the comment period Oct. 30, 2014 at 5 p.m.</w:t>
      </w: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5B45AA" w:rsidRDefault="005B45AA" w:rsidP="00950D49">
      <w:pPr>
        <w:pStyle w:val="Heading1"/>
        <w:sectPr w:rsidR="005B45AA" w:rsidSect="00B34CF8">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lastRenderedPageBreak/>
              <w:t>Overview</w:t>
            </w:r>
          </w:p>
        </w:tc>
      </w:tr>
    </w:tbl>
    <w:p w:rsidR="0010650B" w:rsidRDefault="0010650B" w:rsidP="002D6C99"/>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CC429D" w:rsidP="00DA798F">
      <w:pPr>
        <w:pStyle w:val="ListParagraph"/>
        <w:spacing w:after="120"/>
        <w:ind w:left="1440" w:right="900"/>
        <w:outlineLvl w:val="9"/>
        <w:rPr>
          <w:rStyle w:val="Emphasis"/>
        </w:rPr>
      </w:pPr>
      <w:r w:rsidRPr="00CC429D">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611F72" w:rsidRPr="001A4DE1" w:rsidRDefault="00611F72"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611F72" w:rsidRPr="001A4DE1" w:rsidRDefault="00611F72"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611F72" w:rsidRDefault="00611F72"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Pr>
          <w:rFonts w:asciiTheme="minorHAnsi" w:hAnsiTheme="minorHAnsi" w:cstheme="minorHAnsi"/>
          <w:bCs/>
          <w:color w:val="000000" w:themeColor="text1"/>
        </w:rPr>
        <w:t xml:space="preserve"> public hearing(s). DEQ received </w:t>
      </w:r>
      <w:r w:rsidRPr="00E81582">
        <w:rPr>
          <w:rStyle w:val="Emphasis"/>
        </w:rPr>
        <w:t>##</w:t>
      </w:r>
      <w:r>
        <w:rPr>
          <w:rFonts w:asciiTheme="minorHAnsi" w:hAnsiTheme="minorHAnsi" w:cstheme="minorHAnsi"/>
          <w:bCs/>
          <w:color w:val="000000" w:themeColor="text1"/>
        </w:rPr>
        <w:t xml:space="preserve"> 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r w:rsidRPr="00D13EA4">
        <w:t>Presiding Officers’ Record</w:t>
      </w:r>
    </w:p>
    <w:p w:rsidR="00E052E0" w:rsidRPr="008D6307" w:rsidRDefault="00E052E0" w:rsidP="008D6307">
      <w:pPr>
        <w:pStyle w:val="Heading3"/>
        <w:rPr>
          <w:rStyle w:val="Emphasis"/>
          <w:rFonts w:asciiTheme="majorHAnsi" w:hAnsiTheme="majorHAnsi"/>
          <w:bCs w:val="0"/>
          <w:vanish w:val="0"/>
          <w:color w:val="000000" w:themeColor="text1"/>
          <w:sz w:val="22"/>
        </w:rPr>
      </w:pPr>
      <w:r w:rsidRPr="008D6307">
        <w:t>Hearing 1</w:t>
      </w:r>
    </w:p>
    <w:p w:rsidR="008D6307" w:rsidRPr="00FA09D1" w:rsidRDefault="008D6307" w:rsidP="00FA09D1">
      <w:pPr>
        <w:ind w:firstLine="360"/>
        <w:rPr>
          <w:rStyle w:val="Emphasis"/>
          <w:vanish w:val="0"/>
          <w:color w:val="000000" w:themeColor="text1"/>
          <w:sz w:val="24"/>
        </w:rPr>
      </w:pPr>
      <w:r w:rsidRPr="00FA09D1">
        <w:rPr>
          <w:rStyle w:val="Emphasis"/>
          <w:vanish w:val="0"/>
          <w:color w:val="000000" w:themeColor="text1"/>
          <w:sz w:val="24"/>
        </w:rPr>
        <w:t xml:space="preserve">Meeting </w:t>
      </w:r>
      <w:r w:rsidR="00E052E0" w:rsidRPr="00FA09D1">
        <w:rPr>
          <w:rStyle w:val="Emphasis"/>
          <w:vanish w:val="0"/>
          <w:color w:val="000000" w:themeColor="text1"/>
          <w:sz w:val="24"/>
        </w:rPr>
        <w:t>location</w:t>
      </w:r>
      <w:r w:rsidRPr="00FA09D1">
        <w:rPr>
          <w:rStyle w:val="Emphasis"/>
          <w:vanish w:val="0"/>
          <w:color w:val="000000" w:themeColor="text1"/>
          <w:sz w:val="24"/>
        </w:rPr>
        <w:t>:</w:t>
      </w:r>
    </w:p>
    <w:p w:rsidR="00FA09D1" w:rsidRPr="00FA09D1" w:rsidRDefault="008D6307" w:rsidP="00FA09D1">
      <w:pPr>
        <w:ind w:left="1080"/>
        <w:rPr>
          <w:rStyle w:val="Emphasis"/>
          <w:color w:val="0000CC"/>
          <w:szCs w:val="28"/>
        </w:rPr>
      </w:pPr>
      <w:r w:rsidRPr="00FA09D1">
        <w:rPr>
          <w:rStyle w:val="Emphasis"/>
          <w:vanish w:val="0"/>
          <w:color w:val="000000" w:themeColor="text1"/>
          <w:sz w:val="24"/>
        </w:rPr>
        <w:t>Meeting date and time:</w:t>
      </w:r>
      <w:r w:rsidR="00FA09D1" w:rsidRPr="00FA09D1">
        <w:rPr>
          <w:rStyle w:val="Emphasis"/>
          <w:vanish w:val="0"/>
          <w:color w:val="000000" w:themeColor="text1"/>
          <w:sz w:val="24"/>
        </w:rPr>
        <w:t xml:space="preserve"> </w:t>
      </w:r>
      <w:r w:rsidR="00FA09D1" w:rsidRPr="00FA09D1">
        <w:rPr>
          <w:rStyle w:val="Emphasis"/>
          <w:color w:val="0000CC"/>
          <w:szCs w:val="28"/>
        </w:rPr>
        <w:t>DEQ headquarters.10th floor, Conference Room EQC A</w:t>
      </w:r>
    </w:p>
    <w:p w:rsidR="00FA09D1" w:rsidRPr="00FA09D1" w:rsidRDefault="00FA09D1" w:rsidP="00FA09D1">
      <w:pPr>
        <w:ind w:left="1080"/>
        <w:rPr>
          <w:rStyle w:val="Emphasis"/>
          <w:color w:val="0000CC"/>
          <w:szCs w:val="28"/>
        </w:rPr>
      </w:pPr>
      <w:r w:rsidRPr="00FA09D1">
        <w:rPr>
          <w:rStyle w:val="Emphasis"/>
          <w:color w:val="0000CC"/>
          <w:szCs w:val="28"/>
        </w:rPr>
        <w:t>811 SW 6th Ave. Portland OR 97204-1390</w:t>
      </w:r>
    </w:p>
    <w:p w:rsidR="00FA09D1" w:rsidRPr="00FA09D1" w:rsidRDefault="00FA09D1" w:rsidP="00FA09D1">
      <w:pPr>
        <w:ind w:left="1080"/>
        <w:rPr>
          <w:rStyle w:val="Emphasis"/>
          <w:color w:val="000000" w:themeColor="text1"/>
          <w:sz w:val="24"/>
        </w:rPr>
      </w:pPr>
      <w:r w:rsidRPr="00FA09D1">
        <w:rPr>
          <w:rStyle w:val="Emphasis"/>
          <w:color w:val="000000" w:themeColor="text1"/>
          <w:sz w:val="24"/>
        </w:rPr>
        <w:t>Time convened:</w:t>
      </w:r>
    </w:p>
    <w:p w:rsidR="00FA09D1" w:rsidRPr="00FA09D1" w:rsidRDefault="00FA09D1" w:rsidP="00FA09D1">
      <w:pPr>
        <w:ind w:left="1080"/>
      </w:pPr>
      <w:r w:rsidRPr="00FA09D1">
        <w:rPr>
          <w:rStyle w:val="Emphasis"/>
          <w:color w:val="000000" w:themeColor="text1"/>
          <w:sz w:val="24"/>
        </w:rPr>
        <w:t>Time adjourned</w:t>
      </w:r>
      <w:r w:rsidRPr="00FA09D1">
        <w:t>:</w:t>
      </w:r>
    </w:p>
    <w:p w:rsidR="008D6307" w:rsidRDefault="008D6307" w:rsidP="00E052E0">
      <w:pPr>
        <w:tabs>
          <w:tab w:val="left" w:pos="-1440"/>
          <w:tab w:val="left" w:pos="-720"/>
        </w:tabs>
        <w:suppressAutoHyphens/>
        <w:ind w:left="1080" w:right="558"/>
        <w:rPr>
          <w:rStyle w:val="Emphasis"/>
        </w:rPr>
      </w:pPr>
      <w:r w:rsidRPr="008D6307">
        <w:t xml:space="preserve">Presiding Officer: </w:t>
      </w:r>
      <w:r w:rsidR="00E052E0" w:rsidRPr="008D6307">
        <w:rPr>
          <w:rStyle w:val="Emphasis"/>
        </w:rPr>
        <w:t>Name presiding officer</w:t>
      </w:r>
    </w:p>
    <w:p w:rsidR="008D6307" w:rsidRDefault="008D6307" w:rsidP="00E052E0">
      <w:pPr>
        <w:tabs>
          <w:tab w:val="left" w:pos="-1440"/>
          <w:tab w:val="left" w:pos="-720"/>
        </w:tabs>
        <w:suppressAutoHyphens/>
        <w:ind w:left="1080" w:right="558"/>
      </w:pPr>
    </w:p>
    <w:p w:rsidR="00E052E0" w:rsidRPr="008D6307" w:rsidRDefault="008D6307" w:rsidP="00E052E0">
      <w:pPr>
        <w:tabs>
          <w:tab w:val="left" w:pos="-1440"/>
          <w:tab w:val="left" w:pos="-720"/>
        </w:tabs>
        <w:suppressAutoHyphens/>
        <w:ind w:left="1080" w:right="558"/>
      </w:pPr>
      <w:r>
        <w:t>T</w:t>
      </w:r>
      <w:r w:rsidR="00E052E0" w:rsidRPr="008D6307">
        <w:t xml:space="preserve">he presiding officer convened the hearing </w:t>
      </w:r>
      <w:r>
        <w:t xml:space="preserve">and </w:t>
      </w:r>
      <w:r w:rsidR="00E052E0" w:rsidRPr="008D6307">
        <w:t xml:space="preserve">summarized procedures for the hearing including notification that </w:t>
      </w:r>
      <w:r w:rsidR="00E052E0" w:rsidRPr="008D6307">
        <w:rPr>
          <w:color w:val="000000" w:themeColor="text1"/>
        </w:rPr>
        <w:t xml:space="preserve">DEQ was recording the hearing. The presiding officer </w:t>
      </w:r>
      <w:r w:rsidR="00E052E0" w:rsidRPr="008D6307">
        <w:rPr>
          <w:rStyle w:val="CommentReference"/>
          <w:color w:val="000000" w:themeColor="text1"/>
          <w:sz w:val="24"/>
          <w:szCs w:val="24"/>
        </w:rPr>
        <w:t>a</w:t>
      </w:r>
      <w:r w:rsidR="00E052E0" w:rsidRPr="008D6307">
        <w:rPr>
          <w:color w:val="000000" w:themeColor="text1"/>
        </w:rPr>
        <w:t xml:space="preserve">sked people who wanted to present verbal comments to </w:t>
      </w:r>
      <w:r w:rsidR="00E052E0" w:rsidRPr="008D6307">
        <w:t xml:space="preserve">complete, sign and submit a registration form or, if attending </w:t>
      </w:r>
      <w:r>
        <w:t xml:space="preserve">by Web conference </w:t>
      </w:r>
      <w:r w:rsidR="00E052E0" w:rsidRPr="008D6307">
        <w:t>to use the “chat” feature to indicate their intent to present comments</w:t>
      </w:r>
      <w:r>
        <w:t>.</w:t>
      </w:r>
    </w:p>
    <w:p w:rsidR="00E052E0" w:rsidRPr="008D6307" w:rsidRDefault="00E052E0" w:rsidP="00E052E0">
      <w:pPr>
        <w:tabs>
          <w:tab w:val="left" w:pos="-1440"/>
          <w:tab w:val="left" w:pos="-720"/>
        </w:tabs>
        <w:suppressAutoHyphens/>
        <w:ind w:left="1080" w:right="558"/>
      </w:pPr>
    </w:p>
    <w:p w:rsidR="00E052E0" w:rsidRPr="008D6307" w:rsidRDefault="00E052E0" w:rsidP="00E052E0">
      <w:pPr>
        <w:tabs>
          <w:tab w:val="left" w:pos="-1440"/>
          <w:tab w:val="left" w:pos="-720"/>
        </w:tabs>
        <w:suppressAutoHyphens/>
        <w:ind w:left="1080" w:right="558"/>
      </w:pPr>
      <w:r w:rsidRPr="008D6307">
        <w:t xml:space="preserve">According to </w:t>
      </w:r>
      <w:hyperlink r:id="rId53" w:history="1">
        <w:r w:rsidRPr="008D6307">
          <w:rPr>
            <w:rStyle w:val="Hyperlink"/>
          </w:rPr>
          <w:t>Oregon Administrative Rule 137-001-0030</w:t>
        </w:r>
      </w:hyperlink>
      <w:r w:rsidRPr="008D6307">
        <w:t xml:space="preserve">, </w:t>
      </w:r>
      <w:r w:rsidRPr="008D6307">
        <w:rPr>
          <w:color w:val="463D38" w:themeColor="accent4" w:themeShade="80"/>
        </w:rPr>
        <w:t xml:space="preserve">the presiding officer </w:t>
      </w:r>
      <w:r w:rsidRPr="008D6307">
        <w:t xml:space="preserve">summarized the content of the notice given under </w:t>
      </w:r>
      <w:hyperlink r:id="rId54" w:history="1">
        <w:r w:rsidRPr="008D6307">
          <w:rPr>
            <w:rStyle w:val="Hyperlink"/>
          </w:rPr>
          <w:t>Oregon Revised Statute 183.335</w:t>
        </w:r>
      </w:hyperlink>
      <w:r w:rsidRPr="008D6307">
        <w:t xml:space="preserve">. </w:t>
      </w:r>
    </w:p>
    <w:p w:rsidR="008D6307" w:rsidRDefault="008D6307" w:rsidP="008D6307">
      <w:pPr>
        <w:tabs>
          <w:tab w:val="left" w:pos="-1440"/>
          <w:tab w:val="left" w:pos="-720"/>
        </w:tabs>
        <w:suppressAutoHyphens/>
        <w:ind w:right="558"/>
        <w:rPr>
          <w:rStyle w:val="Heading3Char"/>
        </w:rPr>
      </w:pPr>
    </w:p>
    <w:p w:rsidR="008D6307" w:rsidRDefault="008D6307" w:rsidP="008D6307">
      <w:pPr>
        <w:tabs>
          <w:tab w:val="left" w:pos="-1440"/>
          <w:tab w:val="left" w:pos="-720"/>
        </w:tabs>
        <w:suppressAutoHyphens/>
        <w:ind w:right="558"/>
        <w:rPr>
          <w:rFonts w:asciiTheme="minorHAnsi" w:hAnsiTheme="minorHAnsi" w:cstheme="minorHAnsi"/>
          <w:color w:val="0033CC"/>
        </w:rPr>
      </w:pPr>
      <w:r w:rsidRPr="00E81582">
        <w:rPr>
          <w:rStyle w:val="Heading3Char"/>
        </w:rPr>
        <w:t>Hearing</w:t>
      </w:r>
      <w:r>
        <w:rPr>
          <w:rStyle w:val="Heading3Char"/>
        </w:rPr>
        <w:t>2</w:t>
      </w:r>
      <w:r w:rsidRPr="00E81582">
        <w:rPr>
          <w:rFonts w:asciiTheme="minorHAnsi" w:hAnsiTheme="minorHAnsi" w:cstheme="minorHAnsi"/>
          <w:color w:val="0033CC"/>
        </w:rPr>
        <w:t xml:space="preserve"> </w:t>
      </w:r>
    </w:p>
    <w:p w:rsidR="00641511" w:rsidRPr="00E81582" w:rsidRDefault="00641511" w:rsidP="008D6307">
      <w:pPr>
        <w:tabs>
          <w:tab w:val="left" w:pos="-1440"/>
          <w:tab w:val="left" w:pos="-720"/>
        </w:tabs>
        <w:suppressAutoHyphens/>
        <w:ind w:right="558"/>
        <w:rPr>
          <w:rStyle w:val="Emphasis"/>
        </w:rPr>
      </w:pPr>
    </w:p>
    <w:p w:rsidR="008D6307" w:rsidRDefault="008D6307" w:rsidP="008D6307">
      <w:pPr>
        <w:rPr>
          <w:rStyle w:val="Emphasis"/>
        </w:rPr>
      </w:pPr>
    </w:p>
    <w:p w:rsidR="00FA09D1" w:rsidRPr="00FA09D1" w:rsidRDefault="00FA09D1" w:rsidP="00FA09D1">
      <w:pPr>
        <w:ind w:firstLine="360"/>
        <w:rPr>
          <w:rStyle w:val="Emphasis"/>
          <w:vanish w:val="0"/>
          <w:color w:val="000000" w:themeColor="text1"/>
          <w:sz w:val="24"/>
        </w:rPr>
      </w:pPr>
      <w:r w:rsidRPr="00FA09D1">
        <w:rPr>
          <w:rStyle w:val="Emphasis"/>
          <w:vanish w:val="0"/>
          <w:color w:val="000000" w:themeColor="text1"/>
          <w:sz w:val="24"/>
        </w:rPr>
        <w:t>Meeting location:</w:t>
      </w:r>
    </w:p>
    <w:p w:rsidR="00FA09D1" w:rsidRPr="00FA09D1" w:rsidRDefault="00FA09D1" w:rsidP="00FA09D1">
      <w:pPr>
        <w:ind w:left="1080"/>
        <w:rPr>
          <w:rStyle w:val="Emphasis"/>
          <w:color w:val="0000CC"/>
          <w:szCs w:val="28"/>
        </w:rPr>
      </w:pPr>
      <w:r w:rsidRPr="00FA09D1">
        <w:rPr>
          <w:rStyle w:val="Emphasis"/>
          <w:vanish w:val="0"/>
          <w:color w:val="000000" w:themeColor="text1"/>
          <w:sz w:val="24"/>
        </w:rPr>
        <w:t xml:space="preserve">Meeting date and time: </w:t>
      </w:r>
      <w:r w:rsidRPr="00FA09D1">
        <w:rPr>
          <w:rStyle w:val="Emphasis"/>
          <w:color w:val="0000CC"/>
          <w:szCs w:val="28"/>
        </w:rPr>
        <w:t>DEQ headquarters.10th floor, Conference Room EQC A</w:t>
      </w:r>
    </w:p>
    <w:p w:rsidR="00FA09D1" w:rsidRPr="00FA09D1" w:rsidRDefault="00FA09D1" w:rsidP="00FA09D1">
      <w:pPr>
        <w:ind w:left="1080"/>
        <w:rPr>
          <w:rStyle w:val="Emphasis"/>
          <w:color w:val="0000CC"/>
          <w:szCs w:val="28"/>
        </w:rPr>
      </w:pPr>
      <w:r w:rsidRPr="00FA09D1">
        <w:rPr>
          <w:rStyle w:val="Emphasis"/>
          <w:color w:val="0000CC"/>
          <w:szCs w:val="28"/>
        </w:rPr>
        <w:t>811 SW 6th Ave. Portland OR 97204-1390</w:t>
      </w:r>
    </w:p>
    <w:p w:rsidR="00FA09D1" w:rsidRPr="00FA09D1" w:rsidRDefault="00FA09D1" w:rsidP="00FA09D1">
      <w:pPr>
        <w:ind w:left="1080"/>
        <w:rPr>
          <w:rStyle w:val="Emphasis"/>
          <w:color w:val="000000" w:themeColor="text1"/>
          <w:sz w:val="24"/>
        </w:rPr>
      </w:pPr>
      <w:r w:rsidRPr="00FA09D1">
        <w:rPr>
          <w:rStyle w:val="Emphasis"/>
          <w:color w:val="000000" w:themeColor="text1"/>
          <w:sz w:val="24"/>
        </w:rPr>
        <w:t>Time convened:</w:t>
      </w:r>
    </w:p>
    <w:p w:rsidR="00FA09D1" w:rsidRPr="00FA09D1" w:rsidRDefault="00FA09D1" w:rsidP="00FA09D1">
      <w:pPr>
        <w:ind w:left="1080"/>
      </w:pPr>
      <w:r w:rsidRPr="00FA09D1">
        <w:rPr>
          <w:rStyle w:val="Emphasis"/>
          <w:color w:val="000000" w:themeColor="text1"/>
          <w:sz w:val="24"/>
        </w:rPr>
        <w:t>Time adjourned</w:t>
      </w:r>
      <w:r w:rsidRPr="00FA09D1">
        <w:t>:</w:t>
      </w:r>
    </w:p>
    <w:p w:rsidR="00FA09D1" w:rsidRDefault="00FA09D1" w:rsidP="00FA09D1">
      <w:pPr>
        <w:tabs>
          <w:tab w:val="left" w:pos="-1440"/>
          <w:tab w:val="left" w:pos="-720"/>
        </w:tabs>
        <w:suppressAutoHyphens/>
        <w:ind w:left="1080" w:right="558"/>
        <w:rPr>
          <w:rStyle w:val="Emphasis"/>
        </w:rPr>
      </w:pPr>
      <w:r w:rsidRPr="008D6307">
        <w:t xml:space="preserve">Presiding Officer: </w:t>
      </w:r>
      <w:r w:rsidRPr="008D6307">
        <w:rPr>
          <w:rStyle w:val="Emphasis"/>
        </w:rPr>
        <w:t>Name presiding officer</w:t>
      </w:r>
    </w:p>
    <w:p w:rsidR="008D6307" w:rsidRDefault="008D6307" w:rsidP="008D6307">
      <w:pPr>
        <w:tabs>
          <w:tab w:val="left" w:pos="-1440"/>
          <w:tab w:val="left" w:pos="-720"/>
        </w:tabs>
        <w:suppressAutoHyphens/>
        <w:ind w:left="1080" w:right="558"/>
      </w:pPr>
    </w:p>
    <w:p w:rsidR="008D6307" w:rsidRPr="008D6307" w:rsidRDefault="008D6307" w:rsidP="008D6307">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use the “chat” feature to indicate their intent to present comments</w:t>
      </w:r>
      <w:r>
        <w:t>.</w:t>
      </w:r>
    </w:p>
    <w:p w:rsidR="008D6307" w:rsidRPr="008D6307" w:rsidRDefault="008D6307" w:rsidP="008D6307">
      <w:pPr>
        <w:tabs>
          <w:tab w:val="left" w:pos="-1440"/>
          <w:tab w:val="left" w:pos="-720"/>
        </w:tabs>
        <w:suppressAutoHyphens/>
        <w:ind w:left="1080" w:right="558"/>
      </w:pPr>
    </w:p>
    <w:p w:rsidR="00E052E0" w:rsidRPr="008D6307" w:rsidRDefault="008D6307" w:rsidP="008D6307">
      <w:pPr>
        <w:tabs>
          <w:tab w:val="left" w:pos="-1440"/>
          <w:tab w:val="left" w:pos="-720"/>
        </w:tabs>
        <w:suppressAutoHyphens/>
        <w:ind w:left="1080" w:right="558"/>
      </w:pPr>
      <w:r w:rsidRPr="008D6307">
        <w:t xml:space="preserve">According to </w:t>
      </w:r>
      <w:hyperlink r:id="rId55" w:history="1">
        <w:r w:rsidRPr="008D6307">
          <w:rPr>
            <w:rStyle w:val="Hyperlink"/>
          </w:rPr>
          <w:t>Oregon Administrative Rule 137-001-0030</w:t>
        </w:r>
      </w:hyperlink>
      <w:r w:rsidRPr="008D6307">
        <w:t xml:space="preserve">, </w:t>
      </w:r>
      <w:r w:rsidRPr="008D6307">
        <w:rPr>
          <w:color w:val="463D38" w:themeColor="accent4" w:themeShade="80"/>
        </w:rPr>
        <w:t xml:space="preserve">the presiding officer </w:t>
      </w:r>
      <w:r w:rsidRPr="008D6307">
        <w:t xml:space="preserve">summarized the content of the notice given under </w:t>
      </w:r>
      <w:hyperlink r:id="rId56" w:history="1">
        <w:r w:rsidRPr="008D6307">
          <w:rPr>
            <w:rStyle w:val="Hyperlink"/>
          </w:rPr>
          <w:t>Oregon Revised Statute 183.335</w:t>
        </w:r>
      </w:hyperlink>
      <w:r w:rsidRPr="008D6307">
        <w:t>.</w:t>
      </w:r>
    </w:p>
    <w:p w:rsidR="005C2503" w:rsidRDefault="005C2503" w:rsidP="008D6307">
      <w:pPr>
        <w:tabs>
          <w:tab w:val="left" w:pos="-1440"/>
          <w:tab w:val="left" w:pos="-720"/>
        </w:tabs>
        <w:suppressAutoHyphens/>
        <w:ind w:right="558"/>
      </w:pPr>
    </w:p>
    <w:p w:rsidR="00E052E0" w:rsidRPr="008D6307" w:rsidRDefault="00E052E0" w:rsidP="005C2503">
      <w:pPr>
        <w:tabs>
          <w:tab w:val="left" w:pos="-1440"/>
          <w:tab w:val="left" w:pos="-720"/>
        </w:tabs>
        <w:suppressAutoHyphens/>
        <w:ind w:left="1080" w:right="558"/>
      </w:pPr>
      <w:r w:rsidRPr="008D6307">
        <w:t xml:space="preserve">DEQ added all names, addresses and affiliations provided on the registration form and attendee list to DEQ interested parties list for this rule and to the commenter section of this staff report. The commenter list includes a cross reference to the hearing number. DEQ added all written and oral comments presented at each hearing to the summary of comments and agency responses section of this staff report. </w:t>
      </w:r>
    </w:p>
    <w:p w:rsidR="00E052E0" w:rsidRPr="008D6307" w:rsidRDefault="00E052E0" w:rsidP="00E052E0">
      <w:pPr>
        <w:tabs>
          <w:tab w:val="left" w:pos="-1440"/>
          <w:tab w:val="left" w:pos="-720"/>
        </w:tabs>
        <w:suppressAutoHyphens/>
        <w:ind w:left="1080"/>
        <w:rPr>
          <w:rStyle w:val="Emphasis"/>
          <w:sz w:val="24"/>
        </w:rPr>
      </w:pPr>
    </w:p>
    <w:p w:rsidR="00FA09D1" w:rsidRDefault="00E052E0" w:rsidP="00E052E0">
      <w:pPr>
        <w:tabs>
          <w:tab w:val="left" w:pos="-1440"/>
          <w:tab w:val="left" w:pos="-720"/>
        </w:tabs>
        <w:suppressAutoHyphens/>
        <w:ind w:left="1080"/>
        <w:rPr>
          <w:rFonts w:asciiTheme="minorHAnsi" w:hAnsiTheme="minorHAnsi" w:cstheme="minorHAnsi"/>
          <w:color w:val="70481C" w:themeColor="accent6" w:themeShade="80"/>
        </w:rPr>
      </w:pPr>
      <w:r w:rsidRPr="00427ABB">
        <w:rPr>
          <w:rStyle w:val="Emphasis"/>
        </w:rPr>
        <w:t>[OPTION]</w:t>
      </w:r>
      <w:r>
        <w:rPr>
          <w:rFonts w:asciiTheme="minorHAnsi" w:hAnsiTheme="minorHAnsi" w:cstheme="minorHAnsi"/>
          <w:color w:val="70481C" w:themeColor="accent6" w:themeShade="80"/>
        </w:rPr>
        <w:t xml:space="preserve"> </w:t>
      </w:r>
    </w:p>
    <w:p w:rsidR="00E052E0" w:rsidRDefault="00E052E0" w:rsidP="00E052E0">
      <w:pPr>
        <w:tabs>
          <w:tab w:val="left" w:pos="-1440"/>
          <w:tab w:val="left" w:pos="-720"/>
        </w:tabs>
        <w:suppressAutoHyphens/>
        <w:ind w:left="1080"/>
        <w:rPr>
          <w:rFonts w:asciiTheme="minorHAnsi" w:hAnsiTheme="minorHAnsi" w:cstheme="minorHAnsi"/>
        </w:rPr>
      </w:pPr>
      <w:r>
        <w:rPr>
          <w:rFonts w:asciiTheme="minorHAnsi" w:hAnsiTheme="minorHAnsi" w:cstheme="minorHAnsi"/>
        </w:rPr>
        <w:t>Describe information meeting.</w:t>
      </w:r>
    </w:p>
    <w:p w:rsidR="00E052E0" w:rsidRDefault="00E052E0" w:rsidP="00E052E0">
      <w:pPr>
        <w:tabs>
          <w:tab w:val="left" w:pos="-1440"/>
          <w:tab w:val="left" w:pos="-720"/>
        </w:tabs>
        <w:suppressAutoHyphens/>
        <w:ind w:left="1080"/>
      </w:pP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p w:rsidR="001B6153" w:rsidRDefault="005C2503" w:rsidP="00407D15">
      <w:pPr>
        <w:ind w:right="1008"/>
        <w:rPr>
          <w:color w:val="32525C"/>
        </w:rPr>
        <w:sectPr w:rsidR="001B6153" w:rsidSect="006E09DB">
          <w:pgSz w:w="12240" w:h="15840"/>
          <w:pgMar w:top="1080" w:right="990" w:bottom="1080" w:left="360" w:header="720" w:footer="720" w:gutter="432"/>
          <w:cols w:space="720"/>
          <w:docGrid w:linePitch="360"/>
        </w:sectPr>
      </w:pPr>
      <w:r>
        <w:rPr>
          <w:rStyle w:val="Emphasis"/>
        </w:rPr>
        <w:lastRenderedPageBreak/>
        <w:t>Insert ‘Summary of comments and DEQ responses’</w:t>
      </w:r>
      <w:r w:rsidR="001B6153">
        <w:rPr>
          <w:rStyle w:val="Emphasis"/>
        </w:rPr>
        <w:t xml:space="preserve"> and ‘ Commenters’ sections</w:t>
      </w:r>
      <w:r>
        <w:rPr>
          <w:rStyle w:val="Emphasis"/>
        </w:rPr>
        <w:t xml:space="preserve"> from folder 5 here.</w:t>
      </w:r>
      <w:r w:rsidR="00E052E0" w:rsidRPr="00B15DF7">
        <w:rPr>
          <w:color w:val="32525C"/>
        </w:rPr>
        <w:t>  </w:t>
      </w: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052E0" w:rsidRPr="00427ABB"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 xml:space="preserve">The proposed rules would become effective </w:t>
      </w:r>
      <w:proofErr w:type="gramStart"/>
      <w:r w:rsidRPr="00427ABB">
        <w:rPr>
          <w:rFonts w:asciiTheme="minorHAnsi" w:hAnsiTheme="minorHAnsi" w:cstheme="minorHAnsi"/>
          <w:color w:val="000000"/>
        </w:rPr>
        <w:t xml:space="preserve">on </w:t>
      </w:r>
      <w:proofErr w:type="gramEnd"/>
      <w:r w:rsidRPr="00B92CF2">
        <w:rPr>
          <w:rStyle w:val="Emphasis"/>
        </w:rPr>
        <w:t>mmm, dd, yyyy</w:t>
      </w:r>
      <w:r w:rsidRPr="00427ABB">
        <w:rPr>
          <w:rFonts w:asciiTheme="minorHAnsi" w:hAnsiTheme="minorHAnsi" w:cstheme="minorHAnsi"/>
          <w:color w:val="000000"/>
        </w:rPr>
        <w:t xml:space="preserve">. DEQ will notify affected parties by </w:t>
      </w:r>
      <w:r w:rsidR="00B92CF2">
        <w:rPr>
          <w:rStyle w:val="Emphasis"/>
        </w:rPr>
        <w:t>Describe Notification</w:t>
      </w:r>
      <w:r w:rsidRPr="00427ABB">
        <w:rPr>
          <w:rFonts w:asciiTheme="minorHAnsi" w:hAnsiTheme="minorHAnsi" w:cstheme="minorHAnsi"/>
          <w:color w:val="618889" w:themeColor="accent3" w:themeShade="BF"/>
        </w:rPr>
        <w:t xml:space="preserve"> </w:t>
      </w:r>
      <w:r w:rsidR="009E5324">
        <w:rPr>
          <w:rFonts w:asciiTheme="minorHAnsi" w:hAnsiTheme="minorHAnsi" w:cstheme="minorHAnsi"/>
          <w:color w:val="000000"/>
        </w:rPr>
        <w:t>TEXT</w:t>
      </w:r>
      <w:r w:rsidRPr="00427ABB">
        <w:rPr>
          <w:rFonts w:asciiTheme="minorHAnsi" w:hAnsiTheme="minorHAnsi" w:cstheme="minorHAnsi"/>
          <w:color w:val="000000"/>
        </w:rPr>
        <w:t>.</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parties -</w:t>
      </w:r>
      <w:r w:rsidR="00B92CF2">
        <w:rPr>
          <w:rFonts w:asciiTheme="minorHAnsi" w:hAnsiTheme="minorHAnsi" w:cstheme="minorHAnsi"/>
          <w:color w:val="000000"/>
        </w:rPr>
        <w:t>Te</w:t>
      </w:r>
      <w:r w:rsidR="009E5324">
        <w:rPr>
          <w:rFonts w:asciiTheme="minorHAnsi" w:hAnsiTheme="minorHAnsi" w:cstheme="minorHAnsi"/>
          <w:color w:val="000000"/>
        </w:rPr>
        <w:t>x</w:t>
      </w:r>
      <w:r w:rsidR="00B92CF2">
        <w:rPr>
          <w:rFonts w:asciiTheme="minorHAnsi" w:hAnsiTheme="minorHAnsi" w:cstheme="minorHAnsi"/>
          <w:color w:val="000000"/>
        </w:rPr>
        <w:t>t</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w:t>
      </w:r>
      <w:r w:rsidRPr="00FF2CB9">
        <w:rPr>
          <w:rFonts w:asciiTheme="minorHAnsi" w:hAnsiTheme="minorHAnsi" w:cstheme="minorHAnsi"/>
          <w:color w:val="000000"/>
        </w:rPr>
        <w:t>ext</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 xml:space="preserve">Affected parties - </w:t>
      </w:r>
      <w:r w:rsidR="00B92CF2">
        <w:rPr>
          <w:rFonts w:asciiTheme="minorHAnsi" w:hAnsiTheme="minorHAnsi" w:cstheme="minorHAnsi"/>
          <w:color w:val="000000"/>
        </w:rPr>
        <w:t>Text</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B92CF2"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rsidR="00B92CF2"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w:t>
      </w:r>
      <w:r>
        <w:rPr>
          <w:rFonts w:asciiTheme="minorHAnsi" w:hAnsiTheme="minorHAnsi" w:cstheme="minorHAnsi"/>
          <w:color w:val="000000"/>
        </w:rPr>
        <w:t xml:space="preserve">rties - </w:t>
      </w:r>
      <w:r w:rsidR="00B92CF2">
        <w:rPr>
          <w:rFonts w:asciiTheme="minorHAnsi" w:hAnsiTheme="minorHAnsi" w:cstheme="minorHAnsi"/>
          <w:color w:val="000000"/>
        </w:rPr>
        <w:t>Text</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r w:rsidRPr="00D13EA4">
        <w:t xml:space="preserve">Exemption </w:t>
      </w:r>
      <w:r>
        <w:t>from five-year rule review</w:t>
      </w:r>
      <w:r w:rsidRPr="00D13EA4">
        <w:t xml:space="preserve"> </w:t>
      </w:r>
    </w:p>
    <w:p w:rsidR="00E052E0" w:rsidRPr="00D90062" w:rsidRDefault="00E052E0" w:rsidP="00E052E0">
      <w:pPr>
        <w:autoSpaceDE w:val="0"/>
        <w:autoSpaceDN w:val="0"/>
        <w:adjustRightInd w:val="0"/>
        <w:ind w:right="1008"/>
        <w:rPr>
          <w:rFonts w:asciiTheme="minorHAnsi" w:hAnsiTheme="minorHAnsi" w:cstheme="minorHAnsi"/>
        </w:rPr>
      </w:pPr>
      <w:r w:rsidRPr="00007748">
        <w:rPr>
          <w:rStyle w:val="Emphasis"/>
        </w:rPr>
        <w:t>OPTION 1</w:t>
      </w:r>
      <w:r>
        <w:rPr>
          <w:rFonts w:asciiTheme="minorHAnsi" w:hAnsiTheme="minorHAnsi" w:cstheme="minorHAnsi"/>
          <w:color w:val="618889" w:themeColor="accent3" w:themeShade="BF"/>
        </w:rPr>
        <w:t xml:space="preserve"> </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Pr="00D90062" w:rsidRDefault="00CC429D"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showingPlcHd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D90062" w:rsidRDefault="00CC429D"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p>
    <w:p w:rsidR="00E052E0" w:rsidRPr="00D90062" w:rsidRDefault="00CC429D"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746ED7" w:rsidRDefault="00E052E0" w:rsidP="00E052E0">
      <w:pPr>
        <w:pStyle w:val="ListParagraph"/>
        <w:autoSpaceDE w:val="0"/>
        <w:autoSpaceDN w:val="0"/>
        <w:adjustRightInd w:val="0"/>
        <w:ind w:right="1008"/>
        <w:rPr>
          <w:rFonts w:asciiTheme="minorHAnsi" w:hAnsiTheme="minorHAnsi" w:cstheme="minorHAnsi"/>
        </w:rPr>
      </w:pPr>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p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No later 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F72" w:rsidRDefault="00611F72" w:rsidP="002D6C99">
      <w:r>
        <w:separator/>
      </w:r>
    </w:p>
  </w:endnote>
  <w:endnote w:type="continuationSeparator" w:id="0">
    <w:p w:rsidR="00611F72" w:rsidRDefault="00611F72"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F72" w:rsidRDefault="00611F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F72" w:rsidRDefault="00611F72" w:rsidP="002D6C99">
    <w:pPr>
      <w:pStyle w:val="Footer"/>
    </w:pPr>
  </w:p>
  <w:p w:rsidR="00611F72" w:rsidRPr="002B4E71" w:rsidRDefault="00611F72" w:rsidP="002D6C99">
    <w:pPr>
      <w:pStyle w:val="Footer"/>
    </w:pPr>
    <w:r>
      <w:t>Staff Report</w:t>
    </w:r>
    <w:r w:rsidRPr="002B4E71">
      <w:t xml:space="preserve"> page | </w:t>
    </w:r>
    <w:fldSimple w:instr=" PAGE   \* MERGEFORMAT ">
      <w:r>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F72" w:rsidRDefault="00611F7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F72" w:rsidRPr="002B4E71" w:rsidRDefault="00611F72"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397146">
      <w:rPr>
        <w:rFonts w:asciiTheme="minorHAnsi" w:hAnsiTheme="minorHAnsi" w:cstheme="minorHAnsi"/>
        <w:noProof/>
      </w:rPr>
      <w:t>18</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F72" w:rsidRDefault="00611F72" w:rsidP="002D6C99">
      <w:r>
        <w:separator/>
      </w:r>
    </w:p>
  </w:footnote>
  <w:footnote w:type="continuationSeparator" w:id="0">
    <w:p w:rsidR="00611F72" w:rsidRDefault="00611F72" w:rsidP="002D6C99">
      <w:r>
        <w:continuationSeparator/>
      </w:r>
    </w:p>
  </w:footnote>
  <w:footnote w:id="1">
    <w:p w:rsidR="00611F72" w:rsidRPr="006F555C" w:rsidRDefault="00611F72" w:rsidP="00483E60">
      <w:pPr>
        <w:ind w:left="0"/>
        <w:rPr>
          <w:rFonts w:asciiTheme="minorHAnsi" w:hAnsiTheme="minorHAnsi" w:cstheme="minorHAnsi"/>
        </w:rPr>
      </w:pPr>
      <w:r>
        <w:rPr>
          <w:rStyle w:val="FootnoteReference"/>
        </w:rPr>
        <w:footnoteRef/>
      </w:r>
      <w:r>
        <w:t xml:space="preserve"> </w:t>
      </w:r>
      <w:r>
        <w:rPr>
          <w:rFonts w:asciiTheme="minorHAnsi" w:hAnsiTheme="minorHAnsi" w:cstheme="minorHAnsi"/>
        </w:rPr>
        <w:t>DMS is a SQL S</w:t>
      </w:r>
      <w:r w:rsidRPr="006F555C">
        <w:rPr>
          <w:rFonts w:asciiTheme="minorHAnsi" w:hAnsiTheme="minorHAnsi" w:cstheme="minorHAnsi"/>
        </w:rPr>
        <w:t>erver database system with a</w:t>
      </w:r>
      <w:r>
        <w:rPr>
          <w:rFonts w:asciiTheme="minorHAnsi" w:hAnsiTheme="minorHAnsi" w:cstheme="minorHAnsi"/>
        </w:rPr>
        <w:t>n</w:t>
      </w:r>
      <w:r w:rsidRPr="006F555C">
        <w:rPr>
          <w:rFonts w:asciiTheme="minorHAnsi" w:hAnsiTheme="minorHAnsi" w:cstheme="minorHAnsi"/>
        </w:rPr>
        <w:t xml:space="preserve"> ASP.NET application interface that allows electronic entry, storage, and retrieval of self-reported Discharge Monitoring Reports that Permittees submit monthly on ap</w:t>
      </w:r>
      <w:r>
        <w:rPr>
          <w:rFonts w:asciiTheme="minorHAnsi" w:hAnsiTheme="minorHAnsi" w:cstheme="minorHAnsi"/>
        </w:rPr>
        <w:t>proved, certified paper forms. </w:t>
      </w:r>
      <w:r w:rsidRPr="006F555C">
        <w:rPr>
          <w:rFonts w:asciiTheme="minorHAnsi" w:hAnsiTheme="minorHAnsi" w:cstheme="minorHAnsi"/>
        </w:rPr>
        <w:t>Data in DMS ranges from January 2004 – present.</w:t>
      </w:r>
    </w:p>
    <w:p w:rsidR="00611F72" w:rsidRDefault="00611F72" w:rsidP="00483E60">
      <w:pPr>
        <w:pStyle w:val="FootnoteText"/>
        <w:ind w:left="36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F72" w:rsidRDefault="00611F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F72" w:rsidRDefault="00611F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F72" w:rsidRDefault="00611F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7">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6"/>
  </w:num>
  <w:num w:numId="2">
    <w:abstractNumId w:val="23"/>
  </w:num>
  <w:num w:numId="3">
    <w:abstractNumId w:val="10"/>
  </w:num>
  <w:num w:numId="4">
    <w:abstractNumId w:val="7"/>
  </w:num>
  <w:num w:numId="5">
    <w:abstractNumId w:val="14"/>
  </w:num>
  <w:num w:numId="6">
    <w:abstractNumId w:val="3"/>
  </w:num>
  <w:num w:numId="7">
    <w:abstractNumId w:val="21"/>
  </w:num>
  <w:num w:numId="8">
    <w:abstractNumId w:val="12"/>
  </w:num>
  <w:num w:numId="9">
    <w:abstractNumId w:val="11"/>
  </w:num>
  <w:num w:numId="10">
    <w:abstractNumId w:val="24"/>
  </w:num>
  <w:num w:numId="11">
    <w:abstractNumId w:val="2"/>
  </w:num>
  <w:num w:numId="12">
    <w:abstractNumId w:val="13"/>
  </w:num>
  <w:num w:numId="13">
    <w:abstractNumId w:val="20"/>
  </w:num>
  <w:num w:numId="14">
    <w:abstractNumId w:val="16"/>
  </w:num>
  <w:num w:numId="15">
    <w:abstractNumId w:val="18"/>
  </w:num>
  <w:num w:numId="16">
    <w:abstractNumId w:val="15"/>
  </w:num>
  <w:num w:numId="17">
    <w:abstractNumId w:val="9"/>
  </w:num>
  <w:num w:numId="18">
    <w:abstractNumId w:val="17"/>
  </w:num>
  <w:num w:numId="19">
    <w:abstractNumId w:val="0"/>
  </w:num>
  <w:num w:numId="20">
    <w:abstractNumId w:val="4"/>
  </w:num>
  <w:num w:numId="21">
    <w:abstractNumId w:val="22"/>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
  </w:num>
  <w:num w:numId="27">
    <w:abstractNumId w:val="2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2FD9"/>
    <w:rsid w:val="000A3C5B"/>
    <w:rsid w:val="000A5647"/>
    <w:rsid w:val="000A759C"/>
    <w:rsid w:val="000A7DC1"/>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3838"/>
    <w:rsid w:val="0010650B"/>
    <w:rsid w:val="00106B3F"/>
    <w:rsid w:val="00107189"/>
    <w:rsid w:val="00107B12"/>
    <w:rsid w:val="001107B0"/>
    <w:rsid w:val="0011396A"/>
    <w:rsid w:val="00115619"/>
    <w:rsid w:val="001220C0"/>
    <w:rsid w:val="0012491C"/>
    <w:rsid w:val="00125DA7"/>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D61"/>
    <w:rsid w:val="00177E50"/>
    <w:rsid w:val="0018159F"/>
    <w:rsid w:val="00181758"/>
    <w:rsid w:val="00182C5A"/>
    <w:rsid w:val="00184DD2"/>
    <w:rsid w:val="00186295"/>
    <w:rsid w:val="00187781"/>
    <w:rsid w:val="0019133B"/>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6D45"/>
    <w:rsid w:val="002A5ACA"/>
    <w:rsid w:val="002A7E5B"/>
    <w:rsid w:val="002B0C9C"/>
    <w:rsid w:val="002B39A0"/>
    <w:rsid w:val="002B4E71"/>
    <w:rsid w:val="002B6D58"/>
    <w:rsid w:val="002C3A6B"/>
    <w:rsid w:val="002C7A23"/>
    <w:rsid w:val="002D0329"/>
    <w:rsid w:val="002D1FBB"/>
    <w:rsid w:val="002D263C"/>
    <w:rsid w:val="002D6C99"/>
    <w:rsid w:val="002D7877"/>
    <w:rsid w:val="002E0F87"/>
    <w:rsid w:val="002E27EF"/>
    <w:rsid w:val="002E283F"/>
    <w:rsid w:val="002E4AA0"/>
    <w:rsid w:val="002E4B0F"/>
    <w:rsid w:val="002E5F1C"/>
    <w:rsid w:val="002F0C40"/>
    <w:rsid w:val="002F18FE"/>
    <w:rsid w:val="002F204B"/>
    <w:rsid w:val="002F412E"/>
    <w:rsid w:val="002F5550"/>
    <w:rsid w:val="0030348C"/>
    <w:rsid w:val="00303D62"/>
    <w:rsid w:val="00304756"/>
    <w:rsid w:val="00304A23"/>
    <w:rsid w:val="00305328"/>
    <w:rsid w:val="0031008D"/>
    <w:rsid w:val="00322A9E"/>
    <w:rsid w:val="00324289"/>
    <w:rsid w:val="003248CA"/>
    <w:rsid w:val="003359FB"/>
    <w:rsid w:val="00343477"/>
    <w:rsid w:val="00356F31"/>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83E60"/>
    <w:rsid w:val="004844DA"/>
    <w:rsid w:val="004905F1"/>
    <w:rsid w:val="00496A70"/>
    <w:rsid w:val="00497709"/>
    <w:rsid w:val="004977E4"/>
    <w:rsid w:val="004A5282"/>
    <w:rsid w:val="004A5AB9"/>
    <w:rsid w:val="004B020E"/>
    <w:rsid w:val="004B18D2"/>
    <w:rsid w:val="004B22BC"/>
    <w:rsid w:val="004B2CD8"/>
    <w:rsid w:val="004B4CDA"/>
    <w:rsid w:val="004B692D"/>
    <w:rsid w:val="004C1BAD"/>
    <w:rsid w:val="004C3F40"/>
    <w:rsid w:val="004C40F0"/>
    <w:rsid w:val="004C5246"/>
    <w:rsid w:val="004C5782"/>
    <w:rsid w:val="004C5F43"/>
    <w:rsid w:val="004C6F6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374E"/>
    <w:rsid w:val="005F0119"/>
    <w:rsid w:val="005F2796"/>
    <w:rsid w:val="005F2FD4"/>
    <w:rsid w:val="005F52BE"/>
    <w:rsid w:val="005F5C23"/>
    <w:rsid w:val="00601B4D"/>
    <w:rsid w:val="00601CE4"/>
    <w:rsid w:val="00602EF0"/>
    <w:rsid w:val="0060685A"/>
    <w:rsid w:val="00610286"/>
    <w:rsid w:val="0061029F"/>
    <w:rsid w:val="00611F72"/>
    <w:rsid w:val="006204A2"/>
    <w:rsid w:val="0062486C"/>
    <w:rsid w:val="00624BAA"/>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F19E2"/>
    <w:rsid w:val="008F2AA3"/>
    <w:rsid w:val="008F5048"/>
    <w:rsid w:val="008F5CB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32043"/>
    <w:rsid w:val="00A3244F"/>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429D"/>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74C6"/>
    <w:rsid w:val="00DD11D4"/>
    <w:rsid w:val="00DD419A"/>
    <w:rsid w:val="00DD4819"/>
    <w:rsid w:val="00DD5959"/>
    <w:rsid w:val="00DE3326"/>
    <w:rsid w:val="00DE4D04"/>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F18"/>
    <w:rsid w:val="00E81582"/>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278DE"/>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arcweb.sos.state.or.us/pages/rules/oars_300/oar_340/340_tofc.html" TargetMode="External"/><Relationship Id="rId39" Type="http://schemas.openxmlformats.org/officeDocument/2006/relationships/hyperlink" Target="http://www.oregonlaws.org/ors/183.332" TargetMode="External"/><Relationship Id="rId21" Type="http://schemas.openxmlformats.org/officeDocument/2006/relationships/hyperlink" Target="http://www.faa.gov/about/initiatives/plain_language/basic_course/" TargetMode="External"/><Relationship Id="rId34" Type="http://schemas.openxmlformats.org/officeDocument/2006/relationships/hyperlink" Target="http://www.deq.state.or.us/wq/standards/docs/DisapprovalLetter.pdf" TargetMode="External"/><Relationship Id="rId42" Type="http://schemas.openxmlformats.org/officeDocument/2006/relationships/hyperlink" Target="http://arcweb.sos.state.or.us/pages/rules/oars_300/oar_340/340_018.html" TargetMode="External"/><Relationship Id="rId47" Type="http://schemas.openxmlformats.org/officeDocument/2006/relationships/hyperlink" Target="http://arcweb.sos.state.or.us/pages/rules/bulletin/past.html" TargetMode="External"/><Relationship Id="rId50" Type="http://schemas.openxmlformats.org/officeDocument/2006/relationships/hyperlink" Target="http://www.oregonlaws.org/ors/183.335" TargetMode="External"/><Relationship Id="rId55" Type="http://schemas.openxmlformats.org/officeDocument/2006/relationships/hyperlink" Target="http://arcweb.sos.state.or.us/pages/rules/oars_100/oar_137/137_001.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www.oregonlaws.org/ors/183.335" TargetMode="External"/><Relationship Id="rId33" Type="http://schemas.openxmlformats.org/officeDocument/2006/relationships/hyperlink" Target="http://www.deq.state.or.us/wq/standards/docs/EPAtechSupport.pdf" TargetMode="External"/><Relationship Id="rId38" Type="http://schemas.openxmlformats.org/officeDocument/2006/relationships/hyperlink" Target="http://www.leg.state.or.us/ors/468a.html" TargetMode="External"/><Relationship Id="rId46" Type="http://schemas.openxmlformats.org/officeDocument/2006/relationships/hyperlink" Target="http://www.oregon.gov/deq/WQ/Pages/Standards/ammonia.aspx"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ater.epa.gov/scitech/swguidance/standards/criteria/aqlife/ammonia/upload/AQUATIC-LIFE-AMBIENT-WATER-QUALITY-CRITERIA-FOR-AMMONIA-FRESHWATER-2013.pdf" TargetMode="External"/><Relationship Id="rId41" Type="http://schemas.openxmlformats.org/officeDocument/2006/relationships/hyperlink" Target="http://www.oregonlaws.org/ors/468A.327" TargetMode="External"/><Relationship Id="rId54"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arcweb.sos.state.or.us/pages/rules/oars_300/oar_340/_340_tables/340-041-0315.pdf" TargetMode="External"/><Relationship Id="rId37" Type="http://schemas.openxmlformats.org/officeDocument/2006/relationships/hyperlink" Target="http://www.oregonlaws.org/ors/183.534" TargetMode="External"/><Relationship Id="rId40" Type="http://schemas.openxmlformats.org/officeDocument/2006/relationships/hyperlink" Target="http://arcweb.sos.state.or.us/pages/rules/oars_300/oar_340/340_011.html" TargetMode="External"/><Relationship Id="rId45" Type="http://schemas.openxmlformats.org/officeDocument/2006/relationships/hyperlink" Target="file://deqhq1/Rule_Development/Currrent%20Plan" TargetMode="External"/><Relationship Id="rId53" Type="http://schemas.openxmlformats.org/officeDocument/2006/relationships/hyperlink" Target="http://arcweb.sos.state.or.us/pages/rules/oars_100/oar_137/137_001.html" TargetMode="External"/><Relationship Id="rId58"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deq05/intranet/communication/index.htm" TargetMode="External"/><Relationship Id="rId28" Type="http://schemas.openxmlformats.org/officeDocument/2006/relationships/hyperlink" Target="http://www.deq.state.or.us/wq/standards/toxicsEPAaction.htm" TargetMode="External"/><Relationship Id="rId36" Type="http://schemas.openxmlformats.org/officeDocument/2006/relationships/hyperlink" Target="http://www.oregonlaws.org/?search=ORS+183.336" TargetMode="External"/><Relationship Id="rId49" Type="http://schemas.openxmlformats.org/officeDocument/2006/relationships/hyperlink" Target="http://www.oregon.gov/deq/RulesandRegulations/Pages/proposedrule.aspx"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arcweb.sos.state.or.us/pages/rules/oars_300/oar_340/_340_tables/340-041-0310.pdf" TargetMode="External"/><Relationship Id="rId44" Type="http://schemas.openxmlformats.org/officeDocument/2006/relationships/hyperlink" Target="http://www.deq.state.or.us/pubs/permithandbook/lucs.htm" TargetMode="External"/><Relationship Id="rId52" Type="http://schemas.openxmlformats.org/officeDocument/2006/relationships/hyperlink" Target="http://www.oregonlaws.org/ors/183.3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plainlanguage.gov/howto/guidelines/FederalPLGuidelines/TOC.cfm" TargetMode="External"/><Relationship Id="rId27" Type="http://schemas.openxmlformats.org/officeDocument/2006/relationships/hyperlink" Target="http://www.deq.state.or.us/wq/standards/docs/tables303140.pdf" TargetMode="External"/><Relationship Id="rId30" Type="http://schemas.openxmlformats.org/officeDocument/2006/relationships/hyperlink" Target="http://water.epa.gov/scitech/swguidance/standards/criteria/aqlife/ammonia/index.cfm" TargetMode="External"/><Relationship Id="rId35" Type="http://schemas.openxmlformats.org/officeDocument/2006/relationships/hyperlink" Target="http://www.oregonlaws.org/ors/183.335" TargetMode="External"/><Relationship Id="rId43" Type="http://schemas.openxmlformats.org/officeDocument/2006/relationships/hyperlink" Target="http://arcweb.sos.state.or.us/pages/rules/oars_300/oar_340/340_018.html" TargetMode="External"/><Relationship Id="rId48" Type="http://schemas.openxmlformats.org/officeDocument/2006/relationships/hyperlink" Target="http://www.oregon.gov/deq/WQ/Pages/Standards/ammonia.aspx" TargetMode="External"/><Relationship Id="rId56" Type="http://schemas.openxmlformats.org/officeDocument/2006/relationships/hyperlink" Target="http://www.leg.state.or.us/ors/183.html" TargetMode="Externa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E0CBD"/>
    <w:rsid w:val="000E35D2"/>
    <w:rsid w:val="000E43F6"/>
    <w:rsid w:val="000F3229"/>
    <w:rsid w:val="001421E4"/>
    <w:rsid w:val="00183D14"/>
    <w:rsid w:val="001A4530"/>
    <w:rsid w:val="001A7712"/>
    <w:rsid w:val="001F29C2"/>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17273"/>
    <w:rsid w:val="00533806"/>
    <w:rsid w:val="00553EC2"/>
    <w:rsid w:val="00566B08"/>
    <w:rsid w:val="00571262"/>
    <w:rsid w:val="00592146"/>
    <w:rsid w:val="005C3186"/>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C1C9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0D6214E-5242-463D-8E34-C2C76D09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30</Pages>
  <Words>9265</Words>
  <Characters>52817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4</cp:revision>
  <cp:lastPrinted>2013-02-28T21:12:00Z</cp:lastPrinted>
  <dcterms:created xsi:type="dcterms:W3CDTF">2014-11-05T15:42:00Z</dcterms:created>
  <dcterms:modified xsi:type="dcterms:W3CDTF">2014-11-20T00:28:00Z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