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71DF4" w14:textId="77777777" w:rsidR="00257D81" w:rsidRDefault="00257D81" w:rsidP="000A3C5B">
      <w:pPr>
        <w:tabs>
          <w:tab w:val="center" w:pos="5040"/>
        </w:tabs>
      </w:pPr>
      <w:r>
        <w:rPr>
          <w:noProof/>
        </w:rPr>
        <w:drawing>
          <wp:anchor distT="0" distB="0" distL="114300" distR="114300" simplePos="0" relativeHeight="251656704" behindDoc="0" locked="0" layoutInCell="1" allowOverlap="1" wp14:anchorId="274720E2" wp14:editId="274720E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27471DF5"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27471DF6" w14:textId="77777777"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14:paraId="27471DF7" w14:textId="77777777"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14:paraId="27471DF8" w14:textId="77777777"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14:paraId="27471DF9" w14:textId="77777777" w:rsidR="000A3C5B" w:rsidRPr="00A019B4" w:rsidRDefault="000A3C5B" w:rsidP="000A3C5B"/>
    <w:p w14:paraId="27471DFA" w14:textId="77777777" w:rsidR="000A3C5B" w:rsidRPr="00C74D58" w:rsidRDefault="000A3C5B" w:rsidP="000A3C5B">
      <w:pPr>
        <w:rPr>
          <w:b/>
          <w:color w:val="000000"/>
        </w:rPr>
      </w:pPr>
    </w:p>
    <w:p w14:paraId="27471DFB" w14:textId="77777777" w:rsidR="00867C8C" w:rsidRDefault="00483E60" w:rsidP="000A3C5B">
      <w:pPr>
        <w:jc w:val="center"/>
        <w:rPr>
          <w:b/>
          <w:bCs/>
        </w:rPr>
      </w:pPr>
      <w:r w:rsidRPr="00D30D32">
        <w:rPr>
          <w:b/>
          <w:bCs/>
        </w:rPr>
        <w:t>Water Quality Standards Revisions for Freshwater Ammonia Criteria</w:t>
      </w:r>
    </w:p>
    <w:p w14:paraId="27471DFC" w14:textId="77777777" w:rsidR="00483E60" w:rsidRPr="000A3C5B" w:rsidRDefault="00483E60" w:rsidP="000A3C5B">
      <w:pPr>
        <w:jc w:val="center"/>
        <w:rPr>
          <w:rFonts w:asciiTheme="majorHAnsi" w:hAnsiTheme="majorHAnsi" w:cstheme="majorHAnsi"/>
          <w:sz w:val="26"/>
          <w:szCs w:val="26"/>
        </w:rPr>
      </w:pPr>
    </w:p>
    <w:p w14:paraId="27471DFD"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27471DFE" w14:textId="77777777" w:rsidR="002D0329" w:rsidRPr="004B4CDA" w:rsidRDefault="002D0329" w:rsidP="002D0329">
      <w:pPr>
        <w:pStyle w:val="Subtitle"/>
        <w:ind w:left="720"/>
        <w:rPr>
          <w:rStyle w:val="Emphasis"/>
        </w:rPr>
      </w:pPr>
    </w:p>
    <w:p w14:paraId="27471DFF"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27471E00" w14:textId="77777777" w:rsidR="002D0329" w:rsidRPr="004B4CDA" w:rsidRDefault="002D0329" w:rsidP="002D0329">
      <w:pPr>
        <w:pStyle w:val="Subtitle"/>
        <w:ind w:left="1530"/>
        <w:rPr>
          <w:rStyle w:val="Emphasis"/>
        </w:rPr>
      </w:pPr>
    </w:p>
    <w:p w14:paraId="27471E01" w14:textId="77777777"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27471E02" w14:textId="77777777" w:rsidR="002D0329" w:rsidRPr="004B4CDA" w:rsidRDefault="002D0329" w:rsidP="002D0329">
      <w:pPr>
        <w:pStyle w:val="Subtitle"/>
        <w:ind w:left="1170"/>
        <w:rPr>
          <w:rStyle w:val="Emphasis"/>
        </w:rPr>
      </w:pPr>
    </w:p>
    <w:p w14:paraId="27471E03"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274720E4" wp14:editId="274720E5">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27471E04" w14:textId="77777777" w:rsidR="002D0329" w:rsidRPr="004B4CDA" w:rsidRDefault="002D0329" w:rsidP="002D0329">
      <w:pPr>
        <w:pStyle w:val="Subtitle"/>
        <w:ind w:left="1170"/>
        <w:rPr>
          <w:rStyle w:val="Emphasis"/>
        </w:rPr>
      </w:pPr>
    </w:p>
    <w:p w14:paraId="27471E05" w14:textId="77777777"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27471E06" w14:textId="77777777" w:rsidR="002D0329" w:rsidRPr="004B4CDA" w:rsidRDefault="002D0329" w:rsidP="002D0329">
      <w:pPr>
        <w:pStyle w:val="Subtitle"/>
        <w:ind w:left="1170"/>
        <w:rPr>
          <w:rStyle w:val="Emphasis"/>
        </w:rPr>
      </w:pPr>
    </w:p>
    <w:p w14:paraId="27471E07"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27471E08"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274720E6" wp14:editId="274720E7">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27471E09" w14:textId="77777777" w:rsidR="002D0329" w:rsidRPr="004B4CDA" w:rsidRDefault="002D0329" w:rsidP="002D0329">
      <w:pPr>
        <w:pStyle w:val="Subtitle"/>
        <w:ind w:left="2250"/>
        <w:rPr>
          <w:rStyle w:val="Emphasis"/>
        </w:rPr>
      </w:pPr>
    </w:p>
    <w:p w14:paraId="27471E0A" w14:textId="77777777" w:rsidR="00322A9E" w:rsidRPr="004B4CDA" w:rsidRDefault="004F2D22" w:rsidP="004977E4">
      <w:pPr>
        <w:ind w:right="0"/>
        <w:outlineLvl w:val="9"/>
        <w:rPr>
          <w:rStyle w:val="Emphasis"/>
        </w:rPr>
      </w:pPr>
      <w:r w:rsidRPr="004B4CDA">
        <w:rPr>
          <w:rStyle w:val="Emphasis"/>
        </w:rPr>
        <w:t>Administrative Procedures Act Requirements</w:t>
      </w:r>
    </w:p>
    <w:p w14:paraId="27471E0B" w14:textId="77777777" w:rsidR="004F2D22" w:rsidRPr="004B4CDA" w:rsidRDefault="004F2D22" w:rsidP="004977E4">
      <w:pPr>
        <w:ind w:right="0"/>
        <w:outlineLvl w:val="9"/>
        <w:rPr>
          <w:rStyle w:val="Emphasis"/>
        </w:rPr>
      </w:pPr>
    </w:p>
    <w:p w14:paraId="27471E0C"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27471E0D" w14:textId="77777777" w:rsidR="00E948B4" w:rsidRPr="004B4CDA" w:rsidRDefault="00E948B4" w:rsidP="004977E4">
      <w:pPr>
        <w:ind w:right="0"/>
        <w:outlineLvl w:val="9"/>
        <w:rPr>
          <w:rStyle w:val="Emphasis"/>
        </w:rPr>
      </w:pPr>
    </w:p>
    <w:p w14:paraId="27471E0E"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274720E8" wp14:editId="274720E9">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27471E0F" w14:textId="77777777" w:rsidR="00E948B4" w:rsidRPr="004B4CDA" w:rsidRDefault="00E948B4" w:rsidP="008721D5">
      <w:pPr>
        <w:ind w:left="1440" w:right="0"/>
        <w:outlineLvl w:val="9"/>
        <w:rPr>
          <w:rStyle w:val="Emphasis"/>
        </w:rPr>
      </w:pPr>
      <w:r w:rsidRPr="004B4CDA">
        <w:rPr>
          <w:rStyle w:val="Emphasis"/>
        </w:rPr>
        <w:t>Article Content</w:t>
      </w:r>
    </w:p>
    <w:p w14:paraId="27471E10" w14:textId="77777777" w:rsidR="00E948B4" w:rsidRPr="004B4CDA" w:rsidRDefault="00E948B4" w:rsidP="008721D5">
      <w:pPr>
        <w:ind w:left="1440" w:right="0"/>
        <w:outlineLvl w:val="9"/>
        <w:rPr>
          <w:rStyle w:val="Emphasis"/>
        </w:rPr>
      </w:pPr>
    </w:p>
    <w:p w14:paraId="27471E11"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27471E12"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27471E13"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27471E14"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27471E15"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27471E16"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27471E17" w14:textId="77777777" w:rsidR="00132583" w:rsidRDefault="00132583" w:rsidP="00132583">
      <w:pPr>
        <w:ind w:left="0"/>
        <w:rPr>
          <w:rStyle w:val="Emphasis"/>
        </w:rPr>
      </w:pPr>
    </w:p>
    <w:p w14:paraId="27471E18" w14:textId="77777777"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14:paraId="27471E19" w14:textId="77777777" w:rsidR="00132583" w:rsidRPr="00132583" w:rsidRDefault="00132583" w:rsidP="00132583">
      <w:pPr>
        <w:ind w:left="0"/>
        <w:rPr>
          <w:rStyle w:val="Emphasis"/>
        </w:rPr>
      </w:pPr>
    </w:p>
    <w:p w14:paraId="27471E1A" w14:textId="77777777" w:rsidR="00E948B4" w:rsidRPr="004B4CDA" w:rsidRDefault="00E948B4" w:rsidP="004977E4">
      <w:pPr>
        <w:ind w:right="0"/>
        <w:outlineLvl w:val="9"/>
        <w:rPr>
          <w:rStyle w:val="Emphasis"/>
        </w:rPr>
      </w:pPr>
    </w:p>
    <w:p w14:paraId="27471E1B"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27471E1C"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27471E1D" w14:textId="77777777" w:rsidR="008B364D" w:rsidRPr="004B4CDA" w:rsidRDefault="008B364D" w:rsidP="00694E52">
      <w:pPr>
        <w:ind w:right="0"/>
        <w:outlineLvl w:val="9"/>
        <w:rPr>
          <w:rStyle w:val="Emphasis"/>
        </w:rPr>
      </w:pPr>
    </w:p>
    <w:p w14:paraId="27471E1E"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27471E1F"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27471E20"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27471E21" w14:textId="77777777" w:rsidR="00A77008" w:rsidRPr="004B4CDA" w:rsidRDefault="00A77008" w:rsidP="00A675F7">
      <w:pPr>
        <w:ind w:left="1440" w:right="0"/>
        <w:outlineLvl w:val="9"/>
        <w:rPr>
          <w:rStyle w:val="Emphasis"/>
        </w:rPr>
      </w:pPr>
    </w:p>
    <w:p w14:paraId="27471E22"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27471E23" w14:textId="77777777" w:rsidR="00943020" w:rsidRDefault="00943020" w:rsidP="00943020">
      <w:pPr>
        <w:ind w:left="1080" w:right="0"/>
        <w:outlineLvl w:val="9"/>
        <w:rPr>
          <w:rStyle w:val="Emphasis"/>
        </w:rPr>
      </w:pPr>
    </w:p>
    <w:tbl>
      <w:tblPr>
        <w:tblW w:w="12330" w:type="dxa"/>
        <w:tblInd w:w="-702" w:type="dxa"/>
        <w:tblLook w:val="04A0" w:firstRow="1" w:lastRow="0" w:firstColumn="1" w:lastColumn="0" w:noHBand="0" w:noVBand="1"/>
      </w:tblPr>
      <w:tblGrid>
        <w:gridCol w:w="12330"/>
      </w:tblGrid>
      <w:tr w:rsidR="00AF70B1" w:rsidRPr="00C74D58" w14:paraId="27471E25" w14:textId="77777777"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27471E24" w14:textId="77777777"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14:paraId="27471E26" w14:textId="77777777" w:rsidR="00AF70B1" w:rsidRDefault="00AF70B1" w:rsidP="00AF70B1"/>
    <w:p w14:paraId="27471E27" w14:textId="77777777" w:rsidR="00AF70B1" w:rsidRDefault="00AF70B1" w:rsidP="001A4DE1">
      <w:pPr>
        <w:pStyle w:val="Heading2"/>
      </w:pPr>
      <w:r w:rsidRPr="00304A23">
        <w:t>DEQ recommends that the Environmental Quality Commission:   </w:t>
      </w:r>
    </w:p>
    <w:p w14:paraId="27471E28" w14:textId="77777777" w:rsidR="00DA798F" w:rsidRPr="00483E60" w:rsidRDefault="00DA798F" w:rsidP="00DA798F">
      <w:pPr>
        <w:rPr>
          <w:rStyle w:val="Emphasis"/>
          <w:vanish w:val="0"/>
        </w:rPr>
      </w:pPr>
      <w:r>
        <w:rPr>
          <w:rStyle w:val="Emphasis"/>
        </w:rPr>
        <w:t>Select recommendation from list</w:t>
      </w:r>
    </w:p>
    <w:p w14:paraId="27471E29" w14:textId="77777777" w:rsidR="00AF70B1" w:rsidRPr="00641511" w:rsidRDefault="00BF0771"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End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14:paraId="27471E2A" w14:textId="77777777"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483E60" w:rsidRPr="00C74D58" w14:paraId="27471E2C" w14:textId="77777777" w:rsidTr="00570A2A">
        <w:trPr>
          <w:trHeight w:val="603"/>
        </w:trPr>
        <w:tc>
          <w:tcPr>
            <w:tcW w:w="12335" w:type="dxa"/>
            <w:shd w:val="clear" w:color="auto" w:fill="E2DDDB" w:themeFill="text2" w:themeFillTint="33"/>
            <w:noWrap/>
            <w:vAlign w:val="bottom"/>
            <w:hideMark/>
          </w:tcPr>
          <w:p w14:paraId="27471E2B" w14:textId="77777777"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14:paraId="27471E2D" w14:textId="77777777" w:rsidR="00483E60" w:rsidRDefault="00483E60" w:rsidP="00483E60">
      <w:pPr>
        <w:ind w:left="0"/>
      </w:pPr>
    </w:p>
    <w:p w14:paraId="27471E2E" w14:textId="77777777"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14:paraId="27471E2F" w14:textId="77777777" w:rsidR="00483E60" w:rsidRPr="00AB6225" w:rsidRDefault="00483E60" w:rsidP="00483E60">
      <w:pPr>
        <w:spacing w:after="120"/>
        <w:ind w:left="1080"/>
      </w:pPr>
      <w:r>
        <w:t>The proposed rule</w:t>
      </w:r>
      <w:r w:rsidR="00F05645">
        <w:t xml:space="preserve"> amendment</w:t>
      </w:r>
      <w:r>
        <w:t xml:space="preserve">s </w:t>
      </w:r>
      <w:r w:rsidR="001D3D37">
        <w:t>will</w:t>
      </w:r>
      <w:r>
        <w:t>:</w:t>
      </w:r>
    </w:p>
    <w:p w14:paraId="27471E30" w14:textId="77777777"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14:paraId="27471E31" w14:textId="77777777"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001D3D37">
        <w:rPr>
          <w:rFonts w:asciiTheme="minorHAnsi" w:hAnsiTheme="minorHAnsi" w:cstheme="minorHAnsi"/>
        </w:rPr>
        <w:t xml:space="preserve"> for ammonia,</w:t>
      </w:r>
    </w:p>
    <w:p w14:paraId="27471E32" w14:textId="77777777"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14:paraId="27471E33" w14:textId="77777777"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14:paraId="27471E34" w14:textId="77777777" w:rsidR="00483E60" w:rsidRDefault="00483E60" w:rsidP="00483E60">
      <w:pPr>
        <w:pStyle w:val="ListParagraph"/>
        <w:ind w:left="2567"/>
        <w:rPr>
          <w:rFonts w:asciiTheme="minorHAnsi" w:hAnsiTheme="minorHAnsi" w:cstheme="minorHAnsi"/>
        </w:rPr>
      </w:pPr>
    </w:p>
    <w:p w14:paraId="27471E35" w14:textId="77777777"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14:paraId="27471E36" w14:textId="77777777"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14:paraId="27471E37" w14:textId="77777777" w:rsidR="00483E60" w:rsidRPr="00AB6225" w:rsidRDefault="00483E60" w:rsidP="00483E60">
      <w:pPr>
        <w:pStyle w:val="ListParagraph"/>
        <w:spacing w:after="120"/>
        <w:ind w:left="1847"/>
        <w:rPr>
          <w:bCs/>
          <w:sz w:val="22"/>
          <w:szCs w:val="22"/>
        </w:rPr>
      </w:pPr>
    </w:p>
    <w:p w14:paraId="27471E38" w14:textId="77777777"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14:paraId="27471E39" w14:textId="77777777" w:rsidR="00483E60" w:rsidRPr="007B33D9" w:rsidRDefault="00483E60" w:rsidP="00483E60">
      <w:pPr>
        <w:pStyle w:val="ListParagraph"/>
        <w:spacing w:after="120"/>
        <w:ind w:left="1847"/>
        <w:rPr>
          <w:bCs/>
          <w:sz w:val="22"/>
          <w:szCs w:val="22"/>
        </w:rPr>
      </w:pPr>
    </w:p>
    <w:p w14:paraId="27471E3A" w14:textId="77777777"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14:paraId="27471E3B" w14:textId="77777777" w:rsidR="00483E60" w:rsidRDefault="00483E60" w:rsidP="00483E60">
      <w:pPr>
        <w:pStyle w:val="ListParagraph"/>
      </w:pPr>
    </w:p>
    <w:p w14:paraId="27471E3C" w14:textId="77777777"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14:paraId="27471E3D" w14:textId="77777777" w:rsidR="00483E60" w:rsidRPr="00B14BF7" w:rsidRDefault="00483E60" w:rsidP="00483E60">
      <w:pPr>
        <w:pStyle w:val="ListParagraph"/>
        <w:rPr>
          <w:rFonts w:asciiTheme="minorHAnsi" w:hAnsiTheme="minorHAnsi" w:cstheme="minorHAnsi"/>
        </w:rPr>
      </w:pPr>
    </w:p>
    <w:p w14:paraId="27471E3E" w14:textId="77777777"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1D3D37">
        <w:rPr>
          <w:rFonts w:asciiTheme="minorHAnsi" w:hAnsiTheme="minorHAnsi" w:cstheme="minorHAnsi"/>
        </w:rPr>
        <w:t xml:space="preserve">will </w:t>
      </w:r>
      <w:r w:rsidR="00483E60">
        <w:rPr>
          <w:rFonts w:asciiTheme="minorHAnsi" w:hAnsiTheme="minorHAnsi" w:cstheme="minorHAnsi"/>
        </w:rPr>
        <w:t>add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1D3D37">
        <w:rPr>
          <w:rFonts w:asciiTheme="minorHAnsi" w:hAnsiTheme="minorHAnsi" w:cstheme="minorHAnsi"/>
        </w:rPr>
        <w:t xml:space="preserve">. This means </w:t>
      </w:r>
      <w:r w:rsidR="00483E60">
        <w:rPr>
          <w:rFonts w:asciiTheme="minorHAnsi" w:hAnsiTheme="minorHAnsi" w:cstheme="minorHAnsi"/>
        </w:rPr>
        <w:t>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14:paraId="27471E3F" w14:textId="77777777" w:rsidR="00483E60" w:rsidRDefault="00483E60" w:rsidP="00483E60">
      <w:pPr>
        <w:spacing w:after="120"/>
        <w:ind w:left="540"/>
        <w:rPr>
          <w:bCs/>
          <w:sz w:val="22"/>
          <w:szCs w:val="22"/>
        </w:rPr>
      </w:pPr>
    </w:p>
    <w:p w14:paraId="27471E40" w14:textId="77777777" w:rsidR="00483E60" w:rsidRPr="00FA6A02" w:rsidRDefault="00483E60" w:rsidP="00483E60">
      <w:pPr>
        <w:pStyle w:val="Heading2"/>
      </w:pPr>
      <w:r w:rsidRPr="00FA6A02">
        <w:t xml:space="preserve">Brief history </w:t>
      </w:r>
    </w:p>
    <w:p w14:paraId="27471E41" w14:textId="77777777"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14:paraId="27471E42" w14:textId="77777777" w:rsidR="00483E60" w:rsidRPr="00C62607" w:rsidRDefault="00483E60" w:rsidP="00483E60">
      <w:pPr>
        <w:rPr>
          <w:vanish/>
          <w:color w:val="000000"/>
        </w:rPr>
      </w:pPr>
    </w:p>
    <w:p w14:paraId="27471E43" w14:textId="77777777"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w:t>
      </w:r>
      <w:r w:rsidR="004F0A23">
        <w:rPr>
          <w:color w:val="000000"/>
        </w:rPr>
        <w:t>; h</w:t>
      </w:r>
      <w:r w:rsidR="001D3D37">
        <w:rPr>
          <w:color w:val="000000"/>
        </w:rPr>
        <w:t xml:space="preserve">owever, </w:t>
      </w:r>
      <w:r>
        <w:rPr>
          <w:color w:val="000000"/>
        </w:rPr>
        <w:t xml:space="preserve">these adopted criteria have never been effective because EPA did not approve the revisions. In August 2012, </w:t>
      </w:r>
      <w:r w:rsidRPr="008036F3">
        <w:rPr>
          <w:color w:val="000000"/>
        </w:rPr>
        <w:t>NMFS</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w:t>
      </w:r>
      <w:r w:rsidR="009B41ED">
        <w:rPr>
          <w:color w:val="000000"/>
        </w:rPr>
        <w:t xml:space="preserve">jeopardize </w:t>
      </w:r>
      <w:r w:rsidRPr="000C198E">
        <w:rPr>
          <w:color w:val="000000"/>
        </w:rPr>
        <w:t>threatened and endangered fish.</w:t>
      </w:r>
      <w:r>
        <w:rPr>
          <w:color w:val="000000"/>
        </w:rPr>
        <w:t xml:space="preserve"> Based on </w:t>
      </w:r>
      <w:r w:rsidRPr="008036F3">
        <w:rPr>
          <w:color w:val="000000"/>
        </w:rPr>
        <w:t>NMFS</w:t>
      </w:r>
      <w:r>
        <w:rPr>
          <w:color w:val="000000"/>
        </w:rPr>
        <w:t xml:space="preserve">’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14:paraId="27471E44" w14:textId="77777777" w:rsidR="00483E60" w:rsidRDefault="00483E60" w:rsidP="00483E60">
      <w:pPr>
        <w:spacing w:after="120"/>
        <w:ind w:left="540"/>
        <w:rPr>
          <w:bCs/>
          <w:sz w:val="22"/>
          <w:szCs w:val="22"/>
        </w:rPr>
      </w:pPr>
    </w:p>
    <w:p w14:paraId="27471E45" w14:textId="77777777" w:rsidR="00483E60" w:rsidRPr="00B31975" w:rsidRDefault="00483E60" w:rsidP="00483E60">
      <w:pPr>
        <w:pStyle w:val="Heading2"/>
      </w:pPr>
      <w:r w:rsidRPr="00B31975">
        <w:t>Regulated parties</w:t>
      </w:r>
    </w:p>
    <w:p w14:paraId="27471E46" w14:textId="77777777"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14:paraId="27471E47" w14:textId="77777777" w:rsidR="00483E60" w:rsidRDefault="00483E60" w:rsidP="00483E60">
      <w:pPr>
        <w:ind w:left="360"/>
        <w:rPr>
          <w:color w:val="702C1C" w:themeColor="accent1" w:themeShade="80"/>
        </w:rPr>
      </w:pPr>
      <w:r>
        <w:rPr>
          <w:color w:val="702C1C" w:themeColor="accent1" w:themeShade="80"/>
        </w:rPr>
        <w:tab/>
      </w:r>
    </w:p>
    <w:p w14:paraId="27471E48" w14:textId="77777777" w:rsidR="00483E60" w:rsidRDefault="00483E60" w:rsidP="00483E60">
      <w:pPr>
        <w:pStyle w:val="Heading2"/>
      </w:pPr>
      <w:r w:rsidRPr="004403A5">
        <w:t xml:space="preserve">Request </w:t>
      </w:r>
      <w:r w:rsidRPr="00882BD1">
        <w:t>for</w:t>
      </w:r>
      <w:r w:rsidRPr="004403A5">
        <w:t xml:space="preserve"> other options</w:t>
      </w:r>
    </w:p>
    <w:p w14:paraId="27471E49" w14:textId="77777777"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w:t>
      </w:r>
      <w:r w:rsidR="009B41ED">
        <w:rPr>
          <w:color w:val="000000" w:themeColor="text1"/>
        </w:rPr>
        <w:t xml:space="preserve">the rules’ </w:t>
      </w:r>
      <w:r w:rsidRPr="00B15DF7">
        <w:rPr>
          <w:color w:val="000000" w:themeColor="text1"/>
        </w:rPr>
        <w:t>negative economic impact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14:paraId="27471E4A" w14:textId="77777777" w:rsidR="00483E60" w:rsidRDefault="00483E60" w:rsidP="00483E60">
      <w:pPr>
        <w:ind w:left="0"/>
        <w:rPr>
          <w:color w:val="702C1C" w:themeColor="accent1" w:themeShade="80"/>
        </w:rPr>
      </w:pPr>
    </w:p>
    <w:p w14:paraId="27471E4B" w14:textId="77777777"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483E60" w:rsidRPr="00B15DF7" w14:paraId="27471E4D" w14:textId="7777777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7471E4C" w14:textId="77777777"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14:paraId="27471E4E" w14:textId="77777777" w:rsidR="00483E60" w:rsidRPr="00B15DF7" w:rsidRDefault="00483E60" w:rsidP="00483E60"/>
    <w:p w14:paraId="27471E4F" w14:textId="77777777" w:rsidR="00483E60" w:rsidRPr="00B31975" w:rsidRDefault="00483E60" w:rsidP="00483E60">
      <w:pPr>
        <w:pStyle w:val="Heading2"/>
      </w:pPr>
      <w:r>
        <w:t xml:space="preserve">What need </w:t>
      </w:r>
      <w:r w:rsidR="009B41ED">
        <w:t>will</w:t>
      </w:r>
      <w:r>
        <w:t xml:space="preserve"> the proposed rule</w:t>
      </w:r>
      <w:r w:rsidR="009B41ED">
        <w:t>s</w:t>
      </w:r>
      <w:r>
        <w:t xml:space="preserve"> address?</w:t>
      </w:r>
    </w:p>
    <w:p w14:paraId="27471E50" w14:textId="77777777"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14:paraId="27471E51" w14:textId="77777777" w:rsidR="00483E60" w:rsidRDefault="00483E60" w:rsidP="00483E60">
      <w:pPr>
        <w:ind w:right="270"/>
        <w:rPr>
          <w:color w:val="000000"/>
        </w:rPr>
      </w:pPr>
    </w:p>
    <w:p w14:paraId="27471E52" w14:textId="77777777"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14:paraId="27471E53" w14:textId="77777777" w:rsidR="00483E60" w:rsidRDefault="00483E60" w:rsidP="00483E60">
      <w:pPr>
        <w:ind w:left="0" w:right="270"/>
        <w:rPr>
          <w:color w:val="000000"/>
        </w:rPr>
      </w:pPr>
    </w:p>
    <w:p w14:paraId="27471E54" w14:textId="77777777"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14:paraId="27471E55" w14:textId="77777777" w:rsidR="00483E60" w:rsidRDefault="00483E60" w:rsidP="00483E60">
      <w:pPr>
        <w:ind w:right="270"/>
      </w:pPr>
    </w:p>
    <w:p w14:paraId="27471E56" w14:textId="77777777" w:rsidR="00483E60" w:rsidRPr="009B41ED" w:rsidRDefault="00483E60" w:rsidP="00483E60">
      <w:pPr>
        <w:ind w:right="270"/>
        <w:rPr>
          <w:rFonts w:asciiTheme="majorHAnsi" w:hAnsiTheme="majorHAnsi" w:cstheme="majorHAnsi"/>
          <w:i/>
          <w:sz w:val="22"/>
          <w:szCs w:val="22"/>
        </w:rPr>
      </w:pPr>
    </w:p>
    <w:p w14:paraId="27471E57" w14:textId="77777777" w:rsidR="00483E60" w:rsidRPr="009B41ED" w:rsidRDefault="00483E60" w:rsidP="00483E60">
      <w:pPr>
        <w:spacing w:after="120"/>
        <w:ind w:right="270"/>
        <w:rPr>
          <w:rFonts w:asciiTheme="majorHAnsi" w:hAnsiTheme="majorHAnsi" w:cstheme="majorHAnsi"/>
          <w:i/>
          <w:sz w:val="22"/>
          <w:szCs w:val="22"/>
        </w:rPr>
      </w:pPr>
      <w:r w:rsidRPr="009B41ED">
        <w:rPr>
          <w:rFonts w:asciiTheme="majorHAnsi" w:hAnsiTheme="majorHAnsi" w:cstheme="majorHAnsi"/>
          <w:i/>
          <w:sz w:val="22"/>
          <w:szCs w:val="22"/>
        </w:rPr>
        <w:t>pH amendment</w:t>
      </w:r>
    </w:p>
    <w:p w14:paraId="27471E58" w14:textId="77777777"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r>
        <w:t>mainstem</w:t>
      </w:r>
      <w:r w:rsidR="00EA4D80">
        <w:t xml:space="preserve"> of the</w:t>
      </w:r>
      <w:r>
        <w:t xml:space="preserve"> Snake River as intended. </w:t>
      </w:r>
    </w:p>
    <w:p w14:paraId="27471E59" w14:textId="77777777" w:rsidR="00483E60" w:rsidRDefault="00483E60" w:rsidP="00483E60">
      <w:pPr>
        <w:ind w:right="270"/>
        <w:rPr>
          <w:rFonts w:asciiTheme="majorHAnsi" w:hAnsiTheme="majorHAnsi" w:cstheme="majorHAnsi"/>
          <w:i/>
          <w:sz w:val="22"/>
          <w:szCs w:val="22"/>
        </w:rPr>
      </w:pPr>
    </w:p>
    <w:p w14:paraId="27471E5A" w14:textId="77777777"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14:paraId="27471E5B" w14:textId="77777777"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w:t>
      </w:r>
      <w:r w:rsidR="00C93083">
        <w:rPr>
          <w:rFonts w:asciiTheme="minorHAnsi" w:hAnsiTheme="minorHAnsi" w:cstheme="minorHAnsi"/>
        </w:rPr>
        <w:t xml:space="preserve">1-0028(8) because of a </w:t>
      </w:r>
      <w:r w:rsidR="007D656B">
        <w:rPr>
          <w:rFonts w:asciiTheme="minorHAnsi" w:hAnsiTheme="minorHAnsi" w:cstheme="minorHAnsi"/>
        </w:rPr>
        <w:t xml:space="preserve">U.S. District Court decision </w:t>
      </w:r>
      <w:r w:rsidR="00C93083" w:rsidRPr="00F02E0C">
        <w:rPr>
          <w:rFonts w:asciiTheme="minorHAnsi" w:hAnsiTheme="minorHAnsi" w:cstheme="minorHAnsi"/>
          <w:color w:val="000000" w:themeColor="text1"/>
        </w:rPr>
        <w:t>(</w:t>
      </w:r>
      <w:r w:rsidR="00F02E0C" w:rsidRPr="00F02E0C">
        <w:rPr>
          <w:color w:val="000000" w:themeColor="text1"/>
        </w:rPr>
        <w:t>Northwest Environmental Advocates v. U.S. E.P.A., 855 F.Supp.2d 1199 (D. Or. 2012)</w:t>
      </w:r>
      <w:r w:rsidR="00C93083" w:rsidRPr="00F02E0C">
        <w:rPr>
          <w:color w:val="000000" w:themeColor="text1"/>
        </w:rPr>
        <w:t>)</w:t>
      </w:r>
      <w:r w:rsidR="00C61FBC" w:rsidRPr="00F02E0C">
        <w:rPr>
          <w:rFonts w:asciiTheme="minorHAnsi" w:hAnsiTheme="minorHAnsi" w:cstheme="minorHAnsi"/>
          <w:color w:val="000000" w:themeColor="text1"/>
        </w:rPr>
        <w:t>.</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14:paraId="27471E5C" w14:textId="77777777" w:rsidR="00483E60" w:rsidRDefault="00483E60" w:rsidP="00483E60">
      <w:pPr>
        <w:rPr>
          <w:rFonts w:asciiTheme="majorHAnsi" w:hAnsiTheme="majorHAnsi" w:cstheme="majorHAnsi"/>
          <w:i/>
          <w:sz w:val="22"/>
          <w:szCs w:val="22"/>
        </w:rPr>
      </w:pPr>
    </w:p>
    <w:p w14:paraId="27471E5D" w14:textId="77777777"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14:paraId="27471E5E" w14:textId="77777777"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14:paraId="27471E5F" w14:textId="77777777" w:rsidR="00483E60" w:rsidRDefault="00483E60" w:rsidP="00483E60">
      <w:pPr>
        <w:autoSpaceDE w:val="0"/>
        <w:autoSpaceDN w:val="0"/>
        <w:adjustRightInd w:val="0"/>
        <w:ind w:right="270"/>
      </w:pPr>
    </w:p>
    <w:p w14:paraId="27471E60" w14:textId="77777777"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14:paraId="27471E61" w14:textId="77777777"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14:paraId="27471E62" w14:textId="77777777"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14:paraId="27471E63" w14:textId="77777777"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14:paraId="27471E64" w14:textId="77777777"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14:paraId="27471E65" w14:textId="77777777" w:rsidR="00483E60" w:rsidRDefault="00483E60" w:rsidP="00483E60">
      <w:pPr>
        <w:autoSpaceDE w:val="0"/>
        <w:autoSpaceDN w:val="0"/>
        <w:adjustRightInd w:val="0"/>
        <w:ind w:left="0"/>
      </w:pPr>
    </w:p>
    <w:p w14:paraId="27471E66" w14:textId="77777777" w:rsidR="00483E60" w:rsidRPr="00B31975" w:rsidRDefault="00483E60" w:rsidP="00483E60">
      <w:pPr>
        <w:pStyle w:val="Heading2"/>
      </w:pPr>
      <w:r w:rsidRPr="007A1CE3">
        <w:t xml:space="preserve">How </w:t>
      </w:r>
      <w:r w:rsidR="009B41ED">
        <w:t>will</w:t>
      </w:r>
      <w:r w:rsidRPr="007A1CE3">
        <w:t xml:space="preserve"> the proposed rule</w:t>
      </w:r>
      <w:r w:rsidR="009B41ED">
        <w:t>s</w:t>
      </w:r>
      <w:r w:rsidRPr="007A1CE3">
        <w:t xml:space="preserve"> address the need</w:t>
      </w:r>
      <w:r w:rsidRPr="00B31975">
        <w:t xml:space="preserve">? </w:t>
      </w:r>
    </w:p>
    <w:p w14:paraId="27471E67" w14:textId="77777777" w:rsidR="00483E60" w:rsidRPr="003D01B4" w:rsidRDefault="00483E60" w:rsidP="00483E60">
      <w:pPr>
        <w:rPr>
          <w:vanish/>
          <w:color w:val="000000"/>
        </w:rPr>
      </w:pPr>
      <w:r w:rsidRPr="00060D6C">
        <w:rPr>
          <w:vanish/>
          <w:color w:val="000000"/>
        </w:rPr>
        <w:t xml:space="preserve">THIS SECTION SHOULD ALIGH WITH PROBLEM STATEMENTS ABOVE. </w:t>
      </w:r>
    </w:p>
    <w:p w14:paraId="27471E68" w14:textId="77777777" w:rsidR="00483E60" w:rsidRPr="003D01B4" w:rsidRDefault="00483E60" w:rsidP="00483E60">
      <w:pPr>
        <w:rPr>
          <w:vanish/>
          <w:color w:val="000000"/>
        </w:rPr>
      </w:pPr>
    </w:p>
    <w:p w14:paraId="27471E69" w14:textId="77777777" w:rsidR="00483E60" w:rsidRDefault="00483E60" w:rsidP="00483E60">
      <w:pPr>
        <w:rPr>
          <w:color w:val="000000"/>
        </w:rPr>
      </w:pPr>
      <w:r>
        <w:rPr>
          <w:color w:val="000000"/>
        </w:rPr>
        <w:t>The proposed rule</w:t>
      </w:r>
      <w:r w:rsidR="009B41ED">
        <w:rPr>
          <w:color w:val="000000"/>
        </w:rPr>
        <w:t>s</w:t>
      </w:r>
      <w:r>
        <w:rPr>
          <w:color w:val="000000"/>
        </w:rPr>
        <w:t xml:space="preserve"> </w:t>
      </w:r>
      <w:r w:rsidR="009B41ED">
        <w:rPr>
          <w:color w:val="000000"/>
        </w:rPr>
        <w:t>will</w:t>
      </w:r>
      <w:r>
        <w:rPr>
          <w:color w:val="000000"/>
        </w:rPr>
        <w:t xml:space="preserve">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14:paraId="27471E6A" w14:textId="77777777" w:rsidR="00483E60" w:rsidRDefault="00483E60" w:rsidP="00483E60">
      <w:pPr>
        <w:rPr>
          <w:color w:val="000000"/>
        </w:rPr>
      </w:pPr>
    </w:p>
    <w:p w14:paraId="27471E6B" w14:textId="77777777"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pH Amendment</w:t>
      </w:r>
    </w:p>
    <w:p w14:paraId="27471E6C" w14:textId="77777777" w:rsidR="00483E60" w:rsidRDefault="00483E60" w:rsidP="00483E60">
      <w:pPr>
        <w:rPr>
          <w:color w:val="000000"/>
        </w:rPr>
      </w:pPr>
      <w:r>
        <w:rPr>
          <w:color w:val="000000"/>
        </w:rPr>
        <w:t xml:space="preserve">The proposed rule </w:t>
      </w:r>
      <w:r w:rsidR="009B41ED">
        <w:rPr>
          <w:color w:val="000000"/>
        </w:rPr>
        <w:t>will</w:t>
      </w:r>
      <w:r>
        <w:rPr>
          <w:color w:val="000000"/>
        </w:rPr>
        <w:t xml:space="preserve"> remove reference to river miles to clarify that the pH criterion applies to the entire main stem of the Snake River in Oregon.</w:t>
      </w:r>
    </w:p>
    <w:p w14:paraId="27471E6D" w14:textId="77777777" w:rsidR="00483E60" w:rsidRDefault="00483E60" w:rsidP="00483E60">
      <w:pPr>
        <w:rPr>
          <w:color w:val="000000"/>
        </w:rPr>
      </w:pPr>
    </w:p>
    <w:p w14:paraId="27471E6E" w14:textId="77777777"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14:paraId="27471E6F" w14:textId="77777777"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14:paraId="27471E70" w14:textId="77777777" w:rsidR="00483E60" w:rsidRDefault="00483E60" w:rsidP="00483E60">
      <w:pPr>
        <w:rPr>
          <w:color w:val="000000"/>
        </w:rPr>
      </w:pPr>
    </w:p>
    <w:p w14:paraId="27471E71" w14:textId="77777777"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14:paraId="27471E72" w14:textId="77777777" w:rsidR="00483E60" w:rsidRPr="007F6190" w:rsidRDefault="00483E60" w:rsidP="00483E60">
      <w:pPr>
        <w:rPr>
          <w:color w:val="000000"/>
        </w:rPr>
      </w:pPr>
      <w:r>
        <w:rPr>
          <w:color w:val="000000"/>
        </w:rPr>
        <w:t>The proposed rule remove</w:t>
      </w:r>
      <w:r w:rsidR="009B41ED">
        <w:rPr>
          <w:color w:val="000000"/>
        </w:rPr>
        <w:t>s</w:t>
      </w:r>
      <w:r>
        <w:rPr>
          <w:color w:val="000000"/>
        </w:rPr>
        <w:t xml:space="preser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14:paraId="27471E73" w14:textId="77777777" w:rsidR="00483E60" w:rsidRPr="00B15DF7" w:rsidRDefault="00483E60" w:rsidP="00483E60">
      <w:pPr>
        <w:ind w:left="360"/>
        <w:rPr>
          <w:bCs/>
          <w:color w:val="504938"/>
        </w:rPr>
      </w:pPr>
    </w:p>
    <w:p w14:paraId="27471E74" w14:textId="77777777" w:rsidR="00483E60" w:rsidRDefault="00483E60" w:rsidP="00483E60">
      <w:pPr>
        <w:spacing w:after="120"/>
        <w:ind w:left="360" w:right="14"/>
        <w:rPr>
          <w:bCs/>
          <w:sz w:val="22"/>
          <w:szCs w:val="22"/>
        </w:rPr>
      </w:pPr>
    </w:p>
    <w:p w14:paraId="27471E75" w14:textId="77777777" w:rsidR="00483E60" w:rsidRDefault="00483E60" w:rsidP="007D656B">
      <w:pPr>
        <w:pStyle w:val="Heading2"/>
      </w:pPr>
      <w:r>
        <w:lastRenderedPageBreak/>
        <w:t>How will DEQ know the rule</w:t>
      </w:r>
      <w:r w:rsidR="009B41ED">
        <w:t>s</w:t>
      </w:r>
      <w:r>
        <w:t xml:space="preserve"> ha</w:t>
      </w:r>
      <w:r w:rsidR="009B41ED">
        <w:t>ve</w:t>
      </w:r>
      <w:r>
        <w:t xml:space="preserve"> addressed the need?</w:t>
      </w:r>
      <w:r w:rsidRPr="00B31975">
        <w:t xml:space="preserve"> </w:t>
      </w:r>
    </w:p>
    <w:p w14:paraId="27471E76" w14:textId="77777777"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14:paraId="27471E77" w14:textId="77777777"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483E60" w:rsidRPr="00B15DF7" w14:paraId="27471E79" w14:textId="7777777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7471E78" w14:textId="77777777"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14:paraId="27471E7A" w14:textId="77777777" w:rsidR="00483E60" w:rsidRPr="00B15DF7" w:rsidRDefault="00483E60" w:rsidP="00483E60"/>
    <w:p w14:paraId="27471E7B" w14:textId="77777777"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14:paraId="27471E7C" w14:textId="77777777"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14:paraId="27471E7D" w14:textId="77777777" w:rsidR="00483E60" w:rsidRPr="0082074B" w:rsidRDefault="00483E60" w:rsidP="00483E60">
      <w:pPr>
        <w:ind w:left="0"/>
        <w:rPr>
          <w:color w:val="000000" w:themeColor="text1"/>
        </w:rPr>
      </w:pPr>
    </w:p>
    <w:p w14:paraId="27471E7E" w14:textId="77777777" w:rsidR="00483E60" w:rsidRDefault="00483E60" w:rsidP="00483E60">
      <w:pPr>
        <w:ind w:left="360" w:right="14"/>
        <w:rPr>
          <w:rFonts w:asciiTheme="majorHAnsi" w:hAnsiTheme="majorHAnsi" w:cstheme="majorHAnsi"/>
          <w:bCs/>
          <w:color w:val="504938"/>
          <w:sz w:val="22"/>
          <w:szCs w:val="22"/>
        </w:rPr>
      </w:pPr>
    </w:p>
    <w:p w14:paraId="27471E7F" w14:textId="77777777"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14:paraId="27471E80" w14:textId="77777777"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483E60" w14:paraId="27471E83" w14:textId="77777777" w:rsidTr="00570A2A">
        <w:tc>
          <w:tcPr>
            <w:tcW w:w="2610" w:type="dxa"/>
          </w:tcPr>
          <w:p w14:paraId="27471E81"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14:paraId="27471E82" w14:textId="77777777" w:rsidR="00483E60" w:rsidRPr="002C3A6B" w:rsidRDefault="00DC4EAA" w:rsidP="00570A2A">
            <w:pPr>
              <w:spacing w:after="120"/>
              <w:ind w:left="0"/>
              <w:rPr>
                <w:rFonts w:asciiTheme="minorHAnsi" w:hAnsiTheme="minorHAnsi" w:cstheme="minorHAnsi"/>
                <w:bCs/>
                <w:sz w:val="24"/>
                <w:szCs w:val="24"/>
                <w:highlight w:val="lightGray"/>
              </w:rPr>
            </w:pPr>
            <w:r>
              <w:rPr>
                <w:rFonts w:asciiTheme="minorHAnsi" w:hAnsiTheme="minorHAnsi" w:cstheme="minorHAnsi"/>
                <w:bCs/>
                <w:sz w:val="24"/>
                <w:szCs w:val="24"/>
              </w:rPr>
              <w:t>OAR</w:t>
            </w:r>
            <w:r w:rsidR="00483E60" w:rsidRPr="00FD64C1">
              <w:rPr>
                <w:rFonts w:asciiTheme="minorHAnsi" w:hAnsiTheme="minorHAnsi" w:cstheme="minorHAnsi"/>
                <w:bCs/>
                <w:sz w:val="24"/>
                <w:szCs w:val="24"/>
              </w:rPr>
              <w:t xml:space="preserve"> 340-041-8033</w:t>
            </w:r>
            <w:r w:rsidR="00483E60" w:rsidRPr="009558B4">
              <w:rPr>
                <w:rFonts w:asciiTheme="minorHAnsi" w:hAnsiTheme="minorHAnsi" w:cstheme="minorHAnsi"/>
                <w:bCs/>
                <w:sz w:val="24"/>
                <w:szCs w:val="24"/>
              </w:rPr>
              <w:t xml:space="preserve"> </w:t>
            </w:r>
          </w:p>
        </w:tc>
      </w:tr>
      <w:tr w:rsidR="00483E60" w14:paraId="27471E87" w14:textId="77777777" w:rsidTr="00570A2A">
        <w:tc>
          <w:tcPr>
            <w:tcW w:w="2610" w:type="dxa"/>
          </w:tcPr>
          <w:p w14:paraId="27471E84"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14:paraId="27471E85" w14:textId="77777777" w:rsidR="00483E60" w:rsidRDefault="00DC4EAA" w:rsidP="00570A2A">
            <w:pPr>
              <w:ind w:left="0" w:right="14"/>
              <w:rPr>
                <w:rFonts w:asciiTheme="minorHAnsi" w:hAnsiTheme="minorHAnsi" w:cstheme="minorHAnsi"/>
                <w:bCs/>
                <w:sz w:val="24"/>
                <w:szCs w:val="24"/>
              </w:rPr>
            </w:pPr>
            <w:r>
              <w:rPr>
                <w:rFonts w:asciiTheme="minorHAnsi" w:hAnsiTheme="minorHAnsi" w:cstheme="minorHAnsi"/>
                <w:bCs/>
                <w:sz w:val="24"/>
                <w:szCs w:val="24"/>
              </w:rPr>
              <w:t>OAR</w:t>
            </w:r>
            <w:r w:rsidR="00483E60" w:rsidRPr="00122E68">
              <w:rPr>
                <w:rFonts w:asciiTheme="minorHAnsi" w:hAnsiTheme="minorHAnsi" w:cstheme="minorHAnsi"/>
                <w:bCs/>
                <w:sz w:val="24"/>
                <w:szCs w:val="24"/>
              </w:rPr>
              <w:t xml:space="preserve"> 340-041-0002, 340-041-0007, 340-041-0028, </w:t>
            </w:r>
          </w:p>
          <w:p w14:paraId="27471E86" w14:textId="77777777"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14:paraId="27471E8A" w14:textId="77777777" w:rsidTr="00570A2A">
        <w:tc>
          <w:tcPr>
            <w:tcW w:w="2610" w:type="dxa"/>
          </w:tcPr>
          <w:p w14:paraId="27471E88"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14:paraId="27471E89" w14:textId="77777777"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14:paraId="27471E8D" w14:textId="77777777" w:rsidTr="00570A2A">
        <w:tc>
          <w:tcPr>
            <w:tcW w:w="2610" w:type="dxa"/>
          </w:tcPr>
          <w:p w14:paraId="27471E8B"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14:paraId="27471E8C" w14:textId="77777777"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14:paraId="27471E90" w14:textId="77777777" w:rsidTr="00570A2A">
        <w:tc>
          <w:tcPr>
            <w:tcW w:w="2610" w:type="dxa"/>
          </w:tcPr>
          <w:p w14:paraId="27471E8E"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14:paraId="27471E8F" w14:textId="77777777"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14:paraId="27471E91" w14:textId="77777777" w:rsidR="00483E60" w:rsidRDefault="00483E60" w:rsidP="00483E60">
      <w:pPr>
        <w:spacing w:after="120"/>
        <w:ind w:left="360"/>
        <w:rPr>
          <w:rFonts w:asciiTheme="majorHAnsi" w:hAnsiTheme="majorHAnsi" w:cstheme="majorHAnsi"/>
          <w:bCs/>
          <w:color w:val="504938"/>
          <w:sz w:val="22"/>
          <w:szCs w:val="22"/>
        </w:rPr>
      </w:pPr>
    </w:p>
    <w:p w14:paraId="27471E92"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14:paraId="27471E93" w14:textId="0D3CA046"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468B.048</w:t>
      </w:r>
    </w:p>
    <w:p w14:paraId="27471E94" w14:textId="77777777" w:rsidR="00483E60" w:rsidRPr="000D07CA" w:rsidRDefault="00483E60" w:rsidP="00483E60">
      <w:pPr>
        <w:rPr>
          <w:bCs/>
          <w:color w:val="000000" w:themeColor="text1"/>
        </w:rPr>
      </w:pPr>
    </w:p>
    <w:p w14:paraId="27471E95"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14:paraId="27471E96" w14:textId="77777777" w:rsidR="00483E60" w:rsidRDefault="00483E60" w:rsidP="00483E60">
      <w:pPr>
        <w:ind w:left="360"/>
        <w:rPr>
          <w:bCs/>
          <w:color w:val="000000" w:themeColor="text1"/>
        </w:rPr>
      </w:pPr>
      <w:r>
        <w:rPr>
          <w:bCs/>
          <w:color w:val="000000" w:themeColor="text1"/>
        </w:rPr>
        <w:tab/>
        <w:t>No other authorities</w:t>
      </w:r>
    </w:p>
    <w:p w14:paraId="27471E97" w14:textId="77777777" w:rsidR="00483E60" w:rsidRDefault="00483E60" w:rsidP="00483E60">
      <w:pPr>
        <w:ind w:left="360"/>
        <w:rPr>
          <w:bCs/>
          <w:color w:val="000000" w:themeColor="text1"/>
        </w:rPr>
      </w:pPr>
    </w:p>
    <w:p w14:paraId="27471E98" w14:textId="77777777"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14:paraId="27471E99" w14:textId="77777777"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14:paraId="27471E9A" w14:textId="77777777" w:rsidR="00483E60" w:rsidRDefault="00483E60" w:rsidP="00483E60">
      <w:pPr>
        <w:ind w:left="360"/>
        <w:rPr>
          <w:rFonts w:asciiTheme="majorHAnsi" w:hAnsiTheme="majorHAnsi" w:cstheme="majorHAnsi"/>
          <w:bCs/>
          <w:color w:val="504938"/>
          <w:sz w:val="22"/>
          <w:szCs w:val="22"/>
        </w:rPr>
      </w:pPr>
    </w:p>
    <w:p w14:paraId="27471E9B" w14:textId="77777777" w:rsidR="00483E60" w:rsidRDefault="00483E60" w:rsidP="00483E60">
      <w:pPr>
        <w:spacing w:after="120"/>
        <w:ind w:left="360"/>
        <w:rPr>
          <w:rFonts w:asciiTheme="majorHAnsi" w:hAnsiTheme="majorHAnsi" w:cstheme="majorHAnsi"/>
          <w:bCs/>
          <w:color w:val="000000" w:themeColor="text1"/>
          <w:sz w:val="22"/>
          <w:szCs w:val="22"/>
        </w:rPr>
      </w:pPr>
      <w:bookmarkStart w:id="0" w:name="SupportingDocuments"/>
    </w:p>
    <w:p w14:paraId="27471E9C" w14:textId="77777777"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0"/>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183.335(2)(b)(C)</w:t>
        </w:r>
      </w:hyperlink>
    </w:p>
    <w:p w14:paraId="27471E9D" w14:textId="77777777"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14:paraId="27471E9E" w14:textId="77777777"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firstRow="1" w:lastRow="0" w:firstColumn="1" w:lastColumn="0" w:noHBand="0" w:noVBand="1"/>
      </w:tblPr>
      <w:tblGrid>
        <w:gridCol w:w="4860"/>
        <w:gridCol w:w="4950"/>
      </w:tblGrid>
      <w:tr w:rsidR="00483E60" w14:paraId="27471EA1" w14:textId="77777777" w:rsidTr="00570A2A">
        <w:tc>
          <w:tcPr>
            <w:tcW w:w="4860" w:type="dxa"/>
            <w:tcBorders>
              <w:top w:val="double" w:sz="4" w:space="0" w:color="auto"/>
              <w:left w:val="double" w:sz="4" w:space="0" w:color="auto"/>
            </w:tcBorders>
            <w:shd w:val="clear" w:color="auto" w:fill="008272"/>
          </w:tcPr>
          <w:p w14:paraId="27471E9F" w14:textId="77777777"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14:paraId="27471EA0" w14:textId="77777777"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14:paraId="27471EA7" w14:textId="77777777" w:rsidTr="00570A2A">
        <w:tc>
          <w:tcPr>
            <w:tcW w:w="4860" w:type="dxa"/>
            <w:tcBorders>
              <w:left w:val="double" w:sz="4" w:space="0" w:color="auto"/>
            </w:tcBorders>
          </w:tcPr>
          <w:p w14:paraId="27471EA2" w14:textId="77777777" w:rsidR="00483E60" w:rsidRDefault="00483E60" w:rsidP="00570A2A">
            <w:pPr>
              <w:ind w:left="0"/>
            </w:pPr>
            <w:r>
              <w:t>Table 30: Aquatic Life Water Quality Criteria for Toxic Pollutants</w:t>
            </w:r>
          </w:p>
        </w:tc>
        <w:tc>
          <w:tcPr>
            <w:tcW w:w="4950" w:type="dxa"/>
            <w:tcBorders>
              <w:right w:val="double" w:sz="4" w:space="0" w:color="auto"/>
            </w:tcBorders>
          </w:tcPr>
          <w:p w14:paraId="27471EA3" w14:textId="77777777" w:rsidR="00483E60" w:rsidRDefault="00BF0771" w:rsidP="00570A2A">
            <w:pPr>
              <w:ind w:left="72"/>
              <w:rPr>
                <w:bCs/>
                <w:color w:val="000000" w:themeColor="text1"/>
              </w:rPr>
            </w:pPr>
            <w:hyperlink r:id="rId21" w:history="1">
              <w:r w:rsidR="00483E60" w:rsidRPr="006753C5">
                <w:rPr>
                  <w:rStyle w:val="Hyperlink"/>
                  <w:bCs/>
                </w:rPr>
                <w:t>http://www.deq.state.or.us/wq/standards/docs/tables303140.pdf</w:t>
              </w:r>
            </w:hyperlink>
          </w:p>
          <w:p w14:paraId="27471EA4" w14:textId="77777777" w:rsidR="00483E60" w:rsidRDefault="00483E60" w:rsidP="00570A2A">
            <w:pPr>
              <w:ind w:left="72"/>
              <w:rPr>
                <w:bCs/>
                <w:color w:val="000000" w:themeColor="text1"/>
              </w:rPr>
            </w:pPr>
          </w:p>
          <w:p w14:paraId="27471EA5" w14:textId="77777777"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14:paraId="27471EA6" w14:textId="77777777"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14:paraId="27471EB9" w14:textId="77777777" w:rsidTr="00570A2A">
        <w:tc>
          <w:tcPr>
            <w:tcW w:w="4860" w:type="dxa"/>
            <w:tcBorders>
              <w:left w:val="double" w:sz="4" w:space="0" w:color="auto"/>
            </w:tcBorders>
          </w:tcPr>
          <w:p w14:paraId="27471EA8" w14:textId="77777777"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Environmental Protection Agency, Region 10. EPA Clean Water Act 303(c) Determinations On Oregon’s New and Revised Aquatic Life Toxic Criteria Submitted on July 8, 2004, and as Amended by Oregon’s April 23, 2007 and July 21, 2011 Submissions. Jan</w:t>
            </w:r>
            <w:r>
              <w:rPr>
                <w:rFonts w:asciiTheme="minorHAnsi" w:hAnsiTheme="minorHAnsi" w:cstheme="minorHAnsi"/>
                <w:b w:val="0"/>
              </w:rPr>
              <w:t>.</w:t>
            </w:r>
            <w:r w:rsidRPr="007A1CE3">
              <w:rPr>
                <w:rFonts w:asciiTheme="minorHAnsi" w:hAnsiTheme="minorHAnsi" w:cstheme="minorHAnsi"/>
                <w:b w:val="0"/>
              </w:rPr>
              <w:t xml:space="preserve"> 30, 2013</w:t>
            </w:r>
          </w:p>
          <w:p w14:paraId="27471EA9" w14:textId="77777777" w:rsidR="00483E60" w:rsidRDefault="00483E60" w:rsidP="00570A2A">
            <w:pPr>
              <w:pStyle w:val="Default"/>
              <w:ind w:left="0"/>
              <w:rPr>
                <w:rFonts w:ascii="Times New Roman" w:hAnsi="Times New Roman" w:cs="Times New Roman"/>
                <w:b w:val="0"/>
              </w:rPr>
            </w:pPr>
          </w:p>
          <w:p w14:paraId="27471EAA" w14:textId="77777777"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14:paraId="27471EAB" w14:textId="77777777"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14:paraId="27471EAC" w14:textId="77777777" w:rsidR="00483E60" w:rsidRDefault="00483E60" w:rsidP="00570A2A">
            <w:pPr>
              <w:ind w:left="0"/>
              <w:rPr>
                <w:rFonts w:asciiTheme="minorHAnsi" w:hAnsiTheme="minorHAnsi" w:cstheme="minorHAnsi"/>
                <w:color w:val="000000"/>
              </w:rPr>
            </w:pPr>
          </w:p>
          <w:p w14:paraId="27471EAD" w14:textId="77777777" w:rsidR="00483E60" w:rsidRDefault="00483E60" w:rsidP="00570A2A">
            <w:pPr>
              <w:ind w:left="0"/>
              <w:rPr>
                <w:rFonts w:asciiTheme="minorHAnsi" w:hAnsiTheme="minorHAnsi" w:cstheme="minorHAnsi"/>
                <w:color w:val="000000"/>
              </w:rPr>
            </w:pPr>
          </w:p>
          <w:p w14:paraId="27471EAE" w14:textId="77777777" w:rsidR="00483E60" w:rsidRPr="000E6216" w:rsidRDefault="00483E60" w:rsidP="00570A2A">
            <w:pPr>
              <w:ind w:left="0"/>
              <w:rPr>
                <w:rFonts w:asciiTheme="minorHAnsi" w:hAnsiTheme="minorHAnsi" w:cstheme="minorHAnsi"/>
              </w:rPr>
            </w:pPr>
            <w:r>
              <w:rPr>
                <w:rFonts w:asciiTheme="minorHAnsi" w:hAnsiTheme="minorHAnsi" w:cstheme="minorHAnsi"/>
                <w:color w:val="000000"/>
              </w:rPr>
              <w:lastRenderedPageBreak/>
              <w:t>Other relevant EPA ammonia documents</w:t>
            </w:r>
          </w:p>
        </w:tc>
        <w:tc>
          <w:tcPr>
            <w:tcW w:w="4950" w:type="dxa"/>
            <w:tcBorders>
              <w:right w:val="double" w:sz="4" w:space="0" w:color="auto"/>
            </w:tcBorders>
          </w:tcPr>
          <w:p w14:paraId="27471EAF" w14:textId="77777777" w:rsidR="00483E60" w:rsidRPr="000E6216" w:rsidRDefault="00BF0771" w:rsidP="00570A2A">
            <w:pPr>
              <w:pStyle w:val="Default"/>
              <w:ind w:left="0"/>
              <w:rPr>
                <w:rFonts w:ascii="Times New Roman" w:hAnsi="Times New Roman" w:cs="Times New Roman"/>
                <w:b w:val="0"/>
                <w:color w:val="0000FF"/>
              </w:rPr>
            </w:pPr>
            <w:hyperlink r:id="rId22" w:history="1">
              <w:r w:rsidR="00483E60" w:rsidRPr="000E6216">
                <w:rPr>
                  <w:rStyle w:val="Hyperlink"/>
                  <w:rFonts w:ascii="Times New Roman" w:hAnsi="Times New Roman" w:cs="Times New Roman"/>
                  <w:b w:val="0"/>
                </w:rPr>
                <w:t>http://www.deq.state.or.us/wq/standards/toxicsEPAaction.htm</w:t>
              </w:r>
            </w:hyperlink>
          </w:p>
          <w:p w14:paraId="27471EB0" w14:textId="77777777" w:rsidR="00483E60" w:rsidRDefault="00483E60" w:rsidP="00570A2A">
            <w:pPr>
              <w:ind w:left="72"/>
              <w:rPr>
                <w:bCs/>
                <w:color w:val="000000" w:themeColor="text1"/>
              </w:rPr>
            </w:pPr>
          </w:p>
          <w:p w14:paraId="27471EB1" w14:textId="77777777" w:rsidR="00483E60" w:rsidRDefault="00483E60" w:rsidP="00570A2A">
            <w:pPr>
              <w:ind w:left="72"/>
              <w:rPr>
                <w:bCs/>
                <w:color w:val="000000" w:themeColor="text1"/>
              </w:rPr>
            </w:pPr>
          </w:p>
          <w:p w14:paraId="27471EB2" w14:textId="77777777" w:rsidR="00483E60" w:rsidRDefault="00483E60" w:rsidP="00570A2A">
            <w:pPr>
              <w:ind w:left="72"/>
              <w:rPr>
                <w:bCs/>
                <w:color w:val="000000" w:themeColor="text1"/>
              </w:rPr>
            </w:pPr>
          </w:p>
          <w:p w14:paraId="27471EB3" w14:textId="77777777" w:rsidR="00483E60" w:rsidRDefault="00BF0771" w:rsidP="00570A2A">
            <w:pPr>
              <w:ind w:left="0"/>
              <w:rPr>
                <w:bCs/>
                <w:color w:val="000000" w:themeColor="text1"/>
              </w:rPr>
            </w:pPr>
            <w:hyperlink r:id="rId23" w:history="1">
              <w:r w:rsidR="00483E60" w:rsidRPr="006753C5">
                <w:rPr>
                  <w:rStyle w:val="Hyperlink"/>
                  <w:bCs/>
                </w:rPr>
                <w:t>http://water.epa.gov/scitech/swguidance/standards/criteria/aqlife/ammonia/upload/AQUATIC-LIFE-AMBIENT-WATER-QUALITY-CRITERIA-FOR-AMMONIA-FRESHWATER-2013.pdf</w:t>
              </w:r>
            </w:hyperlink>
          </w:p>
          <w:p w14:paraId="27471EB4" w14:textId="77777777" w:rsidR="00483E60" w:rsidRDefault="00483E60" w:rsidP="00570A2A">
            <w:pPr>
              <w:ind w:left="72"/>
              <w:rPr>
                <w:bCs/>
                <w:color w:val="000000" w:themeColor="text1"/>
              </w:rPr>
            </w:pPr>
          </w:p>
          <w:p w14:paraId="27471EB5" w14:textId="77777777" w:rsidR="00483E60" w:rsidRDefault="00BF0771" w:rsidP="00570A2A">
            <w:pPr>
              <w:ind w:left="0"/>
              <w:rPr>
                <w:bCs/>
                <w:color w:val="000000" w:themeColor="text1"/>
              </w:rPr>
            </w:pPr>
            <w:hyperlink r:id="rId24" w:history="1">
              <w:r w:rsidR="00483E60" w:rsidRPr="006753C5">
                <w:rPr>
                  <w:rStyle w:val="Hyperlink"/>
                  <w:bCs/>
                </w:rPr>
                <w:t>http://water.epa.gov/scitech/swguidance/standards/criteria/aqlife/ammonia/index.cfm</w:t>
              </w:r>
            </w:hyperlink>
          </w:p>
          <w:p w14:paraId="27471EB6" w14:textId="77777777" w:rsidR="00483E60" w:rsidRDefault="00483E60" w:rsidP="00570A2A">
            <w:pPr>
              <w:ind w:left="72"/>
              <w:rPr>
                <w:bCs/>
                <w:color w:val="000000" w:themeColor="text1"/>
              </w:rPr>
            </w:pPr>
          </w:p>
          <w:p w14:paraId="27471EB7" w14:textId="77777777"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14:paraId="27471EB8" w14:textId="77777777"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14:paraId="27471EBD" w14:textId="77777777" w:rsidTr="00570A2A">
        <w:trPr>
          <w:trHeight w:val="2411"/>
        </w:trPr>
        <w:tc>
          <w:tcPr>
            <w:tcW w:w="4860" w:type="dxa"/>
            <w:tcBorders>
              <w:left w:val="double" w:sz="4" w:space="0" w:color="auto"/>
            </w:tcBorders>
          </w:tcPr>
          <w:p w14:paraId="27471EBA" w14:textId="77777777"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14:paraId="27471EBB" w14:textId="77777777"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14:paraId="27471EBC" w14:textId="77777777" w:rsidR="00483E60" w:rsidRDefault="00483E60" w:rsidP="00570A2A">
            <w:pPr>
              <w:ind w:left="0"/>
              <w:rPr>
                <w:bCs/>
                <w:color w:val="000000" w:themeColor="text1"/>
              </w:rPr>
            </w:pPr>
            <w:r w:rsidRPr="007A1CE3">
              <w:rPr>
                <w:bCs/>
                <w:color w:val="000000" w:themeColor="text1"/>
                <w:sz w:val="24"/>
                <w:szCs w:val="24"/>
              </w:rPr>
              <w:t xml:space="preserve"> </w:t>
            </w:r>
          </w:p>
        </w:tc>
      </w:tr>
      <w:tr w:rsidR="00483E60" w14:paraId="27471EC0" w14:textId="77777777" w:rsidTr="00570A2A">
        <w:trPr>
          <w:trHeight w:val="710"/>
        </w:trPr>
        <w:tc>
          <w:tcPr>
            <w:tcW w:w="4860" w:type="dxa"/>
            <w:tcBorders>
              <w:left w:val="double" w:sz="4" w:space="0" w:color="auto"/>
            </w:tcBorders>
          </w:tcPr>
          <w:p w14:paraId="27471EBE" w14:textId="77777777"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14:paraId="27471EBF" w14:textId="77777777" w:rsidR="00483E60" w:rsidRPr="000E6216" w:rsidRDefault="00BF0771" w:rsidP="00570A2A">
            <w:pPr>
              <w:pStyle w:val="Default"/>
              <w:ind w:left="0"/>
              <w:rPr>
                <w:rFonts w:asciiTheme="minorHAnsi" w:hAnsiTheme="minorHAnsi" w:cstheme="minorHAnsi"/>
                <w:b w:val="0"/>
              </w:rPr>
            </w:pPr>
            <w:hyperlink r:id="rId25" w:history="1">
              <w:r w:rsidR="00483E60" w:rsidRPr="005B4FA0">
                <w:rPr>
                  <w:rStyle w:val="Hyperlink"/>
                  <w:rFonts w:asciiTheme="minorHAnsi" w:hAnsiTheme="minorHAnsi" w:cstheme="minorHAnsi"/>
                  <w:b w:val="0"/>
                </w:rPr>
                <w:t>http://arcweb.sos.state.or.us/pages/rules/oars_300/oar_340/_340_tables/340-041-0310.pdf</w:t>
              </w:r>
            </w:hyperlink>
          </w:p>
        </w:tc>
      </w:tr>
      <w:tr w:rsidR="00483E60" w14:paraId="27471EC3" w14:textId="77777777" w:rsidTr="00570A2A">
        <w:trPr>
          <w:trHeight w:val="620"/>
        </w:trPr>
        <w:tc>
          <w:tcPr>
            <w:tcW w:w="4860" w:type="dxa"/>
            <w:tcBorders>
              <w:left w:val="double" w:sz="4" w:space="0" w:color="auto"/>
            </w:tcBorders>
          </w:tcPr>
          <w:p w14:paraId="27471EC1" w14:textId="77777777"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14:paraId="27471EC2" w14:textId="77777777" w:rsidR="00483E60" w:rsidRDefault="00BF0771"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http://arcweb.sos.state.or.us/pages/rules/oars_300/oar_340/_340_tables/340-041-0315.pdf</w:t>
              </w:r>
            </w:hyperlink>
          </w:p>
        </w:tc>
      </w:tr>
      <w:tr w:rsidR="00483E60" w14:paraId="27471EC6" w14:textId="77777777" w:rsidTr="00570A2A">
        <w:trPr>
          <w:trHeight w:val="1430"/>
        </w:trPr>
        <w:tc>
          <w:tcPr>
            <w:tcW w:w="4860" w:type="dxa"/>
            <w:tcBorders>
              <w:left w:val="double" w:sz="4" w:space="0" w:color="auto"/>
            </w:tcBorders>
          </w:tcPr>
          <w:p w14:paraId="27471EC4" w14:textId="77777777"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14:paraId="27471EC5" w14:textId="77777777" w:rsidR="00483E60" w:rsidRDefault="00BF0771"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http://www.deq.state.or.us/wq/standards/docs/EPAtechSupport.pdf</w:t>
              </w:r>
            </w:hyperlink>
          </w:p>
        </w:tc>
      </w:tr>
      <w:tr w:rsidR="00483E60" w14:paraId="27471EC9" w14:textId="77777777" w:rsidTr="00570A2A">
        <w:tc>
          <w:tcPr>
            <w:tcW w:w="4860" w:type="dxa"/>
            <w:tcBorders>
              <w:left w:val="double" w:sz="4" w:space="0" w:color="auto"/>
              <w:bottom w:val="double" w:sz="4" w:space="0" w:color="auto"/>
            </w:tcBorders>
          </w:tcPr>
          <w:p w14:paraId="27471EC7" w14:textId="77777777"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14:paraId="27471EC8" w14:textId="77777777" w:rsidR="00483E60" w:rsidRDefault="00BF0771" w:rsidP="00570A2A">
            <w:pPr>
              <w:pStyle w:val="Default"/>
              <w:ind w:left="0"/>
              <w:rPr>
                <w:rFonts w:asciiTheme="minorHAnsi" w:hAnsiTheme="minorHAnsi" w:cstheme="minorHAnsi"/>
                <w:b w:val="0"/>
              </w:rPr>
            </w:pPr>
            <w:hyperlink r:id="rId28" w:history="1">
              <w:r w:rsidR="00483E60" w:rsidRPr="00AE674B">
                <w:rPr>
                  <w:rStyle w:val="Hyperlink"/>
                  <w:rFonts w:asciiTheme="minorHAnsi" w:hAnsiTheme="minorHAnsi" w:cstheme="minorHAnsi"/>
                  <w:b w:val="0"/>
                </w:rPr>
                <w:t>http://www.deq.state.or.us/wq/standards/docs/DisapprovalLetter.pdf</w:t>
              </w:r>
            </w:hyperlink>
          </w:p>
        </w:tc>
      </w:tr>
    </w:tbl>
    <w:p w14:paraId="27471ECA" w14:textId="77777777" w:rsidR="00483E60" w:rsidRPr="000D07CA" w:rsidRDefault="00483E60" w:rsidP="00483E60">
      <w:pPr>
        <w:rPr>
          <w:bCs/>
          <w:color w:val="000000" w:themeColor="text1"/>
        </w:rPr>
      </w:pPr>
    </w:p>
    <w:p w14:paraId="27471ECB" w14:textId="77777777"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483E60" w:rsidRPr="00B15DF7" w14:paraId="27471ECE" w14:textId="77777777" w:rsidTr="00570A2A">
        <w:trPr>
          <w:trHeight w:val="613"/>
        </w:trPr>
        <w:tc>
          <w:tcPr>
            <w:tcW w:w="12240" w:type="dxa"/>
            <w:shd w:val="clear" w:color="000000" w:fill="E2DDDB" w:themeFill="text2" w:themeFillTint="33"/>
            <w:noWrap/>
            <w:vAlign w:val="bottom"/>
            <w:hideMark/>
          </w:tcPr>
          <w:p w14:paraId="27471ECC" w14:textId="77777777" w:rsidR="00483E60" w:rsidRPr="00680EF2" w:rsidRDefault="00483E60" w:rsidP="00570A2A">
            <w:pPr>
              <w:ind w:left="0"/>
              <w:rPr>
                <w:bCs/>
                <w:color w:val="32525C"/>
                <w:sz w:val="28"/>
                <w:szCs w:val="28"/>
              </w:rPr>
            </w:pPr>
          </w:p>
          <w:p w14:paraId="27471ECD" w14:textId="77777777"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14:paraId="27471ECF" w14:textId="77777777" w:rsidR="00483E60" w:rsidRDefault="00483E60" w:rsidP="00483E60">
      <w:pPr>
        <w:ind w:left="360"/>
      </w:pPr>
    </w:p>
    <w:p w14:paraId="27471ED0" w14:textId="77777777" w:rsidR="00483E60" w:rsidRDefault="00483E60" w:rsidP="00483E60">
      <w:pPr>
        <w:ind w:left="360"/>
        <w:rPr>
          <w:color w:val="702C1C" w:themeColor="accent1" w:themeShade="80"/>
        </w:rPr>
      </w:pPr>
    </w:p>
    <w:p w14:paraId="27471ED1" w14:textId="77777777"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14:paraId="27471ED2" w14:textId="77777777" w:rsidR="00483E60" w:rsidRDefault="00483E60" w:rsidP="00483E60">
      <w:pPr>
        <w:ind w:left="1080"/>
        <w:rPr>
          <w:color w:val="000000" w:themeColor="text1"/>
        </w:rPr>
      </w:pPr>
      <w:bookmarkStart w:id="1" w:name="RANGE!A226:B243"/>
      <w:bookmarkEnd w:id="1"/>
    </w:p>
    <w:p w14:paraId="27471ED3" w14:textId="77777777"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483E60" w:rsidRPr="00B15DF7" w14:paraId="27471ED6" w14:textId="7777777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27471ED4" w14:textId="77777777" w:rsidR="00483E60" w:rsidRPr="00B15DF7" w:rsidRDefault="00483E60" w:rsidP="00570A2A">
            <w:pPr>
              <w:shd w:val="clear" w:color="auto" w:fill="E2DDDB" w:themeFill="text2" w:themeFillTint="33"/>
              <w:ind w:left="1800"/>
              <w:rPr>
                <w:bCs/>
                <w:color w:val="32525C"/>
                <w:sz w:val="28"/>
                <w:szCs w:val="28"/>
              </w:rPr>
            </w:pPr>
          </w:p>
          <w:p w14:paraId="27471ED5" w14:textId="77777777"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9" w:history="1">
              <w:r w:rsidRPr="00093277">
                <w:rPr>
                  <w:rStyle w:val="Hyperlink"/>
                  <w:rFonts w:asciiTheme="minorHAnsi" w:hAnsiTheme="minorHAnsi" w:cstheme="minorHAnsi"/>
                  <w:sz w:val="22"/>
                  <w:szCs w:val="22"/>
                </w:rPr>
                <w:t>ORS 183.335 (2)(b)(E)</w:t>
              </w:r>
            </w:hyperlink>
          </w:p>
        </w:tc>
      </w:tr>
    </w:tbl>
    <w:p w14:paraId="27471ED7" w14:textId="77777777" w:rsidR="00483E60" w:rsidRDefault="00483E60" w:rsidP="00483E60"/>
    <w:p w14:paraId="27471ED8" w14:textId="77777777"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14:paraId="27471ED9" w14:textId="77777777" w:rsidR="00483E60" w:rsidRDefault="00483E60" w:rsidP="00483E60">
      <w:pPr>
        <w:rPr>
          <w:bCs/>
          <w:color w:val="000000" w:themeColor="text1"/>
          <w:highlight w:val="lightGray"/>
        </w:rPr>
      </w:pPr>
    </w:p>
    <w:p w14:paraId="27471EDA" w14:textId="77777777"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14:paraId="27471EDB" w14:textId="77777777" w:rsidR="00483E60" w:rsidRDefault="00483E60" w:rsidP="00483E60">
      <w:pPr>
        <w:rPr>
          <w:bCs/>
          <w:color w:val="000000" w:themeColor="text1"/>
        </w:rPr>
      </w:pPr>
      <w:r>
        <w:rPr>
          <w:bCs/>
          <w:color w:val="000000" w:themeColor="text1"/>
        </w:rPr>
        <w:t xml:space="preserve">Though the proposed ammonia criteria </w:t>
      </w:r>
      <w:r w:rsidR="003533F4">
        <w:rPr>
          <w:bCs/>
          <w:color w:val="000000" w:themeColor="text1"/>
        </w:rPr>
        <w:t>will</w:t>
      </w:r>
      <w:r>
        <w:rPr>
          <w:bCs/>
          <w:color w:val="000000" w:themeColor="text1"/>
        </w:rPr>
        <w:t xml:space="preserve">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14:paraId="27471EDC" w14:textId="77777777" w:rsidR="00483E60" w:rsidRPr="006805E5" w:rsidRDefault="00483E60" w:rsidP="00483E60">
      <w:pPr>
        <w:spacing w:after="200"/>
        <w:ind w:left="0"/>
        <w:rPr>
          <w:rFonts w:asciiTheme="minorHAnsi" w:hAnsiTheme="minorHAnsi" w:cstheme="minorHAnsi"/>
        </w:rPr>
      </w:pPr>
    </w:p>
    <w:p w14:paraId="27471EDD" w14:textId="77777777"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14:paraId="27471EDE" w14:textId="77777777"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14:paraId="27471EDF" w14:textId="77777777" w:rsidR="00483E60" w:rsidRDefault="00483E60" w:rsidP="00483E60">
      <w:pPr>
        <w:rPr>
          <w:bCs/>
          <w:color w:val="000000" w:themeColor="text1"/>
        </w:rPr>
      </w:pPr>
    </w:p>
    <w:p w14:paraId="27471EE0" w14:textId="77777777"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w:t>
      </w:r>
      <w:r w:rsidR="005F72B5">
        <w:rPr>
          <w:bCs/>
          <w:color w:val="000000" w:themeColor="text1"/>
        </w:rPr>
        <w:t xml:space="preserve"> concerning the pH standard</w:t>
      </w:r>
      <w:r w:rsidRPr="009A13E1">
        <w:rPr>
          <w:bCs/>
          <w:color w:val="000000" w:themeColor="text1"/>
        </w:rPr>
        <w:t xml:space="preserve"> that occurred during a previous rulemaking</w:t>
      </w:r>
      <w:r w:rsidR="005F72B5">
        <w:rPr>
          <w:bCs/>
          <w:color w:val="000000" w:themeColor="text1"/>
        </w:rPr>
        <w:t>.</w:t>
      </w:r>
      <w:r w:rsidRPr="009A13E1">
        <w:rPr>
          <w:bCs/>
          <w:color w:val="000000" w:themeColor="text1"/>
        </w:rPr>
        <w:t xml:space="preserve"> The pH standard in the current rule incorrectly identifies the river miles of only a portion of the Snake River</w:t>
      </w:r>
      <w:r w:rsidR="005F72B5">
        <w:rPr>
          <w:bCs/>
          <w:color w:val="000000" w:themeColor="text1"/>
        </w:rPr>
        <w:t xml:space="preserve">. </w:t>
      </w:r>
      <w:r>
        <w:rPr>
          <w:bCs/>
          <w:color w:val="000000" w:themeColor="text1"/>
        </w:rPr>
        <w:t xml:space="preserve"> DEQ proposes removing the errant river miles</w:t>
      </w:r>
      <w:r w:rsidR="005F72B5">
        <w:rPr>
          <w:bCs/>
          <w:color w:val="000000" w:themeColor="text1"/>
        </w:rPr>
        <w:t xml:space="preserve"> to apply the standard to the entire main stem.</w:t>
      </w:r>
    </w:p>
    <w:p w14:paraId="27471EE1" w14:textId="77777777" w:rsidR="00483E60" w:rsidRPr="00C329BD" w:rsidRDefault="00483E60" w:rsidP="00483E60">
      <w:pPr>
        <w:rPr>
          <w:bCs/>
          <w:color w:val="000000" w:themeColor="text1"/>
        </w:rPr>
      </w:pPr>
    </w:p>
    <w:p w14:paraId="27471EE2" w14:textId="77777777"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w:t>
      </w:r>
      <w:r w:rsidR="003533F4">
        <w:rPr>
          <w:bCs/>
          <w:color w:val="000000" w:themeColor="text1"/>
        </w:rPr>
        <w:t xml:space="preserve">that </w:t>
      </w:r>
      <w:r w:rsidRPr="009A13E1">
        <w:rPr>
          <w:bCs/>
          <w:color w:val="000000" w:themeColor="text1"/>
        </w:rPr>
        <w:t xml:space="preserve">are not currently effective under the Clean Water Act. </w:t>
      </w:r>
      <w:r>
        <w:rPr>
          <w:bCs/>
          <w:color w:val="000000" w:themeColor="text1"/>
        </w:rPr>
        <w:t>N</w:t>
      </w:r>
      <w:r w:rsidRPr="009A13E1">
        <w:rPr>
          <w:bCs/>
          <w:color w:val="000000" w:themeColor="text1"/>
        </w:rPr>
        <w:t xml:space="preserve">otes added to 340-041-0007 and 340-041-0028 inform the reader </w:t>
      </w:r>
      <w:r>
        <w:rPr>
          <w:bCs/>
          <w:color w:val="000000" w:themeColor="text1"/>
        </w:rPr>
        <w:t>that the sections are</w:t>
      </w:r>
      <w:r w:rsidRPr="009A13E1">
        <w:rPr>
          <w:bCs/>
          <w:color w:val="000000" w:themeColor="text1"/>
        </w:rPr>
        <w:t xml:space="preserve"> no longer effective due to EPA disapproval.</w:t>
      </w:r>
    </w:p>
    <w:p w14:paraId="27471EE3" w14:textId="77777777" w:rsidR="00483E60" w:rsidRPr="006C70FC" w:rsidRDefault="00483E60" w:rsidP="00483E60">
      <w:pPr>
        <w:pStyle w:val="ListParagraph"/>
        <w:rPr>
          <w:bCs/>
          <w:color w:val="000000" w:themeColor="text1"/>
        </w:rPr>
      </w:pPr>
    </w:p>
    <w:p w14:paraId="27471EE4" w14:textId="77777777" w:rsidR="00483E60" w:rsidRDefault="00483E60" w:rsidP="00483E60">
      <w:pPr>
        <w:ind w:left="360"/>
        <w:rPr>
          <w:rFonts w:asciiTheme="majorHAnsi" w:hAnsiTheme="majorHAnsi" w:cstheme="majorHAnsi"/>
          <w:bCs/>
          <w:color w:val="504938"/>
          <w:sz w:val="22"/>
          <w:szCs w:val="22"/>
        </w:rPr>
      </w:pPr>
      <w:r w:rsidRPr="00B15DF7">
        <w:rPr>
          <w:bCs/>
          <w:color w:val="504938"/>
        </w:rPr>
        <w:tab/>
      </w:r>
    </w:p>
    <w:p w14:paraId="27471EE5" w14:textId="77777777"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14:paraId="27471EE6" w14:textId="77777777"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14:paraId="27471EE7" w14:textId="77777777"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14:paraId="27471EE8" w14:textId="77777777"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14:paraId="27471EE9" w14:textId="77777777" w:rsidR="00483E60" w:rsidRDefault="00483E60" w:rsidP="00483E60">
      <w:pPr>
        <w:ind w:left="1080"/>
        <w:rPr>
          <w:bCs/>
          <w:color w:val="000000" w:themeColor="text1"/>
        </w:rPr>
      </w:pPr>
      <w:r>
        <w:rPr>
          <w:bCs/>
          <w:color w:val="000000" w:themeColor="text1"/>
        </w:rPr>
        <w:t xml:space="preserve">Revising the ammonia criteria </w:t>
      </w:r>
      <w:r w:rsidR="003533F4">
        <w:rPr>
          <w:bCs/>
          <w:color w:val="000000" w:themeColor="text1"/>
        </w:rPr>
        <w:t>will</w:t>
      </w:r>
      <w:r>
        <w:rPr>
          <w:bCs/>
          <w:color w:val="000000" w:themeColor="text1"/>
        </w:rPr>
        <w:t xml:space="preserve"> require DEQ to incorporate new criteria into Clean Water Act programs, such as permitting, assessing state waters and developing Total Maximum Daily Loads. This </w:t>
      </w:r>
      <w:r w:rsidR="003533F4">
        <w:rPr>
          <w:bCs/>
          <w:color w:val="000000" w:themeColor="text1"/>
        </w:rPr>
        <w:t>will</w:t>
      </w:r>
      <w:r>
        <w:rPr>
          <w:bCs/>
          <w:color w:val="000000" w:themeColor="text1"/>
        </w:rPr>
        <w:t xml:space="preserve"> take DEQ staff additional time to account for differences between the proposed criteria and the current criteria. </w:t>
      </w:r>
    </w:p>
    <w:p w14:paraId="27471EEA" w14:textId="77777777" w:rsidR="00483E60" w:rsidRDefault="00483E60" w:rsidP="00483E60">
      <w:pPr>
        <w:spacing w:after="120"/>
        <w:ind w:left="1080" w:right="14"/>
        <w:rPr>
          <w:rFonts w:asciiTheme="minorHAnsi" w:hAnsiTheme="minorHAnsi" w:cstheme="minorHAnsi"/>
          <w:b/>
          <w:bCs/>
          <w:color w:val="000000" w:themeColor="text1"/>
        </w:rPr>
      </w:pPr>
    </w:p>
    <w:p w14:paraId="27471EEB" w14:textId="77777777"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14:paraId="27471EEC" w14:textId="77777777"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14:paraId="27471EED" w14:textId="77777777"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t>
      </w:r>
      <w:r w:rsidR="003533F4">
        <w:rPr>
          <w:rFonts w:asciiTheme="minorHAnsi" w:hAnsiTheme="minorHAnsi" w:cstheme="minorHAnsi"/>
          <w:bCs/>
          <w:color w:val="000000" w:themeColor="text1"/>
        </w:rPr>
        <w:t>will</w:t>
      </w:r>
      <w:r w:rsidR="00483E60">
        <w:rPr>
          <w:rFonts w:asciiTheme="minorHAnsi" w:hAnsiTheme="minorHAnsi" w:cstheme="minorHAnsi"/>
          <w:bCs/>
          <w:color w:val="000000" w:themeColor="text1"/>
        </w:rPr>
        <w:t xml:space="preserve">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14:paraId="27471EEE" w14:textId="77777777" w:rsidR="003533F4" w:rsidRPr="003533F4" w:rsidRDefault="00483E60" w:rsidP="00483E60">
      <w:pPr>
        <w:spacing w:after="120"/>
        <w:ind w:left="2160" w:right="14"/>
        <w:rPr>
          <w:rFonts w:asciiTheme="minorHAnsi" w:hAnsiTheme="minorHAnsi" w:cstheme="minorHAnsi"/>
          <w:bCs/>
          <w:color w:val="000000" w:themeColor="text1"/>
        </w:rPr>
      </w:pPr>
      <w:r w:rsidRPr="003533F4">
        <w:rPr>
          <w:rFonts w:asciiTheme="minorHAnsi" w:hAnsiTheme="minorHAnsi" w:cstheme="minorHAnsi"/>
          <w:bCs/>
          <w:color w:val="000000" w:themeColor="text1"/>
        </w:rPr>
        <w:t>Direct Impacts</w:t>
      </w:r>
    </w:p>
    <w:p w14:paraId="27471EEF" w14:textId="77777777" w:rsidR="00483E60" w:rsidRDefault="00483E60"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ab/>
      </w:r>
      <w:r>
        <w:rPr>
          <w:rFonts w:asciiTheme="minorHAnsi" w:hAnsiTheme="minorHAnsi" w:cstheme="minorHAnsi"/>
          <w:bCs/>
          <w:color w:val="000000" w:themeColor="text1"/>
        </w:rPr>
        <w:tab/>
        <w:t xml:space="preserve">The proposed rules </w:t>
      </w:r>
      <w:r w:rsidR="003533F4">
        <w:rPr>
          <w:rFonts w:asciiTheme="minorHAnsi" w:hAnsiTheme="minorHAnsi" w:cstheme="minorHAnsi"/>
          <w:bCs/>
          <w:color w:val="000000" w:themeColor="text1"/>
        </w:rPr>
        <w:t>will</w:t>
      </w:r>
      <w:r>
        <w:rPr>
          <w:rFonts w:asciiTheme="minorHAnsi" w:hAnsiTheme="minorHAnsi" w:cstheme="minorHAnsi"/>
          <w:bCs/>
          <w:color w:val="000000" w:themeColor="text1"/>
        </w:rPr>
        <w:t xml:space="preserve"> require DEQ permitting staff:</w:t>
      </w:r>
    </w:p>
    <w:p w14:paraId="27471EF0" w14:textId="77777777"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r w:rsidR="003533F4">
        <w:rPr>
          <w:rFonts w:asciiTheme="minorHAnsi" w:hAnsiTheme="minorHAnsi" w:cstheme="minorHAnsi"/>
          <w:color w:val="000000"/>
        </w:rPr>
        <w:t>.</w:t>
      </w:r>
    </w:p>
    <w:p w14:paraId="27471EF1" w14:textId="77777777"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14:paraId="27471EF2" w14:textId="77777777"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permit renewals to account for changes in the ammonia criteria. Generally, this would be a one-time occurrence for each NPDES permit. </w:t>
      </w:r>
    </w:p>
    <w:p w14:paraId="27471EF3" w14:textId="77777777"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14:paraId="27471EF4" w14:textId="77777777" w:rsidR="007751E8" w:rsidRDefault="007751E8" w:rsidP="00483E60">
      <w:pPr>
        <w:spacing w:after="120"/>
        <w:ind w:left="2160" w:right="14"/>
        <w:rPr>
          <w:rFonts w:asciiTheme="minorHAnsi" w:hAnsiTheme="minorHAnsi" w:cstheme="minorHAnsi"/>
          <w:bCs/>
          <w:color w:val="000000" w:themeColor="text1"/>
        </w:rPr>
      </w:pPr>
    </w:p>
    <w:p w14:paraId="27471EF5" w14:textId="77777777" w:rsidR="00483E60" w:rsidRDefault="007751E8" w:rsidP="00483E60">
      <w:pPr>
        <w:spacing w:after="120"/>
        <w:ind w:left="2160" w:right="14"/>
        <w:rPr>
          <w:rFonts w:asciiTheme="minorHAnsi" w:hAnsiTheme="minorHAnsi" w:cstheme="minorHAnsi"/>
          <w:bCs/>
          <w:color w:val="000000" w:themeColor="text1"/>
        </w:rPr>
      </w:pPr>
      <w:r w:rsidRPr="003533F4">
        <w:rPr>
          <w:rFonts w:asciiTheme="minorHAnsi" w:hAnsiTheme="minorHAnsi" w:cstheme="minorHAnsi"/>
          <w:bCs/>
          <w:color w:val="000000" w:themeColor="text1"/>
        </w:rPr>
        <w:t>Indirect Impacts</w:t>
      </w:r>
      <w:r>
        <w:rPr>
          <w:rFonts w:asciiTheme="minorHAnsi" w:hAnsiTheme="minorHAnsi" w:cstheme="minorHAnsi"/>
          <w:bCs/>
          <w:color w:val="000000" w:themeColor="text1"/>
        </w:rPr>
        <w:t xml:space="preserve">—none </w:t>
      </w:r>
      <w:r w:rsidR="00483E60">
        <w:rPr>
          <w:rFonts w:asciiTheme="minorHAnsi" w:hAnsiTheme="minorHAnsi" w:cstheme="minorHAnsi"/>
          <w:bCs/>
          <w:color w:val="000000" w:themeColor="text1"/>
        </w:rPr>
        <w:t>identified.</w:t>
      </w:r>
    </w:p>
    <w:p w14:paraId="27471EF6" w14:textId="77777777" w:rsidR="00483E60" w:rsidRDefault="00483E60" w:rsidP="00483E60">
      <w:pPr>
        <w:spacing w:after="120"/>
        <w:ind w:left="1080" w:right="14"/>
        <w:rPr>
          <w:rFonts w:asciiTheme="minorHAnsi" w:hAnsiTheme="minorHAnsi" w:cstheme="minorHAnsi"/>
          <w:bCs/>
          <w:i/>
          <w:color w:val="000000" w:themeColor="text1"/>
        </w:rPr>
      </w:pPr>
    </w:p>
    <w:p w14:paraId="27471EF7" w14:textId="77777777"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14:paraId="27471EF8" w14:textId="77777777"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mp</w:t>
      </w:r>
      <w:r w:rsidR="003533F4">
        <w:rPr>
          <w:rFonts w:asciiTheme="minorHAnsi" w:hAnsiTheme="minorHAnsi" w:cstheme="minorHAnsi"/>
        </w:rPr>
        <w:t xml:space="preserve">lementing </w:t>
      </w:r>
      <w:r w:rsidRPr="002A0183">
        <w:rPr>
          <w:rFonts w:asciiTheme="minorHAnsi" w:hAnsiTheme="minorHAnsi" w:cstheme="minorHAnsi"/>
        </w:rPr>
        <w:t xml:space="preserve">the proposed water quality criteria </w:t>
      </w:r>
      <w:r w:rsidR="003533F4">
        <w:rPr>
          <w:rFonts w:asciiTheme="minorHAnsi" w:hAnsiTheme="minorHAnsi" w:cstheme="minorHAnsi"/>
        </w:rPr>
        <w:t>will</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w:t>
      </w:r>
      <w:r w:rsidR="003533F4">
        <w:rPr>
          <w:rFonts w:asciiTheme="minorHAnsi" w:hAnsiTheme="minorHAnsi" w:cstheme="minorHAnsi"/>
        </w:rPr>
        <w:t>e</w:t>
      </w:r>
      <w:r w:rsidRPr="002A0183">
        <w:rPr>
          <w:rFonts w:asciiTheme="minorHAnsi" w:hAnsiTheme="minorHAnsi" w:cstheme="minorHAnsi"/>
        </w:rPr>
        <w:t xml:space="preserve">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14:paraId="27471EF9" w14:textId="77777777" w:rsidR="00483E60" w:rsidRDefault="00483E60" w:rsidP="00483E60">
      <w:pPr>
        <w:spacing w:line="360" w:lineRule="auto"/>
        <w:ind w:left="1440"/>
        <w:rPr>
          <w:rFonts w:asciiTheme="minorHAnsi" w:hAnsiTheme="minorHAnsi" w:cstheme="minorHAnsi"/>
          <w:i/>
        </w:rPr>
      </w:pPr>
    </w:p>
    <w:p w14:paraId="27471EFA" w14:textId="77777777"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14:paraId="27471EFB" w14:textId="77777777"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14:paraId="27471EFC" w14:textId="77777777"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14:paraId="27471EFD" w14:textId="77777777"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14:paraId="27471EFE" w14:textId="77777777"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14:paraId="27471EFF" w14:textId="77777777"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14:paraId="27471F00" w14:textId="77777777" w:rsidR="00483E60" w:rsidRDefault="00483E60" w:rsidP="00483E60">
      <w:pPr>
        <w:ind w:left="1800"/>
        <w:rPr>
          <w:rFonts w:asciiTheme="minorHAnsi" w:hAnsiTheme="minorHAnsi" w:cstheme="minorHAnsi"/>
        </w:rPr>
      </w:pPr>
    </w:p>
    <w:p w14:paraId="27471F01" w14:textId="77777777"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14:paraId="27471F02" w14:textId="77777777"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14:paraId="27471F03" w14:textId="77777777" w:rsidR="00483E60" w:rsidRDefault="00483E60" w:rsidP="00483E60">
      <w:pPr>
        <w:ind w:left="2160"/>
        <w:rPr>
          <w:rFonts w:asciiTheme="minorHAnsi" w:hAnsiTheme="minorHAnsi" w:cstheme="minorHAnsi"/>
        </w:rPr>
      </w:pPr>
    </w:p>
    <w:p w14:paraId="27471F04" w14:textId="77777777" w:rsidR="00483E60" w:rsidRDefault="00483E60" w:rsidP="00483E60">
      <w:pPr>
        <w:ind w:left="2160"/>
        <w:rPr>
          <w:rFonts w:asciiTheme="minorHAnsi" w:hAnsiTheme="minorHAnsi" w:cstheme="minorHAnsi"/>
        </w:rPr>
      </w:pPr>
      <w:r>
        <w:rPr>
          <w:rFonts w:asciiTheme="minorHAnsi" w:hAnsiTheme="minorHAnsi" w:cstheme="minorHAnsi"/>
        </w:rPr>
        <w:t xml:space="preserve">It is not likely that changing the ammonia criteria </w:t>
      </w:r>
      <w:r w:rsidR="003533F4">
        <w:rPr>
          <w:rFonts w:asciiTheme="minorHAnsi" w:hAnsiTheme="minorHAnsi" w:cstheme="minorHAnsi"/>
        </w:rPr>
        <w:t>will</w:t>
      </w:r>
      <w:r>
        <w:rPr>
          <w:rFonts w:asciiTheme="minorHAnsi" w:hAnsiTheme="minorHAnsi" w:cstheme="minorHAnsi"/>
        </w:rPr>
        <w:t xml:space="preserve">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14:paraId="27471F05" w14:textId="77777777" w:rsidR="00483E60" w:rsidRDefault="00483E60" w:rsidP="00483E60">
      <w:pPr>
        <w:ind w:left="1800"/>
        <w:rPr>
          <w:rFonts w:asciiTheme="minorHAnsi" w:hAnsiTheme="minorHAnsi" w:cstheme="minorHAnsi"/>
        </w:rPr>
      </w:pPr>
    </w:p>
    <w:p w14:paraId="27471F06" w14:textId="77777777"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14:paraId="27471F07" w14:textId="77777777" w:rsidR="00483E60" w:rsidRDefault="00483E60" w:rsidP="00483E60">
      <w:pPr>
        <w:spacing w:after="120"/>
        <w:ind w:left="1440" w:right="14"/>
        <w:rPr>
          <w:rFonts w:asciiTheme="minorHAnsi" w:hAnsiTheme="minorHAnsi" w:cstheme="minorHAnsi"/>
        </w:rPr>
      </w:pPr>
    </w:p>
    <w:p w14:paraId="27471F08" w14:textId="77777777" w:rsidR="007751E8" w:rsidRDefault="007751E8" w:rsidP="00483E60">
      <w:pPr>
        <w:spacing w:after="120"/>
        <w:ind w:left="1440" w:right="14"/>
        <w:rPr>
          <w:rFonts w:asciiTheme="minorHAnsi" w:hAnsiTheme="minorHAnsi" w:cstheme="minorHAnsi"/>
        </w:rPr>
      </w:pPr>
    </w:p>
    <w:p w14:paraId="27471F09" w14:textId="77777777"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14:paraId="27471F0A" w14:textId="77777777"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t>
      </w:r>
      <w:r w:rsidR="003533F4">
        <w:rPr>
          <w:rFonts w:asciiTheme="minorHAnsi" w:hAnsiTheme="minorHAnsi" w:cstheme="minorHAnsi"/>
        </w:rPr>
        <w:t>will</w:t>
      </w:r>
      <w:r>
        <w:rPr>
          <w:rFonts w:asciiTheme="minorHAnsi" w:hAnsiTheme="minorHAnsi" w:cstheme="minorHAnsi"/>
        </w:rPr>
        <w:t xml:space="preserve">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14:paraId="27471F0B" w14:textId="77777777" w:rsidR="00483E60" w:rsidRDefault="00483E60" w:rsidP="00483E60">
      <w:pPr>
        <w:spacing w:after="120"/>
        <w:ind w:left="1800" w:right="14"/>
        <w:rPr>
          <w:rFonts w:asciiTheme="minorHAnsi" w:hAnsiTheme="minorHAnsi" w:cstheme="minorHAnsi"/>
          <w:bCs/>
          <w:color w:val="000000" w:themeColor="text1"/>
        </w:rPr>
      </w:pPr>
    </w:p>
    <w:p w14:paraId="27471F0C" w14:textId="77777777"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14:paraId="27471F0D" w14:textId="77777777"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14:paraId="27471F0E" w14:textId="77777777" w:rsidR="00483E60" w:rsidRDefault="00483E60" w:rsidP="00483E60">
      <w:pPr>
        <w:pStyle w:val="ListParagraph"/>
        <w:spacing w:after="120"/>
        <w:ind w:left="1080" w:right="14"/>
        <w:rPr>
          <w:rFonts w:asciiTheme="minorHAnsi" w:hAnsiTheme="minorHAnsi" w:cstheme="minorHAnsi"/>
          <w:bCs/>
          <w:color w:val="000000" w:themeColor="text1"/>
        </w:rPr>
      </w:pPr>
    </w:p>
    <w:p w14:paraId="27471F0F" w14:textId="77777777"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14:paraId="27471F10" w14:textId="77777777" w:rsidR="00483E60" w:rsidRDefault="00483E60" w:rsidP="00483E60">
      <w:pPr>
        <w:ind w:left="1080" w:right="14"/>
        <w:rPr>
          <w:rFonts w:asciiTheme="minorHAnsi" w:hAnsiTheme="minorHAnsi" w:cstheme="minorHAnsi"/>
          <w:color w:val="000000"/>
        </w:rPr>
      </w:pPr>
    </w:p>
    <w:p w14:paraId="27471F11" w14:textId="77777777"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14:paraId="27471F12" w14:textId="77777777" w:rsidR="00483E60" w:rsidRDefault="00483E60" w:rsidP="00483E60">
      <w:pPr>
        <w:ind w:left="1440" w:right="14"/>
        <w:rPr>
          <w:rFonts w:asciiTheme="minorHAnsi" w:hAnsiTheme="minorHAnsi" w:cstheme="minorHAnsi"/>
          <w:color w:val="000000"/>
        </w:rPr>
      </w:pPr>
    </w:p>
    <w:p w14:paraId="27471F13" w14:textId="77777777"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stings for ammonia and DEQ staff who develop the Integrated Report. B</w:t>
      </w:r>
      <w:r w:rsidRPr="0057523F">
        <w:rPr>
          <w:rFonts w:asciiTheme="minorHAnsi" w:hAnsiTheme="minorHAnsi" w:cstheme="minorHAnsi"/>
          <w:color w:val="000000"/>
        </w:rPr>
        <w:t>ased on the 2010 Integrated Report there are 15 waterbodies impaired for ammonia</w:t>
      </w:r>
      <w:r w:rsidR="002D0DB1">
        <w:rPr>
          <w:rFonts w:asciiTheme="minorHAnsi" w:hAnsiTheme="minorHAnsi" w:cstheme="minorHAnsi"/>
          <w:color w:val="000000"/>
        </w:rPr>
        <w:t>.</w:t>
      </w:r>
      <w:r>
        <w:rPr>
          <w:rFonts w:asciiTheme="minorHAnsi" w:hAnsiTheme="minorHAnsi" w:cstheme="minorHAnsi"/>
          <w:color w:val="000000"/>
        </w:rPr>
        <w:t xml:space="preserve"> </w:t>
      </w:r>
      <w:r w:rsidR="002D0DB1">
        <w:rPr>
          <w:rFonts w:asciiTheme="minorHAnsi" w:hAnsiTheme="minorHAnsi" w:cstheme="minorHAnsi"/>
          <w:color w:val="000000"/>
        </w:rPr>
        <w:t>F</w:t>
      </w:r>
      <w:r w:rsidRPr="0057523F">
        <w:rPr>
          <w:rFonts w:asciiTheme="minorHAnsi" w:hAnsiTheme="minorHAnsi" w:cstheme="minorHAnsi"/>
          <w:color w:val="000000"/>
        </w:rPr>
        <w:t>ive</w:t>
      </w:r>
      <w:r w:rsidR="002D0DB1">
        <w:rPr>
          <w:rFonts w:asciiTheme="minorHAnsi" w:hAnsiTheme="minorHAnsi" w:cstheme="minorHAnsi"/>
          <w:color w:val="000000"/>
        </w:rPr>
        <w:t xml:space="preserve"> of the waterbodies</w:t>
      </w:r>
      <w:r w:rsidRPr="0057523F">
        <w:rPr>
          <w:rFonts w:asciiTheme="minorHAnsi" w:hAnsiTheme="minorHAnsi" w:cstheme="minorHAnsi"/>
          <w:color w:val="000000"/>
        </w:rPr>
        <w:t xml:space="preser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14:paraId="27471F14" w14:textId="77777777" w:rsidR="00483E60" w:rsidRDefault="00483E60" w:rsidP="00483E60">
      <w:pPr>
        <w:ind w:left="1800" w:right="14"/>
        <w:rPr>
          <w:rFonts w:asciiTheme="minorHAnsi" w:hAnsiTheme="minorHAnsi" w:cstheme="minorHAnsi"/>
          <w:color w:val="000000"/>
        </w:rPr>
      </w:pPr>
    </w:p>
    <w:p w14:paraId="27471F15" w14:textId="77777777"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Revising state criteria for a pollutant, particularly when DEQ must calculate criteria using an equation that accounts for different pH and temperature variables requires additional staff time to incorporate those changes into the assessment.</w:t>
      </w:r>
    </w:p>
    <w:p w14:paraId="27471F16" w14:textId="77777777" w:rsidR="00483E60" w:rsidRDefault="00483E60" w:rsidP="00483E60">
      <w:pPr>
        <w:ind w:left="1440" w:right="14"/>
        <w:rPr>
          <w:rFonts w:asciiTheme="minorHAnsi" w:hAnsiTheme="minorHAnsi" w:cstheme="minorHAnsi"/>
          <w:color w:val="000000"/>
        </w:rPr>
      </w:pPr>
    </w:p>
    <w:p w14:paraId="27471F17" w14:textId="77777777"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14:paraId="27471F18" w14:textId="77777777" w:rsidR="00483E60" w:rsidRDefault="00483E60" w:rsidP="00483E60">
      <w:pPr>
        <w:ind w:left="1080"/>
        <w:rPr>
          <w:rFonts w:asciiTheme="majorHAnsi" w:hAnsiTheme="majorHAnsi" w:cstheme="majorHAnsi"/>
          <w:bCs/>
          <w:color w:val="000000" w:themeColor="text1"/>
          <w:sz w:val="22"/>
          <w:szCs w:val="22"/>
        </w:rPr>
      </w:pPr>
    </w:p>
    <w:p w14:paraId="27471F19" w14:textId="77777777"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14:paraId="27471F1A" w14:textId="77777777"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14:paraId="27471F1B" w14:textId="77777777" w:rsidR="00483E60" w:rsidRDefault="00483E60" w:rsidP="00483E60">
      <w:pPr>
        <w:ind w:left="1080"/>
        <w:rPr>
          <w:rFonts w:asciiTheme="minorHAnsi" w:hAnsiTheme="minorHAnsi" w:cstheme="minorHAnsi"/>
        </w:rPr>
      </w:pPr>
    </w:p>
    <w:p w14:paraId="27471F1C" w14:textId="77777777" w:rsidR="00483E60" w:rsidRDefault="00483E60" w:rsidP="00483E60">
      <w:pPr>
        <w:ind w:left="1440"/>
        <w:rPr>
          <w:rFonts w:asciiTheme="minorHAnsi" w:hAnsiTheme="minorHAnsi" w:cstheme="minorHAnsi"/>
        </w:rPr>
      </w:pPr>
      <w:r>
        <w:rPr>
          <w:rFonts w:asciiTheme="minorHAnsi" w:hAnsiTheme="minorHAnsi" w:cstheme="minorHAnsi"/>
        </w:rPr>
        <w:t>Direct Impacts</w:t>
      </w:r>
    </w:p>
    <w:p w14:paraId="27471F1D" w14:textId="77777777" w:rsidR="00483E60" w:rsidRDefault="00483E60" w:rsidP="00483E60">
      <w:pPr>
        <w:ind w:left="1440"/>
        <w:rPr>
          <w:rFonts w:asciiTheme="minorHAnsi" w:hAnsiTheme="minorHAnsi" w:cstheme="minorHAnsi"/>
        </w:rPr>
      </w:pPr>
    </w:p>
    <w:p w14:paraId="27471F1E" w14:textId="77777777"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003533F4">
        <w:rPr>
          <w:rFonts w:asciiTheme="minorHAnsi" w:hAnsiTheme="minorHAnsi" w:cstheme="minorHAnsi"/>
        </w:rPr>
        <w:t>will</w:t>
      </w:r>
      <w:r w:rsidRPr="005E22AD">
        <w:rPr>
          <w:rFonts w:asciiTheme="minorHAnsi" w:hAnsiTheme="minorHAnsi" w:cstheme="minorHAnsi"/>
        </w:rPr>
        <w:t xml:space="preserve">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00DC0CC7">
        <w:rPr>
          <w:rFonts w:asciiTheme="minorHAnsi" w:hAnsiTheme="minorHAnsi" w:cstheme="minorHAnsi"/>
        </w:rPr>
        <w:t xml:space="preserve"> because of the different duration exposures associated with the proposed criteria</w:t>
      </w:r>
      <w:r w:rsidRPr="005E22AD">
        <w:rPr>
          <w:rFonts w:asciiTheme="minorHAnsi" w:hAnsiTheme="minorHAnsi" w:cstheme="minorHAnsi"/>
        </w:rPr>
        <w:t>.</w:t>
      </w:r>
      <w:r w:rsidRPr="0057523F">
        <w:rPr>
          <w:rFonts w:asciiTheme="minorHAnsi" w:hAnsiTheme="minorHAnsi" w:cstheme="minorHAnsi"/>
        </w:rPr>
        <w:t xml:space="preserve"> </w:t>
      </w:r>
    </w:p>
    <w:p w14:paraId="27471F1F" w14:textId="77777777" w:rsidR="00483E60" w:rsidRDefault="00483E60" w:rsidP="00483E60">
      <w:pPr>
        <w:ind w:left="1800"/>
        <w:rPr>
          <w:rFonts w:asciiTheme="minorHAnsi" w:hAnsiTheme="minorHAnsi" w:cstheme="minorHAnsi"/>
        </w:rPr>
      </w:pPr>
    </w:p>
    <w:p w14:paraId="27471F20" w14:textId="77777777"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14:paraId="27471F21" w14:textId="77777777" w:rsidR="00483E60" w:rsidRDefault="00483E60" w:rsidP="00483E60">
      <w:pPr>
        <w:pStyle w:val="ListParagraph"/>
        <w:ind w:left="2520"/>
        <w:rPr>
          <w:rFonts w:asciiTheme="minorHAnsi" w:hAnsiTheme="minorHAnsi" w:cstheme="minorHAnsi"/>
        </w:rPr>
      </w:pPr>
    </w:p>
    <w:p w14:paraId="27471F22" w14:textId="77777777"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14:paraId="27471F23" w14:textId="77777777" w:rsidR="00483E60" w:rsidRPr="004C5782" w:rsidRDefault="00483E60" w:rsidP="00483E60">
      <w:pPr>
        <w:pStyle w:val="ListParagraph"/>
        <w:ind w:left="900"/>
        <w:rPr>
          <w:bCs/>
          <w:color w:val="000000" w:themeColor="text1"/>
        </w:rPr>
      </w:pPr>
    </w:p>
    <w:p w14:paraId="27471F24" w14:textId="77777777"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14:paraId="27471F25" w14:textId="77777777" w:rsidR="00483E60" w:rsidRPr="0082582B" w:rsidRDefault="003533F4"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DEQ anticipates adopting</w:t>
      </w:r>
      <w:r w:rsidR="00483E60">
        <w:rPr>
          <w:rFonts w:asciiTheme="minorHAnsi" w:hAnsiTheme="minorHAnsi" w:cstheme="minorHAnsi"/>
          <w:bCs/>
          <w:color w:val="000000" w:themeColor="text1"/>
        </w:rPr>
        <w:t xml:space="preserve"> </w:t>
      </w:r>
      <w:r w:rsidR="00483E60" w:rsidRPr="005E7B2A">
        <w:rPr>
          <w:rFonts w:asciiTheme="minorHAnsi" w:hAnsiTheme="minorHAnsi" w:cstheme="minorHAnsi"/>
          <w:bCs/>
          <w:color w:val="000000" w:themeColor="text1"/>
        </w:rPr>
        <w:t>the new ammonia criteria could affect municipal wastewater treatment plants.</w:t>
      </w:r>
    </w:p>
    <w:p w14:paraId="27471F26" w14:textId="77777777"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14:paraId="27471F27" w14:textId="77777777"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14:paraId="27471F28" w14:textId="77777777"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14:paraId="27471F29" w14:textId="77777777"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14:paraId="27471F2A" w14:textId="77777777"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Additional data points would better characterize the discharge, minimize statistical </w:t>
      </w:r>
      <w:r w:rsidRPr="005E7B2A">
        <w:rPr>
          <w:rFonts w:asciiTheme="minorHAnsi" w:hAnsiTheme="minorHAnsi" w:cstheme="minorHAnsi"/>
        </w:rPr>
        <w:lastRenderedPageBreak/>
        <w:t>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14:paraId="27471F2B" w14:textId="77777777" w:rsidR="00483E60" w:rsidRDefault="00483E60" w:rsidP="00483E60">
      <w:pPr>
        <w:ind w:left="1800"/>
      </w:pPr>
    </w:p>
    <w:p w14:paraId="27471F2C" w14:textId="77777777"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 xml:space="preserve">preserve the </w:t>
      </w:r>
      <w:r w:rsidR="0051131D">
        <w:rPr>
          <w:rFonts w:asciiTheme="minorHAnsi" w:hAnsiTheme="minorHAnsi" w:cstheme="minorHAnsi"/>
        </w:rPr>
        <w:t xml:space="preserve">previous, </w:t>
      </w:r>
      <w:r w:rsidRPr="00637299">
        <w:rPr>
          <w:rFonts w:asciiTheme="minorHAnsi" w:hAnsiTheme="minorHAnsi" w:cstheme="minorHAnsi"/>
        </w:rPr>
        <w:t>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w:t>
      </w:r>
      <w:r w:rsidR="0051131D">
        <w:rPr>
          <w:rFonts w:asciiTheme="minorHAnsi" w:hAnsiTheme="minorHAnsi" w:cstheme="minorHAnsi"/>
        </w:rPr>
        <w:t xml:space="preserve">the antidegradation requirements in </w:t>
      </w:r>
      <w:r w:rsidRPr="00637299">
        <w:rPr>
          <w:rFonts w:asciiTheme="minorHAnsi" w:hAnsiTheme="minorHAnsi" w:cstheme="minorHAnsi"/>
        </w:rPr>
        <w:t xml:space="preserve">Clean Water Act 303(d)(4) or </w:t>
      </w:r>
      <w:r>
        <w:rPr>
          <w:rFonts w:asciiTheme="minorHAnsi" w:hAnsiTheme="minorHAnsi" w:cstheme="minorHAnsi"/>
        </w:rPr>
        <w:t xml:space="preserve">it meets </w:t>
      </w:r>
      <w:r w:rsidRPr="00637299">
        <w:rPr>
          <w:rFonts w:asciiTheme="minorHAnsi" w:hAnsiTheme="minorHAnsi" w:cstheme="minorHAnsi"/>
        </w:rPr>
        <w:t>one of the exceptions in CWA 402(o)(2).</w:t>
      </w:r>
    </w:p>
    <w:p w14:paraId="27471F2D" w14:textId="77777777" w:rsidR="00483E60" w:rsidRPr="002E3A4D" w:rsidRDefault="00483E60" w:rsidP="00483E60">
      <w:pPr>
        <w:pStyle w:val="ListParagraph"/>
        <w:autoSpaceDE w:val="0"/>
        <w:autoSpaceDN w:val="0"/>
        <w:adjustRightInd w:val="0"/>
        <w:ind w:left="2160"/>
        <w:rPr>
          <w:rFonts w:asciiTheme="minorHAnsi" w:hAnsiTheme="minorHAnsi" w:cstheme="minorHAnsi"/>
          <w:b/>
          <w:bCs/>
        </w:rPr>
      </w:pPr>
    </w:p>
    <w:p w14:paraId="27471F2E" w14:textId="77777777"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14:paraId="27471F2F" w14:textId="77777777" w:rsidR="00483E60" w:rsidRPr="00642D8B" w:rsidRDefault="00483E60" w:rsidP="00483E60">
      <w:pPr>
        <w:pStyle w:val="ListParagraph"/>
        <w:rPr>
          <w:rFonts w:asciiTheme="minorHAnsi" w:hAnsiTheme="minorHAnsi" w:cstheme="minorHAnsi"/>
          <w:b/>
          <w:bCs/>
        </w:rPr>
      </w:pPr>
    </w:p>
    <w:p w14:paraId="27471F30" w14:textId="77777777"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 xml:space="preserve">The proposed rules </w:t>
      </w:r>
      <w:r w:rsidRPr="004F0A23">
        <w:rPr>
          <w:rFonts w:asciiTheme="minorHAnsi" w:hAnsiTheme="minorHAnsi" w:cstheme="minorHAnsi"/>
          <w:bCs/>
        </w:rPr>
        <w:t>could</w:t>
      </w:r>
      <w:r>
        <w:rPr>
          <w:rFonts w:asciiTheme="minorHAnsi" w:hAnsiTheme="minorHAnsi" w:cstheme="minorHAnsi"/>
          <w:bCs/>
        </w:rPr>
        <w:t xml:space="preserve">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14:paraId="27471F31" w14:textId="77777777" w:rsidR="00483E60" w:rsidRPr="00637299" w:rsidRDefault="00483E60" w:rsidP="00483E60">
      <w:pPr>
        <w:autoSpaceDE w:val="0"/>
        <w:autoSpaceDN w:val="0"/>
        <w:adjustRightInd w:val="0"/>
        <w:ind w:left="0"/>
        <w:rPr>
          <w:rFonts w:asciiTheme="minorHAnsi" w:hAnsiTheme="minorHAnsi" w:cstheme="minorHAnsi"/>
          <w:b/>
          <w:bCs/>
        </w:rPr>
      </w:pPr>
    </w:p>
    <w:p w14:paraId="27471F32" w14:textId="77777777"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w:t>
      </w:r>
      <w:r w:rsidRPr="004F0A23">
        <w:rPr>
          <w:rFonts w:asciiTheme="minorHAnsi" w:hAnsiTheme="minorHAnsi" w:cstheme="minorHAnsi"/>
          <w:color w:val="000000"/>
        </w:rPr>
        <w:t>could</w:t>
      </w:r>
      <w:r>
        <w:rPr>
          <w:rFonts w:asciiTheme="minorHAnsi" w:hAnsiTheme="minorHAnsi" w:cstheme="minorHAnsi"/>
          <w:color w:val="000000"/>
        </w:rPr>
        <w:t xml:space="preserve">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14:paraId="27471F33" w14:textId="77777777" w:rsidR="00483E60" w:rsidRPr="006C70FC" w:rsidRDefault="00483E60" w:rsidP="00483E60">
      <w:pPr>
        <w:pStyle w:val="ListParagraph"/>
        <w:autoSpaceDE w:val="0"/>
        <w:autoSpaceDN w:val="0"/>
        <w:adjustRightInd w:val="0"/>
        <w:ind w:left="2160"/>
        <w:rPr>
          <w:rFonts w:asciiTheme="minorHAnsi" w:hAnsiTheme="minorHAnsi" w:cstheme="minorHAnsi"/>
          <w:b/>
          <w:bCs/>
        </w:rPr>
      </w:pPr>
    </w:p>
    <w:p w14:paraId="27471F34" w14:textId="77777777"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14:paraId="27471F35" w14:textId="77777777" w:rsidR="00483E60" w:rsidRPr="00A50C33" w:rsidRDefault="00483E60" w:rsidP="00483E60">
      <w:pPr>
        <w:pStyle w:val="ListParagraph"/>
        <w:rPr>
          <w:rFonts w:asciiTheme="minorHAnsi" w:hAnsiTheme="minorHAnsi" w:cstheme="minorHAnsi"/>
          <w:b/>
          <w:bCs/>
        </w:rPr>
      </w:pPr>
    </w:p>
    <w:p w14:paraId="27471F36" w14:textId="77777777" w:rsidR="00483E60" w:rsidRDefault="00483E60" w:rsidP="00483E60">
      <w:pPr>
        <w:spacing w:after="120"/>
        <w:ind w:left="0" w:right="14"/>
        <w:rPr>
          <w:rFonts w:asciiTheme="minorHAnsi" w:hAnsiTheme="minorHAnsi" w:cstheme="minorHAnsi"/>
          <w:bCs/>
          <w:color w:val="000000" w:themeColor="text1"/>
        </w:rPr>
      </w:pPr>
    </w:p>
    <w:p w14:paraId="27471F37" w14:textId="77777777"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14:paraId="27471F38" w14:textId="77777777"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14:paraId="27471F39" w14:textId="77777777" w:rsidR="00483E60" w:rsidRDefault="00483E60" w:rsidP="00483E60">
      <w:pPr>
        <w:ind w:left="900"/>
        <w:rPr>
          <w:bCs/>
          <w:color w:val="000000" w:themeColor="text1"/>
        </w:rPr>
      </w:pPr>
    </w:p>
    <w:p w14:paraId="27471F3A" w14:textId="77777777" w:rsidR="00483E60" w:rsidRDefault="00483E60" w:rsidP="00483E60">
      <w:pPr>
        <w:ind w:left="900"/>
        <w:rPr>
          <w:bCs/>
          <w:color w:val="000000" w:themeColor="text1"/>
        </w:rPr>
      </w:pPr>
    </w:p>
    <w:p w14:paraId="27471F3B" w14:textId="77777777" w:rsidR="00483E60" w:rsidRPr="004C5782" w:rsidRDefault="00483E60" w:rsidP="00483E60">
      <w:pPr>
        <w:ind w:left="900"/>
        <w:rPr>
          <w:bCs/>
          <w:color w:val="000000" w:themeColor="text1"/>
        </w:rPr>
      </w:pPr>
    </w:p>
    <w:p w14:paraId="27471F3C" w14:textId="77777777"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14:paraId="27471F3D" w14:textId="77777777"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14:paraId="27471F3E" w14:textId="77777777" w:rsidR="00483E60" w:rsidRPr="002D7D94" w:rsidRDefault="00483E60" w:rsidP="00483E60">
      <w:pPr>
        <w:spacing w:after="120"/>
        <w:ind w:left="1080" w:right="14"/>
        <w:rPr>
          <w:rFonts w:asciiTheme="minorHAnsi" w:hAnsiTheme="minorHAnsi" w:cstheme="minorHAnsi"/>
          <w:bCs/>
          <w:color w:val="000000" w:themeColor="text1"/>
        </w:rPr>
      </w:pPr>
    </w:p>
    <w:p w14:paraId="27471F3F" w14:textId="77777777"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14:paraId="27471F40" w14:textId="77777777"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14:paraId="27471F41" w14:textId="77777777"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14:paraId="27471F42" w14:textId="77777777" w:rsidR="00483E60" w:rsidRDefault="00483E60" w:rsidP="00483E60">
      <w:pPr>
        <w:spacing w:after="120"/>
        <w:ind w:left="1080" w:right="14"/>
        <w:rPr>
          <w:rFonts w:asciiTheme="minorHAnsi" w:hAnsiTheme="minorHAnsi" w:cstheme="minorHAnsi"/>
          <w:bCs/>
          <w:color w:val="000000" w:themeColor="text1"/>
        </w:rPr>
      </w:pPr>
    </w:p>
    <w:p w14:paraId="27471F43" w14:textId="77777777"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14:paraId="27471F44" w14:textId="77777777"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14:paraId="27471F45" w14:textId="77777777" w:rsidR="00483E60" w:rsidRDefault="00483E60" w:rsidP="00483E60">
      <w:pPr>
        <w:ind w:left="1440"/>
        <w:rPr>
          <w:rFonts w:asciiTheme="minorHAnsi" w:hAnsiTheme="minorHAnsi" w:cstheme="minorHAnsi"/>
        </w:rPr>
      </w:pPr>
    </w:p>
    <w:p w14:paraId="27471F46" w14:textId="77777777"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14:paraId="27471F47" w14:textId="77777777" w:rsidR="00483E60" w:rsidRDefault="00483E60" w:rsidP="00483E60">
      <w:pPr>
        <w:spacing w:after="120"/>
        <w:ind w:left="1080" w:right="14"/>
        <w:rPr>
          <w:rFonts w:asciiTheme="minorHAnsi" w:hAnsiTheme="minorHAnsi" w:cstheme="minorHAnsi"/>
          <w:bCs/>
          <w:color w:val="000000" w:themeColor="text1"/>
        </w:rPr>
      </w:pPr>
    </w:p>
    <w:p w14:paraId="27471F48" w14:textId="77777777" w:rsidR="00483E60" w:rsidRDefault="00483E60" w:rsidP="00483E60">
      <w:pPr>
        <w:ind w:left="990"/>
        <w:rPr>
          <w:bCs/>
          <w:color w:val="000000" w:themeColor="text1"/>
        </w:rPr>
      </w:pPr>
    </w:p>
    <w:p w14:paraId="27471F49" w14:textId="77777777"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0" w:history="1">
        <w:r w:rsidRPr="00D938F8">
          <w:rPr>
            <w:rStyle w:val="Hyperlink"/>
            <w:rFonts w:asciiTheme="majorHAnsi" w:hAnsiTheme="majorHAnsi" w:cstheme="majorHAnsi"/>
            <w:bCs/>
            <w:sz w:val="20"/>
            <w:szCs w:val="20"/>
          </w:rPr>
          <w:t>ORS 183.336</w:t>
        </w:r>
      </w:hyperlink>
    </w:p>
    <w:p w14:paraId="27471F4A" w14:textId="77777777"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483E60" w:rsidRPr="00B15DF7" w14:paraId="27471F52" w14:textId="77777777" w:rsidTr="00570A2A">
        <w:tc>
          <w:tcPr>
            <w:tcW w:w="4140" w:type="dxa"/>
          </w:tcPr>
          <w:p w14:paraId="27471F4B" w14:textId="77777777"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14:paraId="27471F4C" w14:textId="77777777"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14:paraId="27471F4D" w14:textId="77777777"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14:paraId="27471F4E" w14:textId="77777777" w:rsidR="00483E60" w:rsidRDefault="00483E60" w:rsidP="00570A2A">
            <w:pPr>
              <w:autoSpaceDE w:val="0"/>
              <w:autoSpaceDN w:val="0"/>
              <w:adjustRightInd w:val="0"/>
              <w:ind w:left="342"/>
              <w:rPr>
                <w:bCs/>
                <w:color w:val="702C1C" w:themeColor="accent1" w:themeShade="80"/>
                <w:sz w:val="24"/>
                <w:szCs w:val="24"/>
              </w:rPr>
            </w:pPr>
          </w:p>
          <w:p w14:paraId="27471F4F" w14:textId="77777777"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14:paraId="27471F50" w14:textId="77777777"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w:t>
            </w:r>
            <w:r>
              <w:rPr>
                <w:rFonts w:asciiTheme="minorHAnsi" w:hAnsiTheme="minorHAnsi" w:cstheme="minorHAnsi"/>
                <w:sz w:val="24"/>
                <w:szCs w:val="24"/>
              </w:rPr>
              <w:lastRenderedPageBreak/>
              <w:t>above</w:t>
            </w:r>
            <w:r w:rsidRPr="00C73AF8">
              <w:rPr>
                <w:rFonts w:asciiTheme="minorHAnsi" w:hAnsiTheme="minorHAnsi" w:cstheme="minorHAnsi"/>
                <w:sz w:val="24"/>
                <w:szCs w:val="24"/>
              </w:rPr>
              <w:t>. DEQ does not track how many of the approximately 770 facilities holding industrial stormwater permits are small businesses.</w:t>
            </w:r>
          </w:p>
          <w:p w14:paraId="27471F51" w14:textId="77777777" w:rsidR="00483E60" w:rsidRPr="00A66C7E" w:rsidRDefault="00483E60" w:rsidP="00570A2A">
            <w:pPr>
              <w:ind w:left="360"/>
              <w:rPr>
                <w:color w:val="000000" w:themeColor="text1"/>
                <w:sz w:val="24"/>
                <w:szCs w:val="24"/>
              </w:rPr>
            </w:pPr>
          </w:p>
        </w:tc>
      </w:tr>
      <w:tr w:rsidR="00483E60" w:rsidRPr="00B15DF7" w14:paraId="27471F57" w14:textId="77777777" w:rsidTr="00570A2A">
        <w:tc>
          <w:tcPr>
            <w:tcW w:w="4140" w:type="dxa"/>
          </w:tcPr>
          <w:p w14:paraId="27471F53" w14:textId="77777777"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14:paraId="27471F54" w14:textId="77777777" w:rsidR="00483E60" w:rsidRPr="00A66C7E" w:rsidRDefault="00483E60" w:rsidP="00570A2A">
            <w:pPr>
              <w:ind w:left="0"/>
              <w:rPr>
                <w:color w:val="000000" w:themeColor="text1"/>
                <w:sz w:val="24"/>
                <w:szCs w:val="24"/>
              </w:rPr>
            </w:pPr>
          </w:p>
        </w:tc>
        <w:tc>
          <w:tcPr>
            <w:tcW w:w="5310" w:type="dxa"/>
          </w:tcPr>
          <w:p w14:paraId="27471F55" w14:textId="77777777"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14:paraId="27471F56" w14:textId="77777777" w:rsidR="00483E60" w:rsidRPr="00A66C7E" w:rsidRDefault="00483E60" w:rsidP="00570A2A">
            <w:pPr>
              <w:ind w:left="360"/>
              <w:rPr>
                <w:color w:val="000000" w:themeColor="text1"/>
                <w:sz w:val="24"/>
                <w:szCs w:val="24"/>
              </w:rPr>
            </w:pPr>
          </w:p>
        </w:tc>
      </w:tr>
      <w:tr w:rsidR="00483E60" w:rsidRPr="00B15DF7" w14:paraId="27471F5C" w14:textId="77777777" w:rsidTr="00570A2A">
        <w:tc>
          <w:tcPr>
            <w:tcW w:w="4140" w:type="dxa"/>
          </w:tcPr>
          <w:p w14:paraId="27471F58" w14:textId="77777777"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14:paraId="27471F59" w14:textId="77777777" w:rsidR="00483E60" w:rsidRPr="00A66C7E" w:rsidRDefault="00483E60" w:rsidP="00570A2A">
            <w:pPr>
              <w:ind w:left="0"/>
              <w:rPr>
                <w:color w:val="000000" w:themeColor="text1"/>
                <w:sz w:val="24"/>
                <w:szCs w:val="24"/>
              </w:rPr>
            </w:pPr>
          </w:p>
        </w:tc>
        <w:tc>
          <w:tcPr>
            <w:tcW w:w="5310" w:type="dxa"/>
          </w:tcPr>
          <w:p w14:paraId="27471F5A" w14:textId="77777777"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14:paraId="27471F5B" w14:textId="77777777" w:rsidR="00483E60" w:rsidRPr="00A66C7E" w:rsidRDefault="00483E60" w:rsidP="00570A2A">
            <w:pPr>
              <w:ind w:left="360"/>
              <w:rPr>
                <w:color w:val="000000" w:themeColor="text1"/>
                <w:sz w:val="24"/>
                <w:szCs w:val="24"/>
              </w:rPr>
            </w:pPr>
          </w:p>
        </w:tc>
      </w:tr>
      <w:tr w:rsidR="00483E60" w:rsidRPr="00B15DF7" w14:paraId="27471F61" w14:textId="77777777" w:rsidTr="00570A2A">
        <w:tc>
          <w:tcPr>
            <w:tcW w:w="4140" w:type="dxa"/>
          </w:tcPr>
          <w:p w14:paraId="27471F5D" w14:textId="77777777"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14:paraId="27471F5E" w14:textId="77777777" w:rsidR="00483E60" w:rsidRPr="00A66C7E" w:rsidRDefault="00483E60" w:rsidP="00570A2A">
            <w:pPr>
              <w:ind w:left="0"/>
              <w:rPr>
                <w:color w:val="000000" w:themeColor="text1"/>
                <w:sz w:val="24"/>
                <w:szCs w:val="24"/>
              </w:rPr>
            </w:pPr>
          </w:p>
        </w:tc>
        <w:tc>
          <w:tcPr>
            <w:tcW w:w="5310" w:type="dxa"/>
          </w:tcPr>
          <w:p w14:paraId="27471F5F" w14:textId="77777777"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14:paraId="27471F60" w14:textId="77777777" w:rsidR="00483E60" w:rsidRPr="00A66C7E" w:rsidRDefault="00483E60" w:rsidP="00570A2A">
            <w:pPr>
              <w:ind w:left="360"/>
              <w:rPr>
                <w:color w:val="000000" w:themeColor="text1"/>
                <w:sz w:val="24"/>
                <w:szCs w:val="24"/>
              </w:rPr>
            </w:pPr>
          </w:p>
        </w:tc>
      </w:tr>
    </w:tbl>
    <w:p w14:paraId="27471F62" w14:textId="77777777" w:rsidR="00483E60" w:rsidRDefault="00483E60" w:rsidP="00483E60">
      <w:pPr>
        <w:spacing w:after="120"/>
        <w:ind w:left="360"/>
        <w:rPr>
          <w:rFonts w:asciiTheme="majorHAnsi" w:hAnsiTheme="majorHAnsi" w:cstheme="majorHAnsi"/>
          <w:bCs/>
          <w:color w:val="000000" w:themeColor="text1"/>
          <w:sz w:val="22"/>
          <w:szCs w:val="22"/>
        </w:rPr>
      </w:pPr>
    </w:p>
    <w:p w14:paraId="27471F63"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14:paraId="27471F64" w14:textId="77777777" w:rsidR="00483E60" w:rsidRDefault="00483E60" w:rsidP="00483E60">
      <w:pPr>
        <w:rPr>
          <w:rFonts w:asciiTheme="minorHAnsi" w:hAnsiTheme="minorHAnsi" w:cstheme="minorHAnsi"/>
        </w:rPr>
      </w:pPr>
    </w:p>
    <w:tbl>
      <w:tblPr>
        <w:tblStyle w:val="TableGrid"/>
        <w:tblW w:w="8820" w:type="dxa"/>
        <w:tblInd w:w="918" w:type="dxa"/>
        <w:tblLayout w:type="fixed"/>
        <w:tblLook w:val="04A0" w:firstRow="1" w:lastRow="0" w:firstColumn="1" w:lastColumn="0" w:noHBand="0" w:noVBand="1"/>
      </w:tblPr>
      <w:tblGrid>
        <w:gridCol w:w="3870"/>
        <w:gridCol w:w="4950"/>
      </w:tblGrid>
      <w:tr w:rsidR="00483E60" w14:paraId="27471F67" w14:textId="77777777" w:rsidTr="00570A2A">
        <w:tc>
          <w:tcPr>
            <w:tcW w:w="3870" w:type="dxa"/>
            <w:tcBorders>
              <w:top w:val="double" w:sz="4" w:space="0" w:color="auto"/>
              <w:left w:val="double" w:sz="4" w:space="0" w:color="auto"/>
            </w:tcBorders>
            <w:shd w:val="clear" w:color="auto" w:fill="008272"/>
          </w:tcPr>
          <w:p w14:paraId="27471F65" w14:textId="77777777"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14:paraId="27471F66" w14:textId="77777777"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14:paraId="27471F6D" w14:textId="77777777" w:rsidTr="00570A2A">
        <w:trPr>
          <w:trHeight w:val="953"/>
        </w:trPr>
        <w:tc>
          <w:tcPr>
            <w:tcW w:w="3870" w:type="dxa"/>
            <w:tcBorders>
              <w:left w:val="double" w:sz="4" w:space="0" w:color="auto"/>
            </w:tcBorders>
          </w:tcPr>
          <w:p w14:paraId="27471F68" w14:textId="77777777"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14:paraId="27471F69" w14:textId="77777777"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14:paraId="27471F6A" w14:textId="77777777"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14:paraId="27471F6B" w14:textId="77777777"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14:paraId="27471F6C" w14:textId="77777777"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14:paraId="27471F76" w14:textId="77777777" w:rsidTr="00570A2A">
        <w:trPr>
          <w:trHeight w:val="1357"/>
        </w:trPr>
        <w:tc>
          <w:tcPr>
            <w:tcW w:w="3870" w:type="dxa"/>
            <w:tcBorders>
              <w:left w:val="double" w:sz="4" w:space="0" w:color="auto"/>
              <w:bottom w:val="double" w:sz="4" w:space="0" w:color="auto"/>
            </w:tcBorders>
          </w:tcPr>
          <w:p w14:paraId="27471F6E" w14:textId="77777777" w:rsidR="00483E60" w:rsidRPr="008E7E2D" w:rsidRDefault="00483E60" w:rsidP="00570A2A">
            <w:pPr>
              <w:autoSpaceDE w:val="0"/>
              <w:autoSpaceDN w:val="0"/>
              <w:adjustRightInd w:val="0"/>
              <w:ind w:left="0"/>
              <w:rPr>
                <w:sz w:val="24"/>
                <w:szCs w:val="24"/>
              </w:rPr>
            </w:pPr>
          </w:p>
          <w:p w14:paraId="27471F6F" w14:textId="77777777"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14:paraId="27471F70" w14:textId="77777777" w:rsidR="00483E60" w:rsidRPr="008E7E2D" w:rsidRDefault="00483E60" w:rsidP="00570A2A">
            <w:pPr>
              <w:ind w:left="0"/>
              <w:rPr>
                <w:sz w:val="24"/>
                <w:szCs w:val="24"/>
              </w:rPr>
            </w:pPr>
            <w:r w:rsidRPr="008E7E2D">
              <w:rPr>
                <w:sz w:val="24"/>
                <w:szCs w:val="24"/>
              </w:rPr>
              <w:t>4th quarter 2013 data</w:t>
            </w:r>
          </w:p>
          <w:p w14:paraId="27471F71" w14:textId="77777777"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14:paraId="27471F72" w14:textId="77777777" w:rsidR="00483E60" w:rsidRPr="008E7E2D" w:rsidRDefault="00483E60" w:rsidP="00570A2A">
            <w:pPr>
              <w:ind w:left="0"/>
              <w:rPr>
                <w:sz w:val="24"/>
                <w:szCs w:val="24"/>
              </w:rPr>
            </w:pPr>
            <w:r w:rsidRPr="008E7E2D">
              <w:rPr>
                <w:bCs/>
                <w:color w:val="000000" w:themeColor="text1"/>
                <w:sz w:val="24"/>
                <w:szCs w:val="24"/>
              </w:rPr>
              <w:t xml:space="preserve"> </w:t>
            </w:r>
          </w:p>
          <w:p w14:paraId="27471F73" w14:textId="77777777" w:rsidR="00483E60" w:rsidRPr="008E7E2D" w:rsidRDefault="00483E60" w:rsidP="00570A2A">
            <w:pPr>
              <w:autoSpaceDE w:val="0"/>
              <w:autoSpaceDN w:val="0"/>
              <w:adjustRightInd w:val="0"/>
              <w:ind w:left="0"/>
              <w:rPr>
                <w:sz w:val="24"/>
                <w:szCs w:val="24"/>
              </w:rPr>
            </w:pPr>
            <w:r w:rsidRPr="005E7B2A">
              <w:rPr>
                <w:sz w:val="24"/>
                <w:szCs w:val="24"/>
              </w:rPr>
              <w:t>Employment Department</w:t>
            </w:r>
          </w:p>
          <w:p w14:paraId="27471F74" w14:textId="77777777" w:rsidR="00483E60" w:rsidRPr="008E7E2D" w:rsidRDefault="00483E60" w:rsidP="00570A2A">
            <w:pPr>
              <w:autoSpaceDE w:val="0"/>
              <w:autoSpaceDN w:val="0"/>
              <w:adjustRightInd w:val="0"/>
              <w:ind w:left="0"/>
              <w:rPr>
                <w:sz w:val="24"/>
                <w:szCs w:val="24"/>
              </w:rPr>
            </w:pPr>
            <w:r w:rsidRPr="005E7B2A">
              <w:rPr>
                <w:sz w:val="24"/>
                <w:szCs w:val="24"/>
              </w:rPr>
              <w:t>875 Union Street NE</w:t>
            </w:r>
          </w:p>
          <w:p w14:paraId="27471F75" w14:textId="77777777"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14:paraId="27471F77" w14:textId="77777777"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14:paraId="27471F78" w14:textId="77777777" w:rsidR="00483E60" w:rsidRDefault="00483E60" w:rsidP="00483E60">
      <w:pPr>
        <w:ind w:left="360" w:right="14"/>
        <w:rPr>
          <w:rFonts w:asciiTheme="minorHAnsi" w:hAnsiTheme="minorHAnsi" w:cstheme="minorHAnsi"/>
          <w:bCs/>
          <w:color w:val="0070C0"/>
        </w:rPr>
      </w:pPr>
    </w:p>
    <w:p w14:paraId="27471F79" w14:textId="77777777"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Advisory committee</w:t>
      </w:r>
    </w:p>
    <w:p w14:paraId="27471F7A" w14:textId="77777777" w:rsidR="00483E60" w:rsidRDefault="00483E60" w:rsidP="00483E60">
      <w:pPr>
        <w:ind w:left="360"/>
        <w:rPr>
          <w:rFonts w:asciiTheme="minorHAnsi" w:hAnsiTheme="minorHAnsi" w:cstheme="minorHAnsi"/>
          <w:b/>
          <w:iCs/>
          <w:color w:val="702C1C" w:themeColor="accent1" w:themeShade="80"/>
        </w:rPr>
      </w:pPr>
    </w:p>
    <w:p w14:paraId="27471F7B" w14:textId="77777777"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14:paraId="27471F7C" w14:textId="77777777" w:rsidR="00483E60" w:rsidRDefault="00483E60" w:rsidP="00483E60">
      <w:pPr>
        <w:rPr>
          <w:rFonts w:asciiTheme="minorHAnsi" w:hAnsiTheme="minorHAnsi" w:cstheme="minorHAnsi"/>
          <w:iCs/>
          <w:color w:val="415B5C" w:themeColor="accent3" w:themeShade="80"/>
        </w:rPr>
      </w:pPr>
    </w:p>
    <w:p w14:paraId="27471F7D" w14:textId="77777777" w:rsidR="00483E60" w:rsidRPr="00B15DF7" w:rsidRDefault="00483E60" w:rsidP="00483E60">
      <w:pPr>
        <w:ind w:left="360"/>
      </w:pPr>
    </w:p>
    <w:p w14:paraId="27471F7E" w14:textId="77777777"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14:paraId="27471F7F" w14:textId="77777777" w:rsidR="00483E60" w:rsidRDefault="00483E60" w:rsidP="00483E60">
      <w:pPr>
        <w:rPr>
          <w:bCs/>
        </w:rPr>
      </w:pPr>
      <w:r>
        <w:rPr>
          <w:bCs/>
          <w:color w:val="000000" w:themeColor="text1"/>
        </w:rPr>
        <w:t xml:space="preserve">To comply with </w:t>
      </w:r>
      <w:hyperlink r:id="rId31"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14:paraId="27471F80" w14:textId="77777777" w:rsidR="00483E60" w:rsidRPr="00AA26D5" w:rsidRDefault="00483E60" w:rsidP="00483E60">
      <w:pPr>
        <w:rPr>
          <w:rFonts w:asciiTheme="minorHAnsi" w:hAnsiTheme="minorHAnsi" w:cstheme="minorHAnsi"/>
          <w:b/>
          <w:iCs/>
          <w:color w:val="70481C" w:themeColor="accent6" w:themeShade="80"/>
        </w:rPr>
      </w:pPr>
    </w:p>
    <w:p w14:paraId="27471F81" w14:textId="77777777" w:rsidR="00483E60" w:rsidRDefault="00483E60" w:rsidP="00483E60"/>
    <w:p w14:paraId="27471F82" w14:textId="77777777" w:rsidR="00483E60" w:rsidRPr="00AA26D5" w:rsidRDefault="00483E60" w:rsidP="00483E60">
      <w:pPr>
        <w:rPr>
          <w:rFonts w:asciiTheme="minorHAnsi" w:hAnsiTheme="minorHAnsi" w:cstheme="minorHAnsi"/>
          <w:b/>
          <w:iCs/>
          <w:color w:val="70481C" w:themeColor="accent6" w:themeShade="80"/>
        </w:rPr>
      </w:pPr>
    </w:p>
    <w:p w14:paraId="27471F83" w14:textId="77777777" w:rsidR="00483E60" w:rsidRDefault="00483E60" w:rsidP="00483E60">
      <w:pPr>
        <w:rPr>
          <w:color w:val="000000" w:themeColor="text1"/>
        </w:rPr>
      </w:pPr>
    </w:p>
    <w:p w14:paraId="27471F84" w14:textId="77777777"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483E60" w:rsidRPr="00B15DF7" w14:paraId="27471F87" w14:textId="7777777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27471F85" w14:textId="77777777" w:rsidR="00483E60" w:rsidRPr="00B15DF7" w:rsidRDefault="00483E60" w:rsidP="00570A2A">
            <w:pPr>
              <w:ind w:left="0"/>
              <w:rPr>
                <w:bCs/>
                <w:color w:val="32525C"/>
                <w:sz w:val="28"/>
                <w:szCs w:val="28"/>
              </w:rPr>
            </w:pPr>
          </w:p>
          <w:p w14:paraId="27471F86" w14:textId="77777777"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2" w:history="1"/>
          </w:p>
        </w:tc>
      </w:tr>
    </w:tbl>
    <w:p w14:paraId="27471F88" w14:textId="77777777" w:rsidR="00483E60" w:rsidRPr="00362542" w:rsidRDefault="00483E60" w:rsidP="00483E60">
      <w:pPr>
        <w:rPr>
          <w:color w:val="702C1C" w:themeColor="accent1" w:themeShade="80"/>
        </w:rPr>
      </w:pPr>
    </w:p>
    <w:p w14:paraId="27471F89" w14:textId="77777777"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3" w:history="1">
        <w:r w:rsidRPr="00E02299">
          <w:rPr>
            <w:rStyle w:val="Hyperlink"/>
            <w:iCs/>
            <w:sz w:val="22"/>
            <w:szCs w:val="22"/>
          </w:rPr>
          <w:t>ORS 183.332</w:t>
        </w:r>
      </w:hyperlink>
    </w:p>
    <w:p w14:paraId="27471F8A" w14:textId="77777777" w:rsidR="00483E60" w:rsidRPr="00225AE8" w:rsidRDefault="00483E60" w:rsidP="00483E60">
      <w:pPr>
        <w:jc w:val="center"/>
        <w:rPr>
          <w:color w:val="685C54" w:themeColor="accent4" w:themeShade="BF"/>
          <w:sz w:val="16"/>
          <w:szCs w:val="16"/>
          <w:u w:val="single"/>
        </w:rPr>
      </w:pPr>
    </w:p>
    <w:p w14:paraId="27471F8B" w14:textId="77777777"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14:paraId="27471F8C" w14:textId="77777777"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This section complies with</w:t>
      </w:r>
      <w:r w:rsidR="00DE131C">
        <w:rPr>
          <w:rFonts w:asciiTheme="minorHAnsi" w:hAnsiTheme="minorHAnsi" w:cstheme="minorHAnsi"/>
          <w:color w:val="000000"/>
        </w:rPr>
        <w:t xml:space="preserve"> the requirement in</w:t>
      </w:r>
      <w:r>
        <w:rPr>
          <w:rFonts w:asciiTheme="minorHAnsi" w:hAnsiTheme="minorHAnsi" w:cstheme="minorHAnsi"/>
          <w:color w:val="000000"/>
        </w:rPr>
        <w:t xml:space="preserve"> </w:t>
      </w:r>
      <w:hyperlink r:id="rId34"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5"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14:paraId="27471F8D" w14:textId="77777777" w:rsidR="00483E60" w:rsidRPr="00256696" w:rsidRDefault="00483E60" w:rsidP="00483E60">
      <w:pPr>
        <w:ind w:left="0"/>
        <w:rPr>
          <w:bCs/>
          <w:color w:val="70481C" w:themeColor="accent6" w:themeShade="80"/>
        </w:rPr>
      </w:pPr>
      <w:r>
        <w:rPr>
          <w:bCs/>
          <w:color w:val="70481C" w:themeColor="accent6" w:themeShade="80"/>
        </w:rPr>
        <w:tab/>
      </w:r>
    </w:p>
    <w:p w14:paraId="27471F8E" w14:textId="77777777"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14:paraId="27471F8F" w14:textId="77777777" w:rsidR="00483E60" w:rsidRDefault="00483E60" w:rsidP="00483E60">
      <w:pPr>
        <w:autoSpaceDE w:val="0"/>
        <w:autoSpaceDN w:val="0"/>
        <w:adjustRightInd w:val="0"/>
        <w:ind w:left="1080"/>
      </w:pPr>
    </w:p>
    <w:p w14:paraId="27471F90" w14:textId="77777777"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14:paraId="27471F91" w14:textId="77777777" w:rsidR="00483E60" w:rsidRDefault="00483E60" w:rsidP="00483E60">
      <w:pPr>
        <w:ind w:left="0"/>
        <w:rPr>
          <w:bCs/>
        </w:rPr>
      </w:pPr>
    </w:p>
    <w:p w14:paraId="27471F92" w14:textId="77777777" w:rsidR="00483E60" w:rsidRDefault="00483E60" w:rsidP="00483E60">
      <w:pPr>
        <w:rPr>
          <w:bCs/>
          <w:color w:val="000000" w:themeColor="text1"/>
        </w:rPr>
      </w:pPr>
    </w:p>
    <w:p w14:paraId="27471F93" w14:textId="77777777" w:rsidR="00483E60" w:rsidRPr="00D45338" w:rsidRDefault="00483E60" w:rsidP="00483E60">
      <w:pPr>
        <w:spacing w:after="120"/>
        <w:rPr>
          <w:rFonts w:asciiTheme="majorHAnsi" w:hAnsiTheme="majorHAnsi" w:cstheme="majorHAnsi"/>
          <w:bCs/>
          <w:color w:val="000000" w:themeColor="text1"/>
          <w:sz w:val="22"/>
          <w:szCs w:val="22"/>
        </w:rPr>
      </w:pPr>
      <w:bookmarkStart w:id="2" w:name="AlternativesConsidered"/>
      <w:bookmarkStart w:id="3" w:name="RANGE!C35"/>
      <w:r w:rsidRPr="006807BF">
        <w:rPr>
          <w:rFonts w:asciiTheme="majorHAnsi" w:hAnsiTheme="majorHAnsi" w:cstheme="majorHAnsi"/>
          <w:bCs/>
          <w:color w:val="000000" w:themeColor="text1"/>
          <w:sz w:val="22"/>
          <w:szCs w:val="22"/>
        </w:rPr>
        <w:t>What alternatives did DEQ consider</w:t>
      </w:r>
      <w:bookmarkEnd w:id="2"/>
      <w:r w:rsidRPr="006807BF">
        <w:rPr>
          <w:rFonts w:asciiTheme="majorHAnsi" w:hAnsiTheme="majorHAnsi" w:cstheme="majorHAnsi"/>
          <w:bCs/>
          <w:color w:val="000000" w:themeColor="text1"/>
          <w:sz w:val="22"/>
          <w:szCs w:val="22"/>
        </w:rPr>
        <w:t xml:space="preserve"> if any?</w:t>
      </w:r>
      <w:bookmarkEnd w:id="3"/>
      <w:r w:rsidRPr="006807BF">
        <w:rPr>
          <w:rFonts w:asciiTheme="majorHAnsi" w:hAnsiTheme="majorHAnsi" w:cstheme="majorHAnsi"/>
          <w:bCs/>
          <w:color w:val="000000" w:themeColor="text1"/>
          <w:sz w:val="22"/>
          <w:szCs w:val="22"/>
        </w:rPr>
        <w:t xml:space="preserve"> </w:t>
      </w:r>
    </w:p>
    <w:p w14:paraId="27471F94" w14:textId="77777777"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14:paraId="27471F95" w14:textId="77777777" w:rsidR="00483E60" w:rsidRDefault="00483E60" w:rsidP="00483E60">
      <w:pPr>
        <w:autoSpaceDE w:val="0"/>
        <w:autoSpaceDN w:val="0"/>
        <w:adjustRightInd w:val="0"/>
        <w:ind w:left="1080"/>
      </w:pPr>
    </w:p>
    <w:p w14:paraId="27471F96" w14:textId="77777777"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483E60" w:rsidRPr="00B15DF7" w14:paraId="27471F99" w14:textId="77777777" w:rsidTr="00570A2A">
        <w:trPr>
          <w:trHeight w:val="613"/>
        </w:trPr>
        <w:tc>
          <w:tcPr>
            <w:tcW w:w="12240" w:type="dxa"/>
            <w:shd w:val="clear" w:color="000000" w:fill="E2DDDB" w:themeFill="text2" w:themeFillTint="33"/>
            <w:noWrap/>
            <w:vAlign w:val="bottom"/>
            <w:hideMark/>
          </w:tcPr>
          <w:p w14:paraId="27471F97" w14:textId="77777777" w:rsidR="00483E60" w:rsidRPr="00823C9D" w:rsidRDefault="00483E60" w:rsidP="00570A2A">
            <w:pPr>
              <w:ind w:left="0"/>
              <w:rPr>
                <w:b/>
                <w:bCs/>
                <w:color w:val="32525C"/>
                <w:sz w:val="28"/>
                <w:szCs w:val="28"/>
              </w:rPr>
            </w:pPr>
          </w:p>
          <w:p w14:paraId="27471F98" w14:textId="77777777"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14:paraId="27471F9A" w14:textId="77777777" w:rsidR="00483E60" w:rsidRDefault="00483E60" w:rsidP="00483E60">
      <w:pPr>
        <w:ind w:left="0"/>
        <w:rPr>
          <w:i/>
          <w:iCs/>
          <w:color w:val="1D1D1D"/>
        </w:rPr>
      </w:pPr>
    </w:p>
    <w:p w14:paraId="27471F9B" w14:textId="77777777"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6" w:history="1">
        <w:r w:rsidRPr="00D938F8">
          <w:rPr>
            <w:rStyle w:val="Hyperlink"/>
            <w:rFonts w:asciiTheme="minorHAnsi" w:hAnsiTheme="minorHAnsi" w:cstheme="minorHAnsi"/>
          </w:rPr>
          <w:t>OAR 340-018-0010</w:t>
        </w:r>
      </w:hyperlink>
    </w:p>
    <w:p w14:paraId="27471F9C" w14:textId="77777777" w:rsidR="00483E60" w:rsidRDefault="00483E60" w:rsidP="00483E60">
      <w:pPr>
        <w:spacing w:after="120"/>
        <w:ind w:left="360"/>
        <w:rPr>
          <w:rFonts w:asciiTheme="majorHAnsi" w:hAnsiTheme="majorHAnsi" w:cstheme="majorHAnsi"/>
          <w:bCs/>
          <w:color w:val="504938"/>
          <w:sz w:val="22"/>
          <w:szCs w:val="22"/>
        </w:rPr>
      </w:pPr>
    </w:p>
    <w:p w14:paraId="27471F9D"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14:paraId="27471F9E" w14:textId="77777777"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14:paraId="27471F9F" w14:textId="77777777"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14:paraId="27471FA0" w14:textId="77777777" w:rsidR="00483E60" w:rsidRPr="00B82764" w:rsidRDefault="00483E60" w:rsidP="00483E60">
      <w:pPr>
        <w:ind w:left="450"/>
        <w:rPr>
          <w:rFonts w:ascii="Cambria" w:hAnsi="Cambria"/>
          <w:color w:val="000000" w:themeColor="text1"/>
        </w:rPr>
      </w:pPr>
    </w:p>
    <w:p w14:paraId="27471FA1" w14:textId="77777777"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14:paraId="27471FA2" w14:textId="77777777"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14:paraId="27471FA3" w14:textId="77777777"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14:paraId="27471FA4" w14:textId="77777777"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14:paraId="27471FA5" w14:textId="77777777"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14:paraId="27471FA6" w14:textId="77777777"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14:paraId="27471FA7" w14:textId="77777777" w:rsidR="00483E60" w:rsidRPr="00B82764" w:rsidRDefault="00483E60" w:rsidP="00483E60">
      <w:pPr>
        <w:ind w:left="1062"/>
        <w:rPr>
          <w:rFonts w:ascii="Cambria" w:hAnsi="Cambria"/>
          <w:color w:val="000000" w:themeColor="text1"/>
        </w:rPr>
      </w:pPr>
    </w:p>
    <w:p w14:paraId="27471FA8" w14:textId="77777777" w:rsidR="00483E60" w:rsidRPr="004B692D" w:rsidRDefault="00BF0771"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7"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14:paraId="27471FA9" w14:textId="77777777"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27471FAA" w14:textId="77777777"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27471FAB" w14:textId="77777777"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14:paraId="27471FAC" w14:textId="77777777"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14:paraId="27471FAD" w14:textId="77777777"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14:paraId="27471FAE" w14:textId="77777777" w:rsidR="00483E60" w:rsidRDefault="00483E60" w:rsidP="00483E60">
      <w:pPr>
        <w:spacing w:after="120"/>
        <w:ind w:left="360"/>
        <w:rPr>
          <w:rFonts w:asciiTheme="majorHAnsi" w:hAnsiTheme="majorHAnsi" w:cstheme="majorHAnsi"/>
          <w:bCs/>
          <w:color w:val="504938"/>
          <w:sz w:val="22"/>
          <w:szCs w:val="22"/>
        </w:rPr>
      </w:pPr>
    </w:p>
    <w:p w14:paraId="27471FAF"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14:paraId="27471FB0" w14:textId="77777777" w:rsidR="00483E60" w:rsidRDefault="00483E60" w:rsidP="00483E60">
      <w:pPr>
        <w:rPr>
          <w:color w:val="000000"/>
        </w:rPr>
      </w:pPr>
    </w:p>
    <w:p w14:paraId="27471FB1" w14:textId="77777777"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14:paraId="27471FB2" w14:textId="77777777" w:rsidR="00483E60" w:rsidRDefault="00483E60" w:rsidP="00483E60">
      <w:pPr>
        <w:pStyle w:val="ListParagraph"/>
        <w:contextualSpacing w:val="0"/>
        <w:rPr>
          <w:color w:val="618889" w:themeColor="accent3" w:themeShade="BF"/>
        </w:rPr>
      </w:pPr>
    </w:p>
    <w:p w14:paraId="27471FB3" w14:textId="77777777"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14:paraId="27471FB4" w14:textId="77777777"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641511" w:rsidRPr="00B15DF7" w14:paraId="27471FB7" w14:textId="77777777" w:rsidTr="00570A2A">
        <w:trPr>
          <w:trHeight w:val="600"/>
        </w:trPr>
        <w:tc>
          <w:tcPr>
            <w:tcW w:w="12240" w:type="dxa"/>
            <w:tcBorders>
              <w:top w:val="nil"/>
              <w:left w:val="nil"/>
              <w:bottom w:val="double" w:sz="6" w:space="0" w:color="7F7F7F"/>
              <w:right w:val="nil"/>
            </w:tcBorders>
            <w:shd w:val="clear" w:color="000000" w:fill="D8D3C6"/>
            <w:noWrap/>
            <w:vAlign w:val="bottom"/>
            <w:hideMark/>
          </w:tcPr>
          <w:p w14:paraId="27471FB5" w14:textId="77777777" w:rsidR="00641511" w:rsidRDefault="00641511" w:rsidP="00570A2A">
            <w:pPr>
              <w:rPr>
                <w:bCs/>
                <w:color w:val="504938"/>
              </w:rPr>
            </w:pPr>
            <w:r w:rsidRPr="00B15DF7">
              <w:rPr>
                <w:bCs/>
                <w:color w:val="504938"/>
                <w:sz w:val="22"/>
                <w:szCs w:val="22"/>
              </w:rPr>
              <w:lastRenderedPageBreak/>
              <w:t> </w:t>
            </w:r>
          </w:p>
          <w:p w14:paraId="27471FB6" w14:textId="77777777" w:rsidR="00641511" w:rsidRPr="00473C64" w:rsidRDefault="00641511" w:rsidP="00570A2A">
            <w:pPr>
              <w:pStyle w:val="Heading1"/>
            </w:pPr>
            <w:r>
              <w:tab/>
            </w:r>
            <w:r w:rsidRPr="00473C64">
              <w:t>Summary of comments and DEQ responses</w:t>
            </w:r>
          </w:p>
        </w:tc>
      </w:tr>
    </w:tbl>
    <w:p w14:paraId="27471FB8" w14:textId="77777777" w:rsidR="00641511" w:rsidRPr="00B15DF7" w:rsidRDefault="00641511" w:rsidP="00641511">
      <w:pPr>
        <w:rPr>
          <w:color w:val="32525C"/>
        </w:rPr>
      </w:pPr>
      <w:r w:rsidRPr="00B15DF7">
        <w:rPr>
          <w:color w:val="32525C"/>
        </w:rPr>
        <w:t>  </w:t>
      </w:r>
    </w:p>
    <w:p w14:paraId="27471FB9" w14:textId="77777777"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14:paraId="27471FBA" w14:textId="77777777"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14:paraId="27471FBB" w14:textId="77777777"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14:paraId="27471FBC" w14:textId="77777777"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14:anchorId="274720EA" wp14:editId="274720EB">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27471FBD" w14:textId="77777777"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14:paraId="27471FBE" w14:textId="77777777"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14:paraId="27471FBF" w14:textId="77777777" w:rsidR="00641511" w:rsidRPr="00BA76EE" w:rsidRDefault="00641511" w:rsidP="00641511">
      <w:pPr>
        <w:spacing w:after="100" w:afterAutospacing="1"/>
        <w:ind w:left="1440"/>
        <w:rPr>
          <w:rStyle w:val="Emphasis"/>
        </w:rPr>
      </w:pPr>
      <w:r w:rsidRPr="00BA76EE">
        <w:rPr>
          <w:rStyle w:val="Emphasis"/>
          <w:noProof/>
        </w:rPr>
        <w:drawing>
          <wp:inline distT="0" distB="0" distL="0" distR="0" wp14:anchorId="274720EC" wp14:editId="274720ED">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14:paraId="27471FC0" w14:textId="77777777"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14:paraId="27471FC1" w14:textId="77777777" w:rsidR="00641511" w:rsidRPr="00BA76EE" w:rsidRDefault="00641511" w:rsidP="00641511">
      <w:pPr>
        <w:spacing w:after="100" w:afterAutospacing="1"/>
        <w:rPr>
          <w:rStyle w:val="Emphasis"/>
          <w:b/>
        </w:rPr>
      </w:pPr>
      <w:r w:rsidRPr="00BA76EE">
        <w:rPr>
          <w:rStyle w:val="Emphasis"/>
          <w:b/>
        </w:rPr>
        <w:t>Administrative Procedures Act Requirements</w:t>
      </w:r>
    </w:p>
    <w:p w14:paraId="27471FC2" w14:textId="77777777"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14:paraId="27471FC3" w14:textId="77777777"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14:anchorId="274720EE" wp14:editId="274720EF">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27471FC4" w14:textId="77777777" w:rsidR="00641511" w:rsidRPr="004B4CDA" w:rsidRDefault="00641511" w:rsidP="00641511">
      <w:pPr>
        <w:ind w:left="1440"/>
        <w:rPr>
          <w:rStyle w:val="Emphasis"/>
        </w:rPr>
      </w:pPr>
      <w:r w:rsidRPr="004B4CDA">
        <w:rPr>
          <w:rStyle w:val="Emphasis"/>
        </w:rPr>
        <w:t>Article Content</w:t>
      </w:r>
    </w:p>
    <w:p w14:paraId="27471FC5" w14:textId="77777777" w:rsidR="00641511" w:rsidRDefault="00641511" w:rsidP="00641511">
      <w:pPr>
        <w:spacing w:after="100" w:afterAutospacing="1"/>
        <w:ind w:left="1440"/>
        <w:rPr>
          <w:rStyle w:val="Emphasis"/>
        </w:rPr>
      </w:pPr>
    </w:p>
    <w:p w14:paraId="27471FC6" w14:textId="77777777"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14:paraId="27471FC7" w14:textId="77777777"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14:paraId="27471FC8" w14:textId="77777777"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14:paraId="27471FC9" w14:textId="77777777"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14:paraId="27471FCA" w14:textId="77777777"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14:paraId="27471FCB" w14:textId="77777777"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27471FCC" w14:textId="77777777" w:rsidR="00641511" w:rsidRPr="004B4CDA" w:rsidRDefault="00641511" w:rsidP="00641511">
      <w:pPr>
        <w:ind w:right="900"/>
        <w:rPr>
          <w:rStyle w:val="Emphasis"/>
        </w:rPr>
      </w:pPr>
    </w:p>
    <w:p w14:paraId="27471FCD" w14:textId="77777777" w:rsidR="00641511" w:rsidRPr="00BA76EE" w:rsidRDefault="00641511" w:rsidP="00641511">
      <w:pPr>
        <w:ind w:left="1440"/>
        <w:rPr>
          <w:rStyle w:val="Emphasis"/>
          <w:b/>
          <w:u w:val="single"/>
        </w:rPr>
      </w:pPr>
      <w:r w:rsidRPr="00BA76EE">
        <w:rPr>
          <w:rStyle w:val="Emphasis"/>
          <w:b/>
          <w:u w:val="single"/>
        </w:rPr>
        <w:t>ORS 183.335</w:t>
      </w:r>
    </w:p>
    <w:p w14:paraId="27471FCE" w14:textId="77777777" w:rsidR="00641511" w:rsidRPr="004B4CDA" w:rsidRDefault="00641511" w:rsidP="00641511">
      <w:pPr>
        <w:ind w:left="1440"/>
        <w:rPr>
          <w:rStyle w:val="Emphasis"/>
        </w:rPr>
      </w:pPr>
      <w:r w:rsidRPr="004B4CDA">
        <w:rPr>
          <w:rStyle w:val="Emphasis"/>
        </w:rPr>
        <w:t>Notice</w:t>
      </w:r>
    </w:p>
    <w:p w14:paraId="27471FCF" w14:textId="77777777" w:rsidR="00641511" w:rsidRPr="004B4CDA" w:rsidRDefault="00641511" w:rsidP="00641511">
      <w:pPr>
        <w:ind w:left="1440"/>
        <w:rPr>
          <w:rStyle w:val="Emphasis"/>
        </w:rPr>
      </w:pPr>
    </w:p>
    <w:p w14:paraId="27471FD0" w14:textId="77777777"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27471FD1" w14:textId="77777777"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27471FD2" w14:textId="77777777" w:rsidR="00641511" w:rsidRPr="004B4CDA" w:rsidRDefault="00641511" w:rsidP="00641511">
      <w:pPr>
        <w:rPr>
          <w:rStyle w:val="Emphasis"/>
        </w:rPr>
      </w:pPr>
    </w:p>
    <w:p w14:paraId="27471FD3" w14:textId="77777777"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14:paraId="27471FD4" w14:textId="77777777" w:rsidR="00641511" w:rsidRDefault="00641511" w:rsidP="00641511">
      <w:pPr>
        <w:ind w:right="828"/>
        <w:rPr>
          <w:rFonts w:asciiTheme="minorHAnsi" w:hAnsiTheme="minorHAnsi" w:cstheme="minorHAnsi"/>
          <w:color w:val="70481C" w:themeColor="accent6" w:themeShade="80"/>
        </w:rPr>
      </w:pPr>
    </w:p>
    <w:p w14:paraId="27471FD5" w14:textId="77777777" w:rsidR="00641511" w:rsidRDefault="00B56E9B"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14:paraId="27471FD6" w14:textId="77777777" w:rsidR="00641511" w:rsidRDefault="00641511" w:rsidP="00495352">
      <w:pPr>
        <w:spacing w:after="120"/>
        <w:ind w:left="0" w:right="630"/>
        <w:rPr>
          <w:rFonts w:asciiTheme="minorHAnsi" w:hAnsiTheme="minorHAnsi" w:cstheme="minorHAnsi"/>
          <w:bCs/>
          <w:color w:val="000000" w:themeColor="text1"/>
        </w:rPr>
      </w:pPr>
    </w:p>
    <w:p w14:paraId="27471FD7" w14:textId="77777777"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14:paraId="27471FD8" w14:textId="77777777"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14:paraId="27471FD9" w14:textId="77777777" w:rsidR="00641511" w:rsidRPr="00D42853" w:rsidRDefault="00641511" w:rsidP="00FE7AA3">
      <w:pPr>
        <w:tabs>
          <w:tab w:val="left" w:pos="1080"/>
        </w:tabs>
        <w:spacing w:after="120"/>
        <w:ind w:left="0" w:right="634"/>
      </w:pPr>
    </w:p>
    <w:p w14:paraId="27471FDA" w14:textId="77777777"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14:paraId="27471FDB" w14:textId="77777777"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14:paraId="27471FDC" w14:textId="77777777"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14:paraId="27471FDD" w14:textId="77777777"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14:paraId="27471FDE" w14:textId="77777777"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14:paraId="27471FDF" w14:textId="77777777"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14:paraId="27471FE0" w14:textId="77777777"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14:paraId="27471FE1" w14:textId="77777777"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14:paraId="27471FE2" w14:textId="77777777" w:rsidR="0042176F" w:rsidRPr="005C1788" w:rsidRDefault="00641511" w:rsidP="005C1788">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w:t>
      </w:r>
      <w:r w:rsidR="005C1788">
        <w:rPr>
          <w:rFonts w:asciiTheme="minorHAnsi" w:hAnsiTheme="minorHAnsi" w:cstheme="minorHAnsi"/>
          <w:bCs/>
        </w:rPr>
        <w:t xml:space="preserve">2004 </w:t>
      </w:r>
      <w:r w:rsidR="003567CE">
        <w:rPr>
          <w:rFonts w:asciiTheme="minorHAnsi" w:hAnsiTheme="minorHAnsi" w:cstheme="minorHAnsi"/>
          <w:bCs/>
        </w:rPr>
        <w:t>criteria in January 2013, Oregon dischargers h</w:t>
      </w:r>
      <w:r w:rsidR="000E64FC">
        <w:rPr>
          <w:rFonts w:asciiTheme="minorHAnsi" w:hAnsiTheme="minorHAnsi" w:cstheme="minorHAnsi"/>
          <w:bCs/>
        </w:rPr>
        <w:t xml:space="preserve">ave been unable to plan for </w:t>
      </w:r>
      <w:r w:rsidR="003567CE">
        <w:rPr>
          <w:rFonts w:asciiTheme="minorHAnsi" w:hAnsiTheme="minorHAnsi" w:cstheme="minorHAnsi"/>
          <w:bCs/>
        </w:rPr>
        <w:t xml:space="preserve">potential pollution control investments because of the </w:t>
      </w:r>
      <w:r w:rsidR="003567CE">
        <w:rPr>
          <w:rFonts w:asciiTheme="minorHAnsi" w:hAnsiTheme="minorHAnsi" w:cstheme="minorHAnsi"/>
          <w:bCs/>
        </w:rPr>
        <w:lastRenderedPageBreak/>
        <w:t>uncertainty of which ammonia criteria would ultimately be approved by EPA.</w:t>
      </w:r>
      <w:r w:rsidR="005C1788">
        <w:rPr>
          <w:rFonts w:asciiTheme="minorHAnsi" w:hAnsiTheme="minorHAnsi" w:cstheme="minorHAnsi"/>
          <w:bCs/>
        </w:rPr>
        <w:t xml:space="preserve"> </w:t>
      </w:r>
      <w:r w:rsidR="00755923">
        <w:rPr>
          <w:rFonts w:asciiTheme="minorHAnsi" w:hAnsiTheme="minorHAnsi" w:cstheme="minorHAnsi"/>
          <w:bCs/>
        </w:rPr>
        <w:t>For these reasons</w:t>
      </w:r>
      <w:r w:rsidR="00294E8B">
        <w:rPr>
          <w:rFonts w:asciiTheme="minorHAnsi" w:hAnsiTheme="minorHAnsi" w:cstheme="minorHAnsi"/>
          <w:bCs/>
        </w:rPr>
        <w:t xml:space="preserve"> and other reasons indicated below</w:t>
      </w:r>
      <w:r w:rsidR="00755923">
        <w:rPr>
          <w:rFonts w:asciiTheme="minorHAnsi" w:hAnsiTheme="minorHAnsi" w:cstheme="minorHAnsi"/>
          <w:bCs/>
        </w:rPr>
        <w:t>, DEQ proposes to adopt the ammonia revisions now</w:t>
      </w:r>
      <w:r w:rsidR="00294E8B">
        <w:rPr>
          <w:rFonts w:asciiTheme="minorHAnsi" w:hAnsiTheme="minorHAnsi" w:cstheme="minorHAnsi"/>
          <w:bCs/>
        </w:rPr>
        <w:t>.</w:t>
      </w:r>
      <w:r w:rsidR="0042176F">
        <w:rPr>
          <w:rFonts w:ascii="Calibri" w:hAnsi="Calibri"/>
        </w:rPr>
        <w:t xml:space="preserve"> </w:t>
      </w:r>
    </w:p>
    <w:p w14:paraId="27471FE3" w14:textId="77777777" w:rsidR="0042176F" w:rsidRDefault="0042176F" w:rsidP="00641511">
      <w:pPr>
        <w:spacing w:after="120"/>
        <w:ind w:left="2970" w:right="630" w:hanging="1710"/>
        <w:rPr>
          <w:rFonts w:asciiTheme="minorHAnsi" w:hAnsiTheme="minorHAnsi" w:cstheme="minorHAnsi"/>
          <w:bCs/>
        </w:rPr>
      </w:pPr>
    </w:p>
    <w:p w14:paraId="27471FE4" w14:textId="77777777" w:rsidR="005C1788" w:rsidRDefault="003567CE" w:rsidP="002C6268">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w:t>
      </w:r>
      <w:r w:rsidR="00672188">
        <w:rPr>
          <w:rFonts w:asciiTheme="minorHAnsi" w:hAnsiTheme="minorHAnsi" w:cstheme="minorHAnsi"/>
          <w:bCs/>
        </w:rPr>
        <w:t xml:space="preserve">the National Marine Fisheries Service will find that the proposed ammonia criteria, based on </w:t>
      </w:r>
      <w:r w:rsidR="0042176F">
        <w:rPr>
          <w:rFonts w:asciiTheme="minorHAnsi" w:hAnsiTheme="minorHAnsi" w:cstheme="minorHAnsi"/>
          <w:bCs/>
        </w:rPr>
        <w:t xml:space="preserve">EPA’s latest recommendations are </w:t>
      </w:r>
      <w:r>
        <w:rPr>
          <w:rFonts w:asciiTheme="minorHAnsi" w:hAnsiTheme="minorHAnsi" w:cstheme="minorHAnsi"/>
          <w:bCs/>
        </w:rPr>
        <w:t>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42176F">
        <w:rPr>
          <w:rFonts w:asciiTheme="minorHAnsi" w:hAnsiTheme="minorHAnsi" w:cstheme="minorHAnsi"/>
          <w:bCs/>
        </w:rPr>
        <w:t xml:space="preserve">EPA has been working </w:t>
      </w:r>
      <w:r w:rsidR="00CB070C">
        <w:rPr>
          <w:rFonts w:asciiTheme="minorHAnsi" w:hAnsiTheme="minorHAnsi" w:cstheme="minorHAnsi"/>
          <w:bCs/>
        </w:rPr>
        <w:t xml:space="preserve">with NMFS to </w:t>
      </w:r>
      <w:r w:rsidR="0042176F">
        <w:rPr>
          <w:rFonts w:asciiTheme="minorHAnsi" w:hAnsiTheme="minorHAnsi" w:cstheme="minorHAnsi"/>
          <w:bCs/>
        </w:rPr>
        <w:t xml:space="preserve">address the Reasonable and Prudent Alternatives in </w:t>
      </w:r>
      <w:r w:rsidR="00CB070C">
        <w:rPr>
          <w:rFonts w:asciiTheme="minorHAnsi" w:hAnsiTheme="minorHAnsi" w:cstheme="minorHAnsi"/>
          <w:bCs/>
        </w:rPr>
        <w:t>the Biological Opinion.</w:t>
      </w:r>
      <w:r w:rsidR="00780315">
        <w:rPr>
          <w:rFonts w:asciiTheme="minorHAnsi" w:hAnsiTheme="minorHAnsi" w:cstheme="minorHAnsi"/>
          <w:bCs/>
        </w:rPr>
        <w:t xml:space="preserve"> EPA </w:t>
      </w:r>
      <w:r w:rsidR="0051131D">
        <w:rPr>
          <w:rFonts w:asciiTheme="minorHAnsi" w:hAnsiTheme="minorHAnsi" w:cstheme="minorHAnsi"/>
          <w:bCs/>
        </w:rPr>
        <w:t xml:space="preserve">has communicated to DEQ that it </w:t>
      </w:r>
      <w:r w:rsidR="0042176F">
        <w:rPr>
          <w:rFonts w:asciiTheme="minorHAnsi" w:hAnsiTheme="minorHAnsi" w:cstheme="minorHAnsi"/>
          <w:bCs/>
        </w:rPr>
        <w:t>remains</w:t>
      </w:r>
      <w:r w:rsidR="00191404">
        <w:rPr>
          <w:rFonts w:asciiTheme="minorHAnsi" w:hAnsiTheme="minorHAnsi" w:cstheme="minorHAnsi"/>
          <w:bCs/>
        </w:rPr>
        <w:t xml:space="preserve"> optimistic </w:t>
      </w:r>
      <w:r w:rsidR="0042176F">
        <w:rPr>
          <w:rFonts w:asciiTheme="minorHAnsi" w:hAnsiTheme="minorHAnsi" w:cstheme="minorHAnsi"/>
          <w:bCs/>
        </w:rPr>
        <w:t>that its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14:paraId="27471FE5" w14:textId="77777777" w:rsidR="00AD2525" w:rsidRDefault="00AD2525" w:rsidP="002C6268">
      <w:pPr>
        <w:spacing w:after="120"/>
        <w:ind w:left="2970" w:right="630" w:hanging="1710"/>
        <w:rPr>
          <w:rFonts w:asciiTheme="minorHAnsi" w:hAnsiTheme="minorHAnsi" w:cstheme="minorHAnsi"/>
          <w:bCs/>
        </w:rPr>
      </w:pPr>
    </w:p>
    <w:p w14:paraId="27471FE6" w14:textId="77777777" w:rsidR="00AD2525" w:rsidRDefault="00AD2525" w:rsidP="00AD2525">
      <w:pPr>
        <w:spacing w:after="120"/>
        <w:ind w:left="2970" w:right="630"/>
        <w:rPr>
          <w:rFonts w:asciiTheme="minorHAnsi" w:hAnsiTheme="minorHAnsi" w:cstheme="minorHAnsi"/>
          <w:bCs/>
        </w:rPr>
      </w:pPr>
      <w:r>
        <w:rPr>
          <w:rFonts w:asciiTheme="minorHAnsi" w:hAnsiTheme="minorHAnsi" w:cstheme="minorHAnsi"/>
        </w:rPr>
        <w:t xml:space="preserve">EQC’s adoption of revised criteria must go to EPA for approval before the criteria become effective for CWA purposes. DEQ submission to EPA requires EPA to respond within 90 days. Therefore, it is in DEQ’s best interest to adopt criteria now, so that EPA continues working with NMFS in a timely manner and avoid further delays. In addition, </w:t>
      </w:r>
      <w:r>
        <w:rPr>
          <w:rFonts w:asciiTheme="minorHAnsi" w:hAnsiTheme="minorHAnsi" w:cstheme="minorHAnsi"/>
          <w:bCs/>
        </w:rPr>
        <w:t>according to CWA regulations, DEQ is required to address EPA disapprovals within 90 days of receiving EPA’s action. For these reasons, DEQ believes it is prudent to adopt these ammonia revisions now. If EPA determines that Oregon’s</w:t>
      </w:r>
      <w:r>
        <w:rPr>
          <w:rFonts w:asciiTheme="minorHAnsi" w:hAnsiTheme="minorHAnsi" w:cstheme="minorHAnsi"/>
        </w:rPr>
        <w:t xml:space="preserve"> adoption of its 2013 recommended criteria would not be approvable, DEQ would seek guidance from EPA on acceptable alternatives. </w:t>
      </w:r>
      <w:r>
        <w:rPr>
          <w:rFonts w:asciiTheme="minorHAnsi" w:hAnsiTheme="minorHAnsi" w:cstheme="minorHAnsi"/>
          <w:bCs/>
        </w:rPr>
        <w:t xml:space="preserve"> </w:t>
      </w:r>
    </w:p>
    <w:p w14:paraId="27471FE7" w14:textId="77777777" w:rsidR="00A1105D" w:rsidRDefault="00A1105D" w:rsidP="00AD2525">
      <w:pPr>
        <w:spacing w:after="120"/>
        <w:ind w:left="0" w:right="630"/>
        <w:rPr>
          <w:rFonts w:asciiTheme="minorHAnsi" w:hAnsiTheme="minorHAnsi" w:cstheme="minorHAnsi"/>
          <w:bCs/>
        </w:rPr>
      </w:pPr>
    </w:p>
    <w:p w14:paraId="27471FE8" w14:textId="77777777"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w:t>
      </w:r>
      <w:r w:rsidR="00DC0CC7">
        <w:rPr>
          <w:rFonts w:asciiTheme="minorHAnsi" w:hAnsiTheme="minorHAnsi" w:cstheme="minorHAnsi"/>
          <w:bCs/>
        </w:rPr>
        <w:t xml:space="preserve"> and interested parties, as appropriate,</w:t>
      </w:r>
      <w:r>
        <w:rPr>
          <w:rFonts w:asciiTheme="minorHAnsi" w:hAnsiTheme="minorHAnsi" w:cstheme="minorHAnsi"/>
          <w:bCs/>
        </w:rPr>
        <w:t xml:space="preserve"> on any implementation issues that are identified following EPA approval.</w:t>
      </w:r>
    </w:p>
    <w:p w14:paraId="27471FE9" w14:textId="77777777" w:rsidR="00641511" w:rsidRDefault="00641511" w:rsidP="00641511">
      <w:pPr>
        <w:spacing w:after="120"/>
        <w:ind w:right="630" w:hanging="1800"/>
        <w:rPr>
          <w:rFonts w:asciiTheme="minorHAnsi" w:hAnsiTheme="minorHAnsi" w:cstheme="minorHAnsi"/>
          <w:bCs/>
          <w:color w:val="000000" w:themeColor="text1"/>
        </w:rPr>
      </w:pPr>
    </w:p>
    <w:p w14:paraId="27471FEA" w14:textId="77777777"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14:paraId="27471FEB" w14:textId="77777777"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14:paraId="27471FEC" w14:textId="77777777" w:rsidR="001107B0" w:rsidRPr="001107B0" w:rsidRDefault="001107B0" w:rsidP="001107B0">
      <w:pPr>
        <w:spacing w:after="120"/>
        <w:ind w:left="2880" w:right="634"/>
        <w:rPr>
          <w:rFonts w:asciiTheme="minorHAnsi" w:hAnsiTheme="minorHAnsi" w:cstheme="minorHAnsi"/>
          <w:bCs/>
          <w:color w:val="000000" w:themeColor="text1"/>
        </w:rPr>
      </w:pPr>
    </w:p>
    <w:p w14:paraId="27471FED" w14:textId="77777777"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14:paraId="27471FEE" w14:textId="77777777" w:rsidR="004D4559" w:rsidRDefault="004D4559" w:rsidP="00641511">
      <w:pPr>
        <w:pStyle w:val="ListParagraph"/>
        <w:spacing w:after="120"/>
        <w:ind w:left="2880" w:right="634"/>
        <w:contextualSpacing w:val="0"/>
        <w:rPr>
          <w:rFonts w:asciiTheme="minorHAnsi" w:hAnsiTheme="minorHAnsi" w:cstheme="minorHAnsi"/>
        </w:rPr>
      </w:pPr>
    </w:p>
    <w:p w14:paraId="27471FEF" w14:textId="77777777"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w:t>
      </w:r>
      <w:r w:rsidRPr="001107B0">
        <w:rPr>
          <w:rFonts w:asciiTheme="minorHAnsi" w:hAnsiTheme="minorHAnsi" w:cstheme="minorHAnsi"/>
        </w:rPr>
        <w:lastRenderedPageBreak/>
        <w:t>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14:paraId="27471FF0" w14:textId="77777777" w:rsidR="004D4559" w:rsidRDefault="004D4559" w:rsidP="001107B0">
      <w:pPr>
        <w:pStyle w:val="ListParagraph"/>
        <w:spacing w:after="120"/>
        <w:ind w:left="2880" w:right="634"/>
        <w:contextualSpacing w:val="0"/>
        <w:rPr>
          <w:rFonts w:asciiTheme="minorHAnsi" w:hAnsiTheme="minorHAnsi" w:cstheme="minorHAnsi"/>
        </w:rPr>
      </w:pPr>
    </w:p>
    <w:p w14:paraId="27471FF1" w14:textId="77777777"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14:paraId="27471FF2" w14:textId="77777777"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14:paraId="27471FF3" w14:textId="77777777"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d other situations in which water quality criteria are unattainable due to natural conditions</w:t>
      </w:r>
      <w:r w:rsidR="004D4559">
        <w:t>,</w:t>
      </w:r>
      <w:r w:rsidR="00294E8B">
        <w:t xml:space="preserve"> </w:t>
      </w:r>
      <w:r w:rsidR="002D3856">
        <w:t xml:space="preserve">and </w:t>
      </w:r>
      <w:r w:rsidR="005E6248">
        <w:t xml:space="preserve">expects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w:t>
      </w:r>
      <w:r w:rsidR="004D4559">
        <w:t xml:space="preserve">an </w:t>
      </w:r>
      <w:r w:rsidR="00FE0388">
        <w:t xml:space="preserve">opportunity to comment on the </w:t>
      </w:r>
      <w:r w:rsidR="005E6248">
        <w:t xml:space="preserve">proposed revisions to the </w:t>
      </w:r>
      <w:r w:rsidR="00FE0388">
        <w:t>temperature standard. </w:t>
      </w:r>
      <w:r w:rsidR="00301BF8" w:rsidDel="00301BF8">
        <w:t xml:space="preserve"> </w:t>
      </w:r>
    </w:p>
    <w:p w14:paraId="27471FF4" w14:textId="77777777" w:rsidR="00FE0388" w:rsidRPr="00495352" w:rsidRDefault="002E0F87" w:rsidP="00495352">
      <w:pPr>
        <w:spacing w:after="120"/>
        <w:ind w:left="2970" w:right="630" w:hanging="1710"/>
        <w:rPr>
          <w:rFonts w:asciiTheme="minorHAnsi" w:hAnsiTheme="minorHAnsi" w:cstheme="minorHAnsi"/>
          <w:color w:val="70481C" w:themeColor="accent6" w:themeShade="80"/>
        </w:rPr>
      </w:pPr>
      <w:r>
        <w:tab/>
        <w:t xml:space="preserve">DEQ added </w:t>
      </w:r>
      <w:r w:rsidR="00C93083">
        <w:t xml:space="preserve">the lawsuit citation </w:t>
      </w:r>
      <w:r w:rsidR="00C61FBC">
        <w:t>under the Statement of Need</w:t>
      </w:r>
      <w:r>
        <w:t xml:space="preserve"> section in this report</w:t>
      </w:r>
      <w:r w:rsidR="00C93083">
        <w:t xml:space="preserve"> for </w:t>
      </w:r>
      <w:r w:rsidR="007408E4">
        <w:t>additional clarity.</w:t>
      </w:r>
      <w:r>
        <w:t xml:space="preserve"> </w:t>
      </w:r>
    </w:p>
    <w:p w14:paraId="27471FF5" w14:textId="77777777" w:rsidR="00641511" w:rsidRDefault="00641511" w:rsidP="00641511">
      <w:pPr>
        <w:spacing w:after="120"/>
        <w:ind w:right="630" w:hanging="1800"/>
        <w:rPr>
          <w:rFonts w:asciiTheme="minorHAnsi" w:hAnsiTheme="minorHAnsi" w:cstheme="minorHAnsi"/>
          <w:bCs/>
          <w:color w:val="000000" w:themeColor="text1"/>
        </w:rPr>
      </w:pPr>
    </w:p>
    <w:p w14:paraId="27471FF6" w14:textId="77777777"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14:paraId="27471FF7" w14:textId="77777777"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14:paraId="27471FF8" w14:textId="77777777"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14:paraId="27471FF9" w14:textId="77777777"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14:paraId="27471FFA" w14:textId="77777777"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14:paraId="27471FFB" w14:textId="77777777"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14:paraId="27471FFC" w14:textId="77777777" w:rsidR="00641511" w:rsidRDefault="00641511" w:rsidP="00641511">
      <w:pPr>
        <w:spacing w:after="120"/>
        <w:ind w:left="2430" w:right="630" w:hanging="1350"/>
        <w:rPr>
          <w:rFonts w:asciiTheme="minorHAnsi" w:hAnsiTheme="minorHAnsi" w:cstheme="minorHAnsi"/>
          <w:bCs/>
          <w:color w:val="000000" w:themeColor="text1"/>
        </w:rPr>
      </w:pPr>
    </w:p>
    <w:p w14:paraId="27471FFD" w14:textId="77777777"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14:paraId="27471FFE" w14:textId="77777777"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14:paraId="27471FFF" w14:textId="77777777"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14:paraId="27472000" w14:textId="77777777" w:rsidR="00611F72" w:rsidRPr="00885634" w:rsidRDefault="00611F72" w:rsidP="00885634">
      <w:pPr>
        <w:autoSpaceDE w:val="0"/>
        <w:autoSpaceDN w:val="0"/>
        <w:adjustRightInd w:val="0"/>
        <w:ind w:left="2880" w:right="648"/>
        <w:outlineLvl w:val="9"/>
        <w:rPr>
          <w:rFonts w:eastAsiaTheme="minorHAnsi"/>
        </w:rPr>
      </w:pPr>
      <w:r>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14:paraId="27472001" w14:textId="77777777"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14:paraId="27472002" w14:textId="77777777" w:rsidR="00AE5146" w:rsidRPr="00AE5146" w:rsidRDefault="00611F72" w:rsidP="00AE5146">
      <w:pPr>
        <w:autoSpaceDE w:val="0"/>
        <w:autoSpaceDN w:val="0"/>
        <w:ind w:left="2880" w:right="648" w:hanging="2160"/>
        <w:rPr>
          <w:rFonts w:asciiTheme="minorHAnsi" w:hAnsiTheme="minorHAnsi" w:cstheme="minorHAnsi"/>
          <w:color w:val="00000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E5146" w:rsidRPr="00AE5146">
        <w:rPr>
          <w:rFonts w:asciiTheme="minorHAnsi" w:hAnsiTheme="minorHAnsi" w:cstheme="minorHAnsi"/>
        </w:rPr>
        <w:t>This rulemaking</w:t>
      </w:r>
      <w:r w:rsidR="00AE5146" w:rsidRPr="00AE5146">
        <w:rPr>
          <w:rFonts w:asciiTheme="minorHAnsi" w:hAnsiTheme="minorHAnsi" w:cstheme="minorHAnsi"/>
          <w:color w:val="000000"/>
        </w:rPr>
        <w:t xml:space="preserve"> proposes to revise freshwater ammonia criteria based on the most current data. DEQ is not revising its mixing zone policy as part of this rulemaking. DEQ generally addresses the concern of mixing zone impacts upon non-mobile shellfish communities by limiting the size and extant of the mixing zones in accordance with state rules (OAR 340-041-0053) and current guidance (Regulated Mixing Zone IMD Vol. 1). </w:t>
      </w:r>
    </w:p>
    <w:p w14:paraId="27472003" w14:textId="77777777" w:rsidR="00AE5146" w:rsidRPr="00AE5146" w:rsidRDefault="00AE5146" w:rsidP="00AE5146">
      <w:pPr>
        <w:autoSpaceDE w:val="0"/>
        <w:autoSpaceDN w:val="0"/>
        <w:ind w:left="3240" w:right="648" w:hanging="360"/>
        <w:rPr>
          <w:rFonts w:asciiTheme="minorHAnsi" w:hAnsiTheme="minorHAnsi" w:cstheme="minorHAnsi"/>
          <w:color w:val="000000"/>
        </w:rPr>
      </w:pPr>
    </w:p>
    <w:p w14:paraId="27472004" w14:textId="77777777" w:rsidR="00AE5146" w:rsidRPr="00AE5146" w:rsidRDefault="00AE5146" w:rsidP="00AE5146">
      <w:pPr>
        <w:ind w:left="2880" w:right="648"/>
        <w:rPr>
          <w:rFonts w:asciiTheme="minorHAnsi" w:hAnsiTheme="minorHAnsi" w:cstheme="minorHAnsi"/>
          <w:color w:val="1F497D"/>
        </w:rPr>
      </w:pPr>
      <w:r w:rsidRPr="00AE5146">
        <w:rPr>
          <w:rFonts w:asciiTheme="minorHAnsi" w:hAnsiTheme="minorHAnsi" w:cstheme="minorHAnsi"/>
          <w:color w:val="000000"/>
        </w:rPr>
        <w:t>DEQ does not believe it is necessary to require dischargers to collect and address evidence of localized extirpations of freshwater mussels. DEQ’s proposed amendments to t</w:t>
      </w:r>
      <w:r w:rsidR="00672188">
        <w:rPr>
          <w:rFonts w:asciiTheme="minorHAnsi" w:hAnsiTheme="minorHAnsi" w:cstheme="minorHAnsi"/>
          <w:color w:val="000000"/>
        </w:rPr>
        <w:t xml:space="preserve">he ammonia criteria are </w:t>
      </w:r>
      <w:r w:rsidRPr="00AE5146">
        <w:rPr>
          <w:rFonts w:asciiTheme="minorHAnsi" w:hAnsiTheme="minorHAnsi" w:cstheme="minorHAnsi"/>
          <w:color w:val="000000"/>
        </w:rPr>
        <w:t>based on the assumption that mussels are present in all freshwater systems</w:t>
      </w:r>
      <w:r w:rsidR="00672188">
        <w:rPr>
          <w:rFonts w:asciiTheme="minorHAnsi" w:hAnsiTheme="minorHAnsi" w:cstheme="minorHAnsi"/>
          <w:color w:val="000000"/>
        </w:rPr>
        <w:t xml:space="preserve"> and that use must be protected. T</w:t>
      </w:r>
      <w:r w:rsidRPr="00AE5146">
        <w:rPr>
          <w:rFonts w:asciiTheme="minorHAnsi" w:hAnsiTheme="minorHAnsi" w:cstheme="minorHAnsi"/>
          <w:color w:val="000000"/>
        </w:rPr>
        <w:t xml:space="preserve">he </w:t>
      </w:r>
      <w:r w:rsidR="00672188">
        <w:rPr>
          <w:rFonts w:asciiTheme="minorHAnsi" w:hAnsiTheme="minorHAnsi" w:cstheme="minorHAnsi"/>
          <w:color w:val="000000"/>
        </w:rPr>
        <w:t xml:space="preserve">proposed </w:t>
      </w:r>
      <w:r w:rsidRPr="00AE5146">
        <w:rPr>
          <w:rFonts w:asciiTheme="minorHAnsi" w:hAnsiTheme="minorHAnsi" w:cstheme="minorHAnsi"/>
          <w:color w:val="000000"/>
        </w:rPr>
        <w:t>criteria should protect most mussels and snails that are present or could be present in the future. If a third party wished to support site-specific criteria based on the justification that mussels are not present at a site, DEQ would require a rigorous mussel survey, including evidence indicating that mussels have not likely been present at the site since prior to 1975.</w:t>
      </w:r>
    </w:p>
    <w:p w14:paraId="27472005" w14:textId="77777777" w:rsidR="00AE5146" w:rsidRDefault="00AE5146" w:rsidP="00495352">
      <w:pPr>
        <w:autoSpaceDE w:val="0"/>
        <w:autoSpaceDN w:val="0"/>
        <w:ind w:left="2880" w:right="648" w:hanging="1800"/>
        <w:rPr>
          <w:rFonts w:asciiTheme="minorHAnsi" w:hAnsiTheme="minorHAnsi" w:cstheme="minorHAnsi"/>
          <w:color w:val="70481C" w:themeColor="accent6" w:themeShade="80"/>
        </w:rPr>
      </w:pPr>
    </w:p>
    <w:p w14:paraId="27472006" w14:textId="77777777" w:rsidR="00AE5146" w:rsidRDefault="00AE5146" w:rsidP="00495352">
      <w:pPr>
        <w:autoSpaceDE w:val="0"/>
        <w:autoSpaceDN w:val="0"/>
        <w:ind w:left="2880" w:right="648" w:hanging="1800"/>
        <w:rPr>
          <w:rFonts w:asciiTheme="minorHAnsi" w:hAnsiTheme="minorHAnsi" w:cstheme="minorHAnsi"/>
        </w:rPr>
      </w:pPr>
    </w:p>
    <w:p w14:paraId="27472007" w14:textId="77777777" w:rsidR="00AE5146" w:rsidRDefault="00AE5146" w:rsidP="00495352">
      <w:pPr>
        <w:autoSpaceDE w:val="0"/>
        <w:autoSpaceDN w:val="0"/>
        <w:ind w:left="2880" w:right="648" w:hanging="1800"/>
        <w:rPr>
          <w:rFonts w:asciiTheme="minorHAnsi" w:hAnsiTheme="minorHAnsi" w:cstheme="minorHAnsi"/>
        </w:rPr>
      </w:pPr>
    </w:p>
    <w:p w14:paraId="27472008" w14:textId="77777777" w:rsidR="00AE5146" w:rsidRDefault="00AE5146" w:rsidP="00495352">
      <w:pPr>
        <w:autoSpaceDE w:val="0"/>
        <w:autoSpaceDN w:val="0"/>
        <w:ind w:left="2880" w:right="648" w:hanging="1800"/>
        <w:rPr>
          <w:rFonts w:asciiTheme="minorHAnsi" w:hAnsiTheme="minorHAnsi" w:cstheme="minorHAnsi"/>
        </w:rPr>
      </w:pPr>
    </w:p>
    <w:p w14:paraId="27472009" w14:textId="77777777" w:rsidR="00AE5146" w:rsidRDefault="00AE5146" w:rsidP="00495352">
      <w:pPr>
        <w:autoSpaceDE w:val="0"/>
        <w:autoSpaceDN w:val="0"/>
        <w:ind w:left="2880" w:right="648" w:hanging="1800"/>
        <w:rPr>
          <w:rFonts w:asciiTheme="minorHAnsi" w:hAnsiTheme="minorHAnsi" w:cstheme="minorHAnsi"/>
        </w:rPr>
      </w:pPr>
    </w:p>
    <w:p w14:paraId="2747200A" w14:textId="77777777" w:rsidR="00AE5146" w:rsidRDefault="00AE5146" w:rsidP="00495352">
      <w:pPr>
        <w:autoSpaceDE w:val="0"/>
        <w:autoSpaceDN w:val="0"/>
        <w:ind w:left="2880" w:right="648" w:hanging="1800"/>
        <w:rPr>
          <w:rFonts w:asciiTheme="minorHAnsi" w:hAnsiTheme="minorHAnsi" w:cstheme="minorHAnsi"/>
        </w:rPr>
      </w:pPr>
    </w:p>
    <w:p w14:paraId="2747200B" w14:textId="77777777" w:rsidR="007F048C" w:rsidRDefault="007F048C" w:rsidP="007F048C">
      <w:pPr>
        <w:autoSpaceDE w:val="0"/>
        <w:autoSpaceDN w:val="0"/>
        <w:rPr>
          <w:rFonts w:asciiTheme="minorHAnsi" w:hAnsiTheme="minorHAnsi" w:cstheme="minorHAnsi"/>
          <w:color w:val="70481C" w:themeColor="accent6" w:themeShade="80"/>
        </w:rPr>
      </w:pPr>
    </w:p>
    <w:p w14:paraId="2747200C" w14:textId="77777777"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14:paraId="2747200D" w14:textId="77777777"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14:paraId="2747200E" w14:textId="77777777" w:rsidR="00641511" w:rsidRDefault="00641511" w:rsidP="00641511">
      <w:pPr>
        <w:pStyle w:val="ListParagraph"/>
        <w:spacing w:after="120"/>
        <w:ind w:left="2880" w:right="630"/>
        <w:rPr>
          <w:rFonts w:asciiTheme="minorHAnsi" w:hAnsiTheme="minorHAnsi" w:cstheme="minorHAnsi"/>
          <w:bCs/>
          <w:color w:val="000000" w:themeColor="text1"/>
        </w:rPr>
      </w:pPr>
    </w:p>
    <w:p w14:paraId="2747200F" w14:textId="77777777"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641511" w:rsidRPr="00B15DF7" w14:paraId="27472011" w14:textId="77777777" w:rsidTr="00570A2A">
        <w:trPr>
          <w:trHeight w:val="600"/>
        </w:trPr>
        <w:tc>
          <w:tcPr>
            <w:tcW w:w="12240" w:type="dxa"/>
            <w:tcBorders>
              <w:top w:val="nil"/>
              <w:left w:val="nil"/>
              <w:bottom w:val="double" w:sz="6" w:space="0" w:color="7F7F7F"/>
              <w:right w:val="nil"/>
            </w:tcBorders>
            <w:shd w:val="clear" w:color="000000" w:fill="D8D3C6"/>
            <w:noWrap/>
            <w:vAlign w:val="bottom"/>
            <w:hideMark/>
          </w:tcPr>
          <w:p w14:paraId="27472010" w14:textId="77777777" w:rsidR="00641511" w:rsidRPr="004F673A" w:rsidRDefault="00641511" w:rsidP="00570A2A">
            <w:pPr>
              <w:ind w:left="0"/>
              <w:rPr>
                <w:bCs/>
                <w:color w:val="32525C"/>
                <w:sz w:val="28"/>
                <w:szCs w:val="28"/>
              </w:rPr>
            </w:pPr>
            <w:r>
              <w:rPr>
                <w:bCs/>
                <w:color w:val="32525C"/>
                <w:sz w:val="28"/>
                <w:szCs w:val="28"/>
              </w:rPr>
              <w:lastRenderedPageBreak/>
              <w:tab/>
              <w:t>Commenters</w:t>
            </w:r>
          </w:p>
        </w:tc>
      </w:tr>
    </w:tbl>
    <w:p w14:paraId="27472012" w14:textId="77777777" w:rsidR="00641511" w:rsidRPr="00B15DF7" w:rsidRDefault="00641511" w:rsidP="00641511">
      <w:pPr>
        <w:rPr>
          <w:color w:val="32525C"/>
        </w:rPr>
      </w:pPr>
      <w:r w:rsidRPr="00B15DF7">
        <w:rPr>
          <w:color w:val="32525C"/>
        </w:rPr>
        <w:t>  </w:t>
      </w:r>
    </w:p>
    <w:p w14:paraId="27472013" w14:textId="77777777"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39"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14:paraId="27472014" w14:textId="77777777" w:rsidR="00641511" w:rsidRPr="00B632A4" w:rsidRDefault="00641511" w:rsidP="00641511">
      <w:pPr>
        <w:spacing w:after="120"/>
        <w:ind w:right="630"/>
        <w:rPr>
          <w:rStyle w:val="Emphasis"/>
        </w:rPr>
      </w:pPr>
    </w:p>
    <w:p w14:paraId="27472015" w14:textId="77777777" w:rsidR="00641511" w:rsidRPr="009677FF" w:rsidRDefault="00641511" w:rsidP="00641511">
      <w:pPr>
        <w:pStyle w:val="Heading2"/>
      </w:pPr>
      <w:r w:rsidRPr="009677FF">
        <w:t>Comments received by close of public comment period</w:t>
      </w:r>
    </w:p>
    <w:p w14:paraId="27472016" w14:textId="77777777"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14:paraId="27472017" w14:textId="77777777" w:rsidR="00641511" w:rsidRPr="00427ABB" w:rsidRDefault="00641511" w:rsidP="00641511">
      <w:pPr>
        <w:spacing w:after="120"/>
        <w:ind w:right="630"/>
        <w:rPr>
          <w:rFonts w:asciiTheme="minorHAnsi" w:hAnsiTheme="minorHAnsi" w:cstheme="minorHAnsi"/>
          <w:bCs/>
          <w:color w:val="000000" w:themeColor="text1"/>
        </w:rPr>
      </w:pPr>
    </w:p>
    <w:p w14:paraId="27472018" w14:textId="77777777"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14:paraId="27472019" w14:textId="77777777"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14:paraId="2747201A" w14:textId="77777777"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2747201B" w14:textId="77777777"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14:paraId="2747201C" w14:textId="77777777"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14:paraId="2747201D" w14:textId="77777777"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14:paraId="2747201E" w14:textId="77777777"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2747201F" w14:textId="77777777"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14:paraId="27472020" w14:textId="77777777"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14:paraId="27472021" w14:textId="77777777"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14:paraId="27472022" w14:textId="77777777"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27472023" w14:textId="77777777"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14:paraId="27472024" w14:textId="77777777"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14:paraId="27472025" w14:textId="77777777"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14:paraId="27472026" w14:textId="77777777"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27472027" w14:textId="77777777" w:rsidR="00D42853" w:rsidRDefault="00D42853" w:rsidP="00D42853">
      <w:pPr>
        <w:pStyle w:val="ListParagraph"/>
        <w:spacing w:after="120"/>
        <w:ind w:right="630"/>
        <w:contextualSpacing w:val="0"/>
        <w:rPr>
          <w:rFonts w:asciiTheme="minorHAnsi" w:hAnsiTheme="minorHAnsi" w:cstheme="minorHAnsi"/>
          <w:bCs/>
          <w:color w:val="000000" w:themeColor="text1"/>
        </w:rPr>
      </w:pPr>
    </w:p>
    <w:p w14:paraId="27472028" w14:textId="77777777"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14:paraId="27472029" w14:textId="77777777"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14:paraId="2747202A" w14:textId="77777777"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2747202B" w14:textId="77777777" w:rsidR="00641511" w:rsidRDefault="00641511" w:rsidP="00641511">
      <w:pPr>
        <w:tabs>
          <w:tab w:val="left" w:pos="2700"/>
        </w:tabs>
        <w:spacing w:after="120"/>
        <w:ind w:right="634"/>
        <w:rPr>
          <w:rStyle w:val="Emphasis"/>
        </w:rPr>
      </w:pPr>
    </w:p>
    <w:p w14:paraId="2747202C" w14:textId="77777777" w:rsidR="00641511" w:rsidRDefault="00641511" w:rsidP="00641511">
      <w:pPr>
        <w:pStyle w:val="Heading2"/>
      </w:pPr>
    </w:p>
    <w:p w14:paraId="2747202D" w14:textId="77777777" w:rsidR="00641511" w:rsidRPr="00DC04D1" w:rsidRDefault="00641511" w:rsidP="00641511">
      <w:pPr>
        <w:pStyle w:val="Heading2"/>
        <w:rPr>
          <w:rFonts w:asciiTheme="minorHAnsi" w:hAnsiTheme="minorHAnsi" w:cstheme="minorHAnsi"/>
        </w:rPr>
      </w:pPr>
      <w:r>
        <w:t>Comments received after close of public comment period</w:t>
      </w:r>
    </w:p>
    <w:p w14:paraId="2747202E" w14:textId="77777777" w:rsidR="000A6E2F" w:rsidRDefault="000A6E2F" w:rsidP="00641511">
      <w:pPr>
        <w:spacing w:after="120"/>
        <w:ind w:right="630"/>
        <w:rPr>
          <w:color w:val="000000" w:themeColor="text1"/>
        </w:rPr>
      </w:pPr>
      <w:r>
        <w:rPr>
          <w:color w:val="000000" w:themeColor="text1"/>
        </w:rPr>
        <w:t>No comments were received after the close of the public comment period.</w:t>
      </w:r>
    </w:p>
    <w:p w14:paraId="2747202F" w14:textId="77777777" w:rsidR="00641511" w:rsidRPr="00150BD4" w:rsidRDefault="00641511" w:rsidP="00641511">
      <w:pPr>
        <w:pStyle w:val="ListParagraph"/>
        <w:ind w:left="2880" w:right="634" w:hanging="1440"/>
        <w:contextualSpacing w:val="0"/>
        <w:rPr>
          <w:rStyle w:val="Emphasis"/>
        </w:rPr>
      </w:pPr>
    </w:p>
    <w:p w14:paraId="27472030" w14:textId="77777777" w:rsidR="00641511" w:rsidRDefault="00641511" w:rsidP="00641511">
      <w:pPr>
        <w:tabs>
          <w:tab w:val="left" w:pos="2700"/>
        </w:tabs>
        <w:spacing w:after="120"/>
        <w:ind w:right="634"/>
        <w:rPr>
          <w:rStyle w:val="Emphasis"/>
        </w:rPr>
      </w:pPr>
    </w:p>
    <w:p w14:paraId="27472031" w14:textId="77777777"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14:paraId="27472032" w14:textId="77777777" w:rsidR="00641511" w:rsidRDefault="00641511" w:rsidP="00641511"/>
    <w:p w14:paraId="27472033" w14:textId="77777777" w:rsidR="00483E60" w:rsidRDefault="00483E60" w:rsidP="00483E60">
      <w:pPr>
        <w:pStyle w:val="ListParagraph"/>
        <w:spacing w:after="120"/>
        <w:contextualSpacing w:val="0"/>
        <w:rPr>
          <w:rFonts w:asciiTheme="minorHAnsi" w:hAnsiTheme="minorHAnsi" w:cstheme="minorHAnsi"/>
          <w:color w:val="702C1C" w:themeColor="accent1" w:themeShade="80"/>
        </w:rPr>
      </w:pPr>
    </w:p>
    <w:p w14:paraId="27472034" w14:textId="77777777"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483E60" w:rsidRPr="00B15DF7" w14:paraId="27472037" w14:textId="77777777" w:rsidTr="00570A2A">
        <w:trPr>
          <w:trHeight w:val="571"/>
        </w:trPr>
        <w:tc>
          <w:tcPr>
            <w:tcW w:w="12240" w:type="dxa"/>
            <w:shd w:val="clear" w:color="000000" w:fill="E2DDDB" w:themeFill="text2" w:themeFillTint="33"/>
            <w:noWrap/>
            <w:vAlign w:val="bottom"/>
            <w:hideMark/>
          </w:tcPr>
          <w:p w14:paraId="27472035" w14:textId="77777777" w:rsidR="00483E60" w:rsidRPr="00823C9D" w:rsidRDefault="00483E60" w:rsidP="00570A2A">
            <w:pPr>
              <w:rPr>
                <w:b/>
                <w:bCs/>
                <w:color w:val="32525C"/>
                <w:sz w:val="28"/>
                <w:szCs w:val="28"/>
              </w:rPr>
            </w:pPr>
            <w:r w:rsidRPr="00B15DF7">
              <w:rPr>
                <w:bCs/>
                <w:color w:val="504938"/>
                <w:sz w:val="22"/>
                <w:szCs w:val="22"/>
              </w:rPr>
              <w:lastRenderedPageBreak/>
              <w:t> </w:t>
            </w:r>
          </w:p>
          <w:p w14:paraId="27472036" w14:textId="77777777" w:rsidR="00483E60" w:rsidRPr="004F673A" w:rsidRDefault="00483E60" w:rsidP="00570A2A">
            <w:pPr>
              <w:ind w:left="0"/>
              <w:rPr>
                <w:bCs/>
                <w:color w:val="32525C"/>
                <w:sz w:val="28"/>
                <w:szCs w:val="28"/>
              </w:rPr>
            </w:pPr>
            <w:r>
              <w:rPr>
                <w:bCs/>
                <w:color w:val="32525C"/>
                <w:sz w:val="28"/>
                <w:szCs w:val="28"/>
              </w:rPr>
              <w:tab/>
              <w:t>Stakeholder and public involvement</w:t>
            </w:r>
          </w:p>
        </w:tc>
      </w:tr>
    </w:tbl>
    <w:p w14:paraId="27472038" w14:textId="77777777" w:rsidR="00483E60" w:rsidRDefault="00483E60" w:rsidP="00483E60">
      <w:pPr>
        <w:ind w:left="0"/>
        <w:rPr>
          <w:color w:val="32525C"/>
        </w:rPr>
      </w:pPr>
    </w:p>
    <w:p w14:paraId="27472039" w14:textId="77777777" w:rsidR="00483E60" w:rsidRPr="00C52BA4" w:rsidRDefault="00483E60" w:rsidP="00483E60">
      <w:pPr>
        <w:ind w:left="0"/>
        <w:rPr>
          <w:color w:val="32525C"/>
        </w:rPr>
      </w:pPr>
      <w:r w:rsidRPr="006807BF">
        <w:rPr>
          <w:color w:val="000000" w:themeColor="text1"/>
        </w:rPr>
        <w:t> </w:t>
      </w:r>
      <w:bookmarkStart w:id="4" w:name="AdvisoryCommittee"/>
      <w:r w:rsidRPr="006807BF">
        <w:rPr>
          <w:rFonts w:asciiTheme="majorHAnsi" w:hAnsiTheme="majorHAnsi" w:cstheme="majorHAnsi"/>
          <w:bCs/>
          <w:color w:val="000000" w:themeColor="text1"/>
          <w:sz w:val="22"/>
          <w:szCs w:val="22"/>
        </w:rPr>
        <w:t>Advisory committee</w:t>
      </w:r>
      <w:bookmarkEnd w:id="4"/>
    </w:p>
    <w:p w14:paraId="2747203A" w14:textId="77777777" w:rsidR="00483E60" w:rsidRDefault="00483E60" w:rsidP="00483E60">
      <w:pPr>
        <w:rPr>
          <w:rFonts w:asciiTheme="minorHAnsi" w:hAnsiTheme="minorHAnsi" w:cstheme="minorHAnsi"/>
          <w:color w:val="000000"/>
        </w:rPr>
      </w:pPr>
    </w:p>
    <w:p w14:paraId="2747203B" w14:textId="77777777"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14:paraId="2747203C" w14:textId="77777777"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14:paraId="2747203D" w14:textId="77777777"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14:paraId="2747203E" w14:textId="77777777"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DEQ proposes to </w:t>
      </w:r>
      <w:r w:rsidR="002B126B">
        <w:rPr>
          <w:rFonts w:asciiTheme="minorHAnsi" w:hAnsiTheme="minorHAnsi" w:cstheme="minorHAnsi"/>
          <w:iCs/>
          <w:color w:val="000000" w:themeColor="text1"/>
        </w:rPr>
        <w:t xml:space="preserve">wholly </w:t>
      </w:r>
      <w:r w:rsidRPr="005E7B2A">
        <w:rPr>
          <w:rFonts w:asciiTheme="minorHAnsi" w:hAnsiTheme="minorHAnsi" w:cstheme="minorHAnsi"/>
          <w:iCs/>
          <w:color w:val="000000" w:themeColor="text1"/>
        </w:rPr>
        <w:t xml:space="preserve">adopt EPA’s criteria, rather than modify any parts of the criteria based on particular state circumstances. </w:t>
      </w:r>
    </w:p>
    <w:p w14:paraId="2747203F" w14:textId="77777777" w:rsidR="00483E60" w:rsidRDefault="00483E60" w:rsidP="00483E60">
      <w:pPr>
        <w:ind w:right="828"/>
        <w:rPr>
          <w:rFonts w:asciiTheme="minorHAnsi" w:hAnsiTheme="minorHAnsi" w:cstheme="minorHAnsi"/>
          <w:iCs/>
          <w:color w:val="000000" w:themeColor="text1"/>
        </w:rPr>
      </w:pPr>
    </w:p>
    <w:p w14:paraId="27472040" w14:textId="77777777"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14:paraId="27472041" w14:textId="77777777" w:rsidR="00483E60" w:rsidRDefault="00483E60" w:rsidP="00483E60">
      <w:pPr>
        <w:rPr>
          <w:rFonts w:asciiTheme="minorHAnsi" w:hAnsiTheme="minorHAnsi" w:cstheme="minorHAnsi"/>
          <w:bCs/>
          <w:color w:val="504938"/>
        </w:rPr>
      </w:pPr>
    </w:p>
    <w:p w14:paraId="27472042" w14:textId="77777777" w:rsidR="00483E60" w:rsidRDefault="00483E60" w:rsidP="00483E60">
      <w:pPr>
        <w:pStyle w:val="Caption"/>
        <w:ind w:left="360"/>
        <w:jc w:val="left"/>
        <w:rPr>
          <w:rFonts w:asciiTheme="majorHAnsi" w:hAnsiTheme="majorHAnsi" w:cstheme="majorHAnsi"/>
        </w:rPr>
      </w:pPr>
    </w:p>
    <w:p w14:paraId="27472043" w14:textId="77777777"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B56E9B"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B56E9B" w:rsidRPr="00C11796">
        <w:rPr>
          <w:rFonts w:asciiTheme="majorHAnsi" w:hAnsiTheme="majorHAnsi" w:cstheme="majorHAnsi"/>
        </w:rPr>
        <w:fldChar w:fldCharType="separate"/>
      </w:r>
      <w:r>
        <w:rPr>
          <w:rFonts w:asciiTheme="majorHAnsi" w:hAnsiTheme="majorHAnsi" w:cstheme="majorHAnsi"/>
          <w:noProof/>
        </w:rPr>
        <w:t>1</w:t>
      </w:r>
      <w:r w:rsidR="00B56E9B" w:rsidRPr="00C11796">
        <w:rPr>
          <w:rFonts w:asciiTheme="majorHAnsi" w:hAnsiTheme="majorHAnsi" w:cstheme="majorHAnsi"/>
        </w:rPr>
        <w:fldChar w:fldCharType="end"/>
      </w:r>
      <w:r w:rsidRPr="00C11796">
        <w:rPr>
          <w:rFonts w:asciiTheme="majorHAnsi" w:hAnsiTheme="majorHAnsi" w:cstheme="majorHAnsi"/>
          <w:noProof/>
        </w:rPr>
        <w:t>: List of Stakeholder Groups</w:t>
      </w:r>
    </w:p>
    <w:p w14:paraId="27472044" w14:textId="77777777"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firstRow="1" w:lastRow="0" w:firstColumn="1" w:lastColumn="0" w:noHBand="0" w:noVBand="1"/>
      </w:tblPr>
      <w:tblGrid>
        <w:gridCol w:w="6120"/>
        <w:gridCol w:w="2880"/>
      </w:tblGrid>
      <w:tr w:rsidR="00483E60" w:rsidRPr="002039E2" w14:paraId="27472047" w14:textId="77777777" w:rsidTr="00483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single" w:sz="8" w:space="0" w:color="008272"/>
              <w:right w:val="none" w:sz="0" w:space="0" w:color="auto"/>
            </w:tcBorders>
            <w:shd w:val="clear" w:color="auto" w:fill="008272"/>
          </w:tcPr>
          <w:p w14:paraId="27472045" w14:textId="77777777"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14:paraId="27472046" w14:textId="77777777" w:rsidR="00483E60" w:rsidRPr="00EB63C9" w:rsidRDefault="00483E60" w:rsidP="00570A2A">
            <w:pPr>
              <w:jc w:val="righ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B63C9">
              <w:rPr>
                <w:color w:val="FFFFFF" w:themeColor="background1"/>
                <w:sz w:val="22"/>
                <w:szCs w:val="22"/>
              </w:rPr>
              <w:t>Date</w:t>
            </w:r>
          </w:p>
        </w:tc>
      </w:tr>
      <w:tr w:rsidR="00483E60" w:rsidRPr="002039E2" w14:paraId="2747204A" w14:textId="77777777" w:rsidTr="00483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FFFFFF" w:themeFill="background1"/>
          </w:tcPr>
          <w:p w14:paraId="27472048" w14:textId="77777777"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14:paraId="27472049" w14:textId="77777777" w:rsidR="00483E60" w:rsidRPr="005E7B2A" w:rsidRDefault="00483E60" w:rsidP="00570A2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E7B2A">
              <w:rPr>
                <w:rFonts w:asciiTheme="minorHAnsi" w:hAnsiTheme="minorHAnsi" w:cstheme="minorHAnsi"/>
              </w:rPr>
              <w:t>Jan. 30, 2014</w:t>
            </w:r>
          </w:p>
        </w:tc>
      </w:tr>
      <w:tr w:rsidR="00483E60" w:rsidRPr="002039E2" w14:paraId="2747204D" w14:textId="77777777" w:rsidTr="00483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single" w:sz="8" w:space="0" w:color="008272"/>
              <w:right w:val="none" w:sz="0" w:space="0" w:color="auto"/>
            </w:tcBorders>
            <w:shd w:val="clear" w:color="auto" w:fill="E8E4E2" w:themeFill="background2"/>
          </w:tcPr>
          <w:p w14:paraId="2747204B" w14:textId="77777777"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14:paraId="2747204C" w14:textId="77777777" w:rsidR="00483E60" w:rsidRPr="005E7B2A" w:rsidRDefault="00483E60" w:rsidP="00570A2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5E7B2A">
              <w:rPr>
                <w:rFonts w:asciiTheme="minorHAnsi" w:hAnsiTheme="minorHAnsi" w:cstheme="minorHAnsi"/>
              </w:rPr>
              <w:t>Jan. 30, 2014</w:t>
            </w:r>
          </w:p>
        </w:tc>
      </w:tr>
      <w:tr w:rsidR="00483E60" w:rsidRPr="002039E2" w14:paraId="27472050" w14:textId="77777777" w:rsidTr="00483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FFFFFF" w:themeFill="background1"/>
          </w:tcPr>
          <w:p w14:paraId="2747204E" w14:textId="77777777"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14:paraId="2747204F" w14:textId="77777777" w:rsidR="00483E60" w:rsidRPr="005E7B2A" w:rsidRDefault="00483E60" w:rsidP="00570A2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E7B2A">
              <w:rPr>
                <w:rFonts w:asciiTheme="minorHAnsi" w:hAnsiTheme="minorHAnsi" w:cstheme="minorHAnsi"/>
              </w:rPr>
              <w:t>Jan. 30, 2014</w:t>
            </w:r>
          </w:p>
        </w:tc>
      </w:tr>
      <w:tr w:rsidR="00483E60" w:rsidRPr="002039E2" w14:paraId="27472053" w14:textId="77777777" w:rsidTr="00483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E8E4E2" w:themeFill="background2"/>
          </w:tcPr>
          <w:p w14:paraId="27472051" w14:textId="77777777"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14:paraId="27472052" w14:textId="77777777" w:rsidR="00483E60" w:rsidRDefault="00483E60" w:rsidP="00570A2A">
            <w:pPr>
              <w:jc w:val="righ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14:paraId="27472056" w14:textId="77777777" w:rsidTr="00483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auto"/>
          </w:tcPr>
          <w:p w14:paraId="27472054" w14:textId="77777777"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14:paraId="27472055" w14:textId="77777777" w:rsidR="00483E60" w:rsidRDefault="00483E60" w:rsidP="00570A2A">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14:paraId="27472059" w14:textId="77777777" w:rsidTr="00483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E8E4E2" w:themeFill="background2"/>
          </w:tcPr>
          <w:p w14:paraId="27472057" w14:textId="77777777"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14:paraId="27472058" w14:textId="77777777" w:rsidR="00483E60" w:rsidRDefault="00483E60" w:rsidP="00570A2A">
            <w:pPr>
              <w:jc w:val="righ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14:paraId="2747205C" w14:textId="77777777" w:rsidTr="00483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auto"/>
          </w:tcPr>
          <w:p w14:paraId="2747205A" w14:textId="77777777"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14:paraId="2747205B" w14:textId="77777777" w:rsidR="00483E60" w:rsidRDefault="00483E60" w:rsidP="00570A2A">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rPr>
            </w:pPr>
            <w:r w:rsidRPr="005E7B2A">
              <w:rPr>
                <w:rFonts w:asciiTheme="minorHAnsi" w:hAnsiTheme="minorHAnsi" w:cstheme="minorHAnsi"/>
              </w:rPr>
              <w:t>Feb. 21, 2014</w:t>
            </w:r>
          </w:p>
        </w:tc>
      </w:tr>
    </w:tbl>
    <w:p w14:paraId="2747205D" w14:textId="77777777" w:rsidR="00483E60" w:rsidRDefault="00483E60" w:rsidP="00483E60">
      <w:pPr>
        <w:rPr>
          <w:rFonts w:asciiTheme="minorHAnsi" w:hAnsiTheme="minorHAnsi" w:cstheme="minorHAnsi"/>
          <w:color w:val="415B5C" w:themeColor="accent3" w:themeShade="80"/>
        </w:rPr>
      </w:pPr>
    </w:p>
    <w:p w14:paraId="2747205E" w14:textId="77777777"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14:paraId="2747205F" w14:textId="77777777" w:rsidR="00483E60" w:rsidRDefault="00483E60" w:rsidP="00483E60">
      <w:pPr>
        <w:rPr>
          <w:rFonts w:asciiTheme="minorHAnsi" w:hAnsiTheme="minorHAnsi" w:cstheme="minorHAnsi"/>
        </w:rPr>
      </w:pPr>
    </w:p>
    <w:p w14:paraId="27472060" w14:textId="77777777"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0"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14:paraId="27472061" w14:textId="77777777" w:rsidR="00483E60" w:rsidRPr="00C9239E" w:rsidRDefault="00483E60" w:rsidP="00483E60">
      <w:pPr>
        <w:rPr>
          <w:rFonts w:asciiTheme="minorHAnsi" w:hAnsiTheme="minorHAnsi" w:cstheme="minorHAnsi"/>
          <w:color w:val="000000"/>
        </w:rPr>
      </w:pPr>
    </w:p>
    <w:p w14:paraId="27472062" w14:textId="77777777"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14:paraId="27472063" w14:textId="77777777"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14:paraId="27472064" w14:textId="77777777" w:rsidR="00483E60" w:rsidRDefault="00483E60" w:rsidP="00483E60">
      <w:pPr>
        <w:ind w:left="810"/>
        <w:rPr>
          <w:color w:val="504938"/>
        </w:rPr>
      </w:pPr>
    </w:p>
    <w:p w14:paraId="27472065" w14:textId="77777777"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14:paraId="27472066" w14:textId="77777777"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14:paraId="27472067" w14:textId="77777777"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1"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14:paraId="27472068" w14:textId="77777777"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2"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14:paraId="27472069" w14:textId="77777777"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3"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14:paraId="2747206A" w14:textId="77777777"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14:paraId="2747206B" w14:textId="77777777"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14:paraId="2747206C" w14:textId="77777777"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4"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14:paraId="2747206D" w14:textId="77777777"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14:paraId="2747206E" w14:textId="77777777"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14:paraId="2747206F" w14:textId="77777777"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14:paraId="27472070" w14:textId="77777777" w:rsidR="00483E60" w:rsidRPr="006911BB" w:rsidRDefault="00483E60" w:rsidP="00483E60">
      <w:pPr>
        <w:ind w:left="0"/>
        <w:rPr>
          <w:rFonts w:asciiTheme="minorHAnsi" w:hAnsiTheme="minorHAnsi" w:cstheme="minorHAnsi"/>
          <w:bCs/>
          <w:color w:val="000000" w:themeColor="text1"/>
        </w:rPr>
      </w:pPr>
    </w:p>
    <w:p w14:paraId="27472071" w14:textId="77777777" w:rsidR="00023E2E" w:rsidRDefault="00023E2E" w:rsidP="00023E2E">
      <w:pPr>
        <w:spacing w:after="120"/>
        <w:rPr>
          <w:rStyle w:val="IntenseEmphasis"/>
        </w:rPr>
      </w:pPr>
      <w:r>
        <w:rPr>
          <w:rStyle w:val="IntenseEmphasis"/>
        </w:rPr>
        <w:t>SMOKE MANAGEMENT PLAN RECOMMENDATION</w:t>
      </w:r>
    </w:p>
    <w:p w14:paraId="27472072" w14:textId="77777777"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14:paraId="27472073" w14:textId="77777777"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14:paraId="27472074" w14:textId="77777777"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14:paraId="27472075" w14:textId="77777777"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14:paraId="27472076" w14:textId="77777777" w:rsidR="00023E2E" w:rsidRPr="00AF70B1" w:rsidRDefault="00023E2E" w:rsidP="00023E2E">
      <w:pPr>
        <w:ind w:left="1080" w:right="0"/>
        <w:outlineLvl w:val="9"/>
        <w:rPr>
          <w:rStyle w:val="Emphasis"/>
          <w:vanish w:val="0"/>
        </w:rPr>
      </w:pPr>
    </w:p>
    <w:p w14:paraId="27472077" w14:textId="77777777" w:rsidR="00DA798F" w:rsidRDefault="00DA798F" w:rsidP="00DA798F">
      <w:pPr>
        <w:spacing w:after="120"/>
        <w:ind w:right="0"/>
        <w:outlineLvl w:val="9"/>
        <w:rPr>
          <w:rStyle w:val="Emphasis"/>
        </w:rPr>
      </w:pPr>
    </w:p>
    <w:p w14:paraId="27472078" w14:textId="77777777"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14:paraId="27472079"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14:paraId="2747207A"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14:paraId="2747207B"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14:paraId="2747207C"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14:paraId="2747207D"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14:paraId="2747207E"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14:paraId="2747207F"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14:paraId="27472080" w14:textId="77777777"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14:paraId="27472081" w14:textId="77777777" w:rsidR="00DA798F" w:rsidRDefault="00DA798F" w:rsidP="00DA798F">
      <w:pPr>
        <w:spacing w:after="120"/>
        <w:ind w:right="900"/>
        <w:outlineLvl w:val="9"/>
        <w:rPr>
          <w:rStyle w:val="Emphasis"/>
        </w:rPr>
      </w:pPr>
    </w:p>
    <w:p w14:paraId="27472082" w14:textId="77777777" w:rsidR="00DA798F" w:rsidRDefault="00DA798F" w:rsidP="00DA798F">
      <w:pPr>
        <w:spacing w:after="120"/>
        <w:ind w:left="1080" w:right="900"/>
        <w:outlineLvl w:val="9"/>
        <w:rPr>
          <w:rStyle w:val="Emphasis"/>
        </w:rPr>
      </w:pPr>
      <w:r>
        <w:rPr>
          <w:rStyle w:val="Emphasis"/>
        </w:rPr>
        <w:t>MESSAGE BOX</w:t>
      </w:r>
    </w:p>
    <w:p w14:paraId="27472083" w14:textId="77777777" w:rsidR="00DA798F" w:rsidRDefault="00BF0771" w:rsidP="00DA798F">
      <w:pPr>
        <w:pStyle w:val="ListParagraph"/>
        <w:spacing w:after="120"/>
        <w:ind w:left="1440" w:right="900"/>
        <w:outlineLvl w:val="9"/>
        <w:rPr>
          <w:rStyle w:val="Emphasis"/>
        </w:rPr>
      </w:pPr>
      <w:r>
        <w:rPr>
          <w:rStyle w:val="Emphasis"/>
          <w:lang w:eastAsia="zh-TW"/>
        </w:rPr>
        <w:pict w14:anchorId="274720F1">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14:paraId="274720FB" w14:textId="77777777" w:rsidR="004F0A23" w:rsidRPr="001A4DE1" w:rsidRDefault="004F0A23"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14:paraId="274720FC" w14:textId="77777777" w:rsidR="004F0A23" w:rsidRPr="001A4DE1" w:rsidRDefault="004F0A23"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reviewed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14:paraId="274720FD" w14:textId="77777777" w:rsidR="004F0A23" w:rsidRDefault="004F0A23" w:rsidP="00DA798F"/>
              </w:txbxContent>
            </v:textbox>
          </v:shape>
        </w:pict>
      </w:r>
    </w:p>
    <w:p w14:paraId="27472084" w14:textId="77777777" w:rsidR="00DA798F" w:rsidRDefault="00DA798F" w:rsidP="00DA798F">
      <w:pPr>
        <w:pStyle w:val="ListParagraph"/>
        <w:spacing w:after="120"/>
        <w:ind w:left="1440" w:right="900"/>
        <w:outlineLvl w:val="9"/>
        <w:rPr>
          <w:rStyle w:val="Emphasis"/>
        </w:rPr>
      </w:pPr>
    </w:p>
    <w:p w14:paraId="27472085" w14:textId="77777777" w:rsidR="00DA798F" w:rsidRDefault="00DA798F" w:rsidP="00DA798F">
      <w:pPr>
        <w:pStyle w:val="ListParagraph"/>
        <w:spacing w:after="120"/>
        <w:ind w:left="1440" w:right="900"/>
        <w:outlineLvl w:val="9"/>
        <w:rPr>
          <w:rStyle w:val="Emphasis"/>
        </w:rPr>
      </w:pPr>
    </w:p>
    <w:p w14:paraId="27472086" w14:textId="77777777" w:rsidR="00DA798F" w:rsidRDefault="00DA798F" w:rsidP="00DA798F">
      <w:pPr>
        <w:pStyle w:val="ListParagraph"/>
        <w:spacing w:after="120"/>
        <w:ind w:left="1440" w:right="900"/>
        <w:outlineLvl w:val="9"/>
        <w:rPr>
          <w:rStyle w:val="Emphasis"/>
        </w:rPr>
      </w:pPr>
    </w:p>
    <w:p w14:paraId="27472087" w14:textId="77777777" w:rsidR="00DA798F" w:rsidRDefault="00DA798F" w:rsidP="00DA798F">
      <w:pPr>
        <w:pStyle w:val="ListParagraph"/>
        <w:spacing w:after="120"/>
        <w:ind w:left="1440" w:right="900"/>
        <w:outlineLvl w:val="9"/>
        <w:rPr>
          <w:rStyle w:val="Emphasis"/>
        </w:rPr>
      </w:pPr>
    </w:p>
    <w:p w14:paraId="27472088" w14:textId="77777777" w:rsidR="00DA798F" w:rsidRPr="00132583" w:rsidRDefault="00DA798F" w:rsidP="00DA798F">
      <w:pPr>
        <w:pStyle w:val="ListParagraph"/>
        <w:spacing w:after="120"/>
        <w:ind w:left="1440" w:right="900"/>
        <w:outlineLvl w:val="9"/>
        <w:rPr>
          <w:rStyle w:val="Emphasis"/>
        </w:rPr>
      </w:pPr>
    </w:p>
    <w:p w14:paraId="27472089" w14:textId="77777777" w:rsidR="001A4DE1" w:rsidRDefault="001A4DE1" w:rsidP="00F0078E">
      <w:pPr>
        <w:pStyle w:val="Heading2"/>
      </w:pPr>
    </w:p>
    <w:p w14:paraId="2747208A" w14:textId="77777777" w:rsidR="00DA798F" w:rsidRPr="00DA798F" w:rsidRDefault="00DA798F" w:rsidP="00DA798F"/>
    <w:p w14:paraId="2747208B"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2747208E" w14:textId="77777777" w:rsidTr="009778BC">
        <w:trPr>
          <w:trHeight w:val="571"/>
        </w:trPr>
        <w:tc>
          <w:tcPr>
            <w:tcW w:w="12240" w:type="dxa"/>
            <w:shd w:val="clear" w:color="000000" w:fill="E2DDDB" w:themeFill="text2" w:themeFillTint="33"/>
            <w:noWrap/>
            <w:vAlign w:val="bottom"/>
            <w:hideMark/>
          </w:tcPr>
          <w:p w14:paraId="2747208C" w14:textId="77777777" w:rsidR="00C9239E" w:rsidRPr="00823C9D" w:rsidRDefault="00C9239E" w:rsidP="002D6C99">
            <w:pPr>
              <w:rPr>
                <w:color w:val="32525C"/>
                <w:sz w:val="28"/>
                <w:szCs w:val="28"/>
              </w:rPr>
            </w:pPr>
            <w:r w:rsidRPr="00B15DF7">
              <w:lastRenderedPageBreak/>
              <w:t> </w:t>
            </w:r>
          </w:p>
          <w:p w14:paraId="2747208D" w14:textId="77777777" w:rsidR="00C9239E" w:rsidRPr="004F673A" w:rsidRDefault="00C9239E" w:rsidP="007546FD">
            <w:pPr>
              <w:pStyle w:val="Heading1"/>
            </w:pPr>
            <w:r>
              <w:t xml:space="preserve">Stakeholder </w:t>
            </w:r>
            <w:r w:rsidR="00B35715">
              <w:t xml:space="preserve">and public </w:t>
            </w:r>
            <w:r>
              <w:t>involvement</w:t>
            </w:r>
          </w:p>
        </w:tc>
      </w:tr>
    </w:tbl>
    <w:p w14:paraId="2747208F" w14:textId="77777777" w:rsidR="00C9239E" w:rsidRPr="00161371" w:rsidRDefault="00C9239E" w:rsidP="002D6C99">
      <w:pPr>
        <w:rPr>
          <w:vanish/>
          <w:color w:val="0033CC"/>
          <w:sz w:val="28"/>
          <w:szCs w:val="28"/>
        </w:rPr>
      </w:pPr>
      <w:r w:rsidRPr="00161371">
        <w:rPr>
          <w:vanish/>
          <w:color w:val="0033CC"/>
          <w:sz w:val="28"/>
          <w:szCs w:val="28"/>
        </w:rPr>
        <w:t>  </w:t>
      </w:r>
    </w:p>
    <w:p w14:paraId="27472090" w14:textId="77777777"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14:paraId="27472091" w14:textId="77777777"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14:paraId="27472092" w14:textId="77777777"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14:paraId="27472093" w14:textId="77777777"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14:paraId="27472094" w14:textId="77777777" w:rsidR="00161371" w:rsidRPr="00E052E0" w:rsidRDefault="00161371" w:rsidP="00E052E0">
      <w:pPr>
        <w:ind w:left="1440"/>
        <w:rPr>
          <w:rStyle w:val="Emphasis"/>
        </w:rPr>
      </w:pPr>
    </w:p>
    <w:p w14:paraId="27472095" w14:textId="77777777" w:rsidR="00161371" w:rsidRPr="00E052E0" w:rsidRDefault="00161371" w:rsidP="00E052E0">
      <w:pPr>
        <w:rPr>
          <w:rStyle w:val="Emphasis"/>
        </w:rPr>
      </w:pPr>
      <w:r w:rsidRPr="00E052E0">
        <w:rPr>
          <w:rStyle w:val="Emphasis"/>
        </w:rPr>
        <w:t>CHANGE FROM FUTURE TO PAST TENSE</w:t>
      </w:r>
    </w:p>
    <w:p w14:paraId="27472096" w14:textId="77777777"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14:paraId="27472097" w14:textId="77777777" w:rsidR="00E052E0" w:rsidRPr="00D13EA4" w:rsidRDefault="00E052E0" w:rsidP="00E81582">
      <w:pPr>
        <w:pStyle w:val="Heading2"/>
      </w:pPr>
      <w:r w:rsidRPr="00D13EA4">
        <w:t>Public hearings and comment</w:t>
      </w:r>
    </w:p>
    <w:p w14:paraId="27472098" w14:textId="77777777" w:rsidR="00023E2E" w:rsidRDefault="00E052E0" w:rsidP="00DE131C">
      <w:pPr>
        <w:spacing w:after="120"/>
        <w:ind w:right="828"/>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sidR="00DE131C">
        <w:rPr>
          <w:rFonts w:asciiTheme="minorHAnsi" w:hAnsiTheme="minorHAnsi" w:cstheme="minorHAnsi"/>
          <w:bCs/>
          <w:color w:val="000000" w:themeColor="text1"/>
        </w:rPr>
        <w:t>.</w:t>
      </w:r>
    </w:p>
    <w:p w14:paraId="27472099" w14:textId="77777777" w:rsidR="00E052E0" w:rsidRPr="00D13EA4" w:rsidRDefault="00E052E0" w:rsidP="00E81582">
      <w:pPr>
        <w:pStyle w:val="Heading2"/>
      </w:pPr>
      <w:r w:rsidRPr="00D13EA4">
        <w:t>Presiding Officers’ Record</w:t>
      </w:r>
    </w:p>
    <w:p w14:paraId="2747209A" w14:textId="77777777" w:rsidR="00E052E0" w:rsidRDefault="00E052E0" w:rsidP="008D6307">
      <w:pPr>
        <w:pStyle w:val="Heading3"/>
      </w:pPr>
      <w:r w:rsidRPr="008D6307">
        <w:t>Hearing 1</w:t>
      </w:r>
    </w:p>
    <w:p w14:paraId="2747209B" w14:textId="77777777" w:rsidR="00434181" w:rsidRDefault="00434181" w:rsidP="00434181"/>
    <w:p w14:paraId="2747209C" w14:textId="77777777"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14:paraId="2747209D" w14:textId="77777777"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14:paraId="2747209E" w14:textId="77777777"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14:paraId="2747209F" w14:textId="77777777"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14:paraId="274720A0" w14:textId="77777777" w:rsidR="00434181" w:rsidRDefault="00434181" w:rsidP="00434181">
      <w:pPr>
        <w:tabs>
          <w:tab w:val="left" w:pos="-1440"/>
          <w:tab w:val="left" w:pos="-720"/>
        </w:tabs>
        <w:suppressAutoHyphens/>
        <w:rPr>
          <w:rFonts w:asciiTheme="minorHAnsi" w:hAnsiTheme="minorHAnsi" w:cstheme="minorHAnsi"/>
        </w:rPr>
      </w:pPr>
    </w:p>
    <w:p w14:paraId="274720A1" w14:textId="77777777"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DEQ staff presenters were Andrea Matzke, Aron Borok and Spencer Bohaboy.</w:t>
      </w:r>
    </w:p>
    <w:p w14:paraId="274720A2" w14:textId="77777777" w:rsidR="00434181" w:rsidRPr="0012325D" w:rsidRDefault="00434181" w:rsidP="00434181">
      <w:pPr>
        <w:tabs>
          <w:tab w:val="left" w:pos="-1440"/>
          <w:tab w:val="left" w:pos="-720"/>
        </w:tabs>
        <w:suppressAutoHyphens/>
      </w:pPr>
    </w:p>
    <w:p w14:paraId="274720A3" w14:textId="77777777"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informal discussion with the attendee and </w:t>
      </w:r>
      <w:r w:rsidR="00E771DC">
        <w:t>answered</w:t>
      </w:r>
      <w:r>
        <w:t xml:space="preserve"> question</w:t>
      </w:r>
      <w:r w:rsidR="00E771DC">
        <w:t>s</w:t>
      </w:r>
      <w:r>
        <w:t xml:space="preserve"> </w:t>
      </w:r>
      <w:r w:rsidR="00FF33AE">
        <w:t xml:space="preserve">as </w:t>
      </w:r>
      <w:r w:rsidR="00C06C90">
        <w:t xml:space="preserve">they </w:t>
      </w:r>
      <w:r w:rsidR="00FF33AE">
        <w:t>were able</w:t>
      </w:r>
      <w:r>
        <w:t xml:space="preserve">. </w:t>
      </w:r>
    </w:p>
    <w:p w14:paraId="274720A4" w14:textId="77777777"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E052E0" w:rsidRPr="00427ABB" w14:paraId="274720A7" w14:textId="77777777" w:rsidTr="00E052E0">
        <w:trPr>
          <w:trHeight w:val="560"/>
        </w:trPr>
        <w:tc>
          <w:tcPr>
            <w:tcW w:w="12240" w:type="dxa"/>
            <w:tcBorders>
              <w:top w:val="nil"/>
              <w:left w:val="nil"/>
              <w:bottom w:val="double" w:sz="6" w:space="0" w:color="7F7F7F"/>
              <w:right w:val="nil"/>
            </w:tcBorders>
            <w:shd w:val="clear" w:color="000000" w:fill="D8D3C6"/>
            <w:noWrap/>
            <w:vAlign w:val="bottom"/>
            <w:hideMark/>
          </w:tcPr>
          <w:p w14:paraId="274720A5" w14:textId="77777777" w:rsidR="00E052E0" w:rsidRPr="00427ABB" w:rsidRDefault="00E052E0" w:rsidP="00E052E0">
            <w:pPr>
              <w:ind w:left="0"/>
              <w:rPr>
                <w:b/>
                <w:bCs/>
                <w:color w:val="32525C"/>
                <w:sz w:val="28"/>
                <w:szCs w:val="28"/>
              </w:rPr>
            </w:pPr>
            <w:r w:rsidRPr="00427ABB">
              <w:lastRenderedPageBreak/>
              <w:br w:type="page"/>
            </w:r>
          </w:p>
          <w:p w14:paraId="274720A6" w14:textId="77777777" w:rsidR="00E052E0" w:rsidRPr="00427ABB" w:rsidRDefault="00E052E0" w:rsidP="00E052E0">
            <w:pPr>
              <w:pStyle w:val="Heading1"/>
              <w:rPr>
                <w:rFonts w:eastAsia="Times New Roman"/>
              </w:rPr>
            </w:pPr>
            <w:r w:rsidRPr="00427ABB">
              <w:rPr>
                <w:rFonts w:eastAsia="Times New Roman"/>
              </w:rPr>
              <w:t xml:space="preserve">Implementation </w:t>
            </w:r>
          </w:p>
        </w:tc>
      </w:tr>
    </w:tbl>
    <w:p w14:paraId="274720A8" w14:textId="77777777" w:rsidR="00E052E0" w:rsidRPr="00427ABB" w:rsidRDefault="00E052E0" w:rsidP="00E052E0">
      <w:r w:rsidRPr="00427ABB">
        <w:t>  </w:t>
      </w:r>
    </w:p>
    <w:p w14:paraId="274720A9" w14:textId="77777777" w:rsidR="00E052E0" w:rsidRPr="00427ABB" w:rsidRDefault="00E052E0" w:rsidP="00B92CF2">
      <w:pPr>
        <w:pStyle w:val="Heading2"/>
      </w:pPr>
      <w:r w:rsidRPr="00427ABB">
        <w:t>Notification</w:t>
      </w:r>
    </w:p>
    <w:p w14:paraId="274720AA" w14:textId="77777777"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would 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14:paraId="274720AB" w14:textId="77777777" w:rsidR="00EB7333" w:rsidRDefault="00EB7333" w:rsidP="00E052E0">
      <w:pPr>
        <w:ind w:right="1008"/>
        <w:rPr>
          <w:rFonts w:asciiTheme="minorHAnsi" w:hAnsiTheme="minorHAnsi" w:cstheme="minorHAnsi"/>
          <w:color w:val="000000"/>
        </w:rPr>
      </w:pPr>
    </w:p>
    <w:p w14:paraId="274720AC" w14:textId="77777777"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14:paraId="274720AD" w14:textId="77777777" w:rsidR="00FC3847" w:rsidRPr="00FC3847" w:rsidRDefault="00FC3847" w:rsidP="00FC3847">
      <w:pPr>
        <w:ind w:left="1132" w:right="1008"/>
        <w:rPr>
          <w:rFonts w:asciiTheme="minorHAnsi" w:hAnsiTheme="minorHAnsi" w:cstheme="minorHAnsi"/>
          <w:color w:val="000000"/>
        </w:rPr>
      </w:pPr>
    </w:p>
    <w:p w14:paraId="274720AE" w14:textId="77777777"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5" w:history="1">
        <w:r w:rsidRPr="00BB6576">
          <w:rPr>
            <w:rStyle w:val="Hyperlink"/>
            <w:rFonts w:asciiTheme="minorHAnsi" w:hAnsiTheme="minorHAnsi" w:cstheme="minorHAnsi"/>
          </w:rPr>
          <w:t>http://www.deq.state.or.us/wq/standards/standards.htm</w:t>
        </w:r>
      </w:hyperlink>
    </w:p>
    <w:p w14:paraId="274720AF" w14:textId="77777777" w:rsidR="00FC3847" w:rsidRPr="00FC3847" w:rsidRDefault="00FC3847" w:rsidP="00FC3847">
      <w:pPr>
        <w:pStyle w:val="ListParagraph"/>
        <w:rPr>
          <w:rFonts w:asciiTheme="minorHAnsi" w:hAnsiTheme="minorHAnsi" w:cstheme="minorHAnsi"/>
          <w:color w:val="000000"/>
        </w:rPr>
      </w:pPr>
    </w:p>
    <w:p w14:paraId="274720B0" w14:textId="77777777" w:rsidR="00FC3847" w:rsidRPr="00FC3847" w:rsidRDefault="00FC3847" w:rsidP="00FC3847">
      <w:pPr>
        <w:ind w:left="1132" w:right="1008"/>
        <w:rPr>
          <w:rFonts w:asciiTheme="minorHAnsi" w:hAnsiTheme="minorHAnsi" w:cstheme="minorHAnsi"/>
          <w:color w:val="000000"/>
        </w:rPr>
      </w:pPr>
    </w:p>
    <w:p w14:paraId="274720B1" w14:textId="77777777" w:rsidR="00EB7333" w:rsidRPr="008B261D" w:rsidRDefault="00EB7333" w:rsidP="00EB7333">
      <w:pPr>
        <w:pStyle w:val="ListParagraph"/>
        <w:numPr>
          <w:ilvl w:val="0"/>
          <w:numId w:val="28"/>
        </w:numPr>
        <w:ind w:right="1008"/>
        <w:rPr>
          <w:rFonts w:asciiTheme="minorHAnsi" w:hAnsiTheme="minorHAnsi" w:cstheme="minorHAnsi"/>
          <w:color w:val="000000"/>
        </w:rPr>
      </w:pPr>
      <w:r w:rsidRPr="008B261D">
        <w:rPr>
          <w:rFonts w:asciiTheme="minorHAnsi" w:hAnsiTheme="minorHAnsi" w:cstheme="minorHAnsi"/>
          <w:color w:val="000000" w:themeColor="text1"/>
        </w:rPr>
        <w:t xml:space="preserve">Regional permitting staff </w:t>
      </w:r>
      <w:r w:rsidR="00A34742" w:rsidRPr="008B261D">
        <w:rPr>
          <w:rFonts w:asciiTheme="minorHAnsi" w:hAnsiTheme="minorHAnsi" w:cstheme="minorHAnsi"/>
          <w:color w:val="000000" w:themeColor="text1"/>
        </w:rPr>
        <w:t>email</w:t>
      </w:r>
      <w:r w:rsidR="008B261D">
        <w:rPr>
          <w:rFonts w:asciiTheme="minorHAnsi" w:hAnsiTheme="minorHAnsi" w:cstheme="minorHAnsi"/>
          <w:color w:val="000000" w:themeColor="text1"/>
        </w:rPr>
        <w:t>ing</w:t>
      </w:r>
      <w:r w:rsidR="00A34742" w:rsidRPr="008B261D">
        <w:rPr>
          <w:rFonts w:asciiTheme="minorHAnsi" w:hAnsiTheme="minorHAnsi" w:cstheme="minorHAnsi"/>
          <w:color w:val="000000" w:themeColor="text1"/>
        </w:rPr>
        <w:t xml:space="preserve"> </w:t>
      </w:r>
      <w:r w:rsidRPr="008B261D">
        <w:rPr>
          <w:rFonts w:asciiTheme="minorHAnsi" w:hAnsiTheme="minorHAnsi" w:cstheme="minorHAnsi"/>
          <w:color w:val="000000" w:themeColor="text1"/>
        </w:rPr>
        <w:t>communication to individual NPDES permittees</w:t>
      </w:r>
    </w:p>
    <w:p w14:paraId="274720B2" w14:textId="77777777"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14:paraId="274720B3" w14:textId="77777777" w:rsidR="00E052E0" w:rsidRDefault="00E052E0" w:rsidP="00E052E0">
      <w:pPr>
        <w:spacing w:after="120"/>
        <w:ind w:left="360" w:right="1008"/>
        <w:rPr>
          <w:rFonts w:asciiTheme="majorHAnsi" w:hAnsiTheme="majorHAnsi" w:cstheme="majorHAnsi"/>
          <w:bCs/>
          <w:color w:val="504938"/>
          <w:sz w:val="22"/>
          <w:szCs w:val="22"/>
        </w:rPr>
      </w:pPr>
    </w:p>
    <w:p w14:paraId="274720B4" w14:textId="77777777"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14:paraId="274720B5" w14:textId="77777777" w:rsidR="00B92CF2" w:rsidRPr="00B92CF2" w:rsidRDefault="00B92CF2" w:rsidP="00E052E0">
      <w:pPr>
        <w:spacing w:after="120"/>
        <w:ind w:left="360" w:right="1008"/>
        <w:rPr>
          <w:rStyle w:val="Emphasis"/>
        </w:rPr>
      </w:pPr>
    </w:p>
    <w:p w14:paraId="274720B6" w14:textId="77777777" w:rsidR="00E052E0" w:rsidRPr="00D13EA4" w:rsidRDefault="00E052E0" w:rsidP="00B92CF2">
      <w:pPr>
        <w:pStyle w:val="Heading2"/>
      </w:pPr>
      <w:r w:rsidRPr="00D13EA4">
        <w:t>Compliance and enforcement</w:t>
      </w:r>
    </w:p>
    <w:p w14:paraId="274720B7" w14:textId="77777777"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14:paraId="274720B8" w14:textId="77777777" w:rsidR="00E052E0" w:rsidRPr="004A37E8" w:rsidRDefault="00E052E0" w:rsidP="00FC3847">
      <w:pPr>
        <w:spacing w:after="120"/>
        <w:ind w:left="1080" w:right="1008"/>
        <w:rPr>
          <w:rFonts w:asciiTheme="minorHAnsi" w:hAnsiTheme="minorHAnsi" w:cstheme="minorHAnsi"/>
          <w:color w:val="000000"/>
        </w:rPr>
      </w:pPr>
    </w:p>
    <w:p w14:paraId="274720B9" w14:textId="77777777"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14:paraId="274720BA" w14:textId="77777777" w:rsidR="00E052E0" w:rsidRDefault="00E052E0" w:rsidP="00E052E0">
      <w:pPr>
        <w:spacing w:after="120"/>
        <w:ind w:left="360" w:right="1008"/>
        <w:rPr>
          <w:rFonts w:asciiTheme="majorHAnsi" w:hAnsiTheme="majorHAnsi" w:cstheme="majorHAnsi"/>
          <w:bCs/>
          <w:color w:val="504938"/>
          <w:sz w:val="22"/>
          <w:szCs w:val="22"/>
        </w:rPr>
      </w:pPr>
    </w:p>
    <w:p w14:paraId="274720BB" w14:textId="77777777" w:rsidR="00E052E0" w:rsidRPr="00D13EA4" w:rsidRDefault="00E052E0" w:rsidP="00B92CF2">
      <w:pPr>
        <w:pStyle w:val="Heading2"/>
      </w:pPr>
      <w:r w:rsidRPr="00D13EA4">
        <w:t>Measuring, sampling, monitoring and reporting</w:t>
      </w:r>
    </w:p>
    <w:p w14:paraId="274720BC" w14:textId="77777777"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14:paraId="274720BD" w14:textId="77777777"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14:paraId="274720BE" w14:textId="77777777"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sidR="008B261D">
        <w:rPr>
          <w:rFonts w:asciiTheme="minorHAnsi" w:hAnsiTheme="minorHAnsi" w:cstheme="minorHAnsi"/>
          <w:color w:val="000000"/>
        </w:rPr>
        <w:t>As needed, p</w:t>
      </w:r>
      <w:r w:rsidR="008E6469">
        <w:rPr>
          <w:rFonts w:asciiTheme="minorHAnsi" w:hAnsiTheme="minorHAnsi" w:cstheme="minorHAnsi"/>
          <w:color w:val="000000"/>
        </w:rPr>
        <w:t>ermitting staff</w:t>
      </w:r>
      <w:r w:rsidR="008B261D">
        <w:rPr>
          <w:rFonts w:asciiTheme="minorHAnsi" w:hAnsiTheme="minorHAnsi" w:cstheme="minorHAnsi"/>
          <w:color w:val="000000"/>
        </w:rPr>
        <w:t xml:space="preserve"> will</w:t>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14:paraId="274720BF" w14:textId="77777777"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14:paraId="274720C0" w14:textId="77777777" w:rsidR="00E052E0" w:rsidRDefault="00E052E0" w:rsidP="00E052E0">
      <w:pPr>
        <w:ind w:right="1008"/>
        <w:rPr>
          <w:rFonts w:asciiTheme="minorHAnsi" w:hAnsiTheme="minorHAnsi" w:cstheme="minorHAnsi"/>
          <w:color w:val="000000"/>
        </w:rPr>
      </w:pPr>
    </w:p>
    <w:p w14:paraId="274720C1" w14:textId="77777777" w:rsidR="00E052E0" w:rsidRPr="00D13EA4" w:rsidRDefault="00E052E0" w:rsidP="00B92CF2">
      <w:pPr>
        <w:pStyle w:val="Heading2"/>
      </w:pPr>
      <w:r w:rsidRPr="00D13EA4">
        <w:t>Systems</w:t>
      </w:r>
    </w:p>
    <w:p w14:paraId="274720C2" w14:textId="77777777"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6" w:history="1">
        <w:r w:rsidR="000B5F80" w:rsidRPr="00BB6576">
          <w:rPr>
            <w:rStyle w:val="Hyperlink"/>
            <w:rFonts w:asciiTheme="minorHAnsi" w:hAnsiTheme="minorHAnsi" w:cstheme="minorHAnsi"/>
          </w:rPr>
          <w:t>http://www.deq.state.or.us/wq/standards/standards.htm</w:t>
        </w:r>
      </w:hyperlink>
    </w:p>
    <w:p w14:paraId="274720C3" w14:textId="77777777" w:rsidR="00FC3847" w:rsidRPr="00FC3847" w:rsidRDefault="00FC3847" w:rsidP="00FC3847">
      <w:pPr>
        <w:ind w:left="1132" w:right="1008"/>
        <w:rPr>
          <w:rFonts w:asciiTheme="minorHAnsi" w:hAnsiTheme="minorHAnsi" w:cstheme="minorHAnsi"/>
          <w:color w:val="000000"/>
        </w:rPr>
      </w:pPr>
    </w:p>
    <w:p w14:paraId="274720C4" w14:textId="77777777"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14:paraId="274720C5" w14:textId="77777777" w:rsidR="00FC3847" w:rsidRPr="00FC3847" w:rsidRDefault="00FC3847" w:rsidP="00FC3847">
      <w:pPr>
        <w:pStyle w:val="ListParagraph"/>
        <w:rPr>
          <w:rFonts w:asciiTheme="minorHAnsi" w:hAnsiTheme="minorHAnsi" w:cstheme="minorHAnsi"/>
          <w:color w:val="000000"/>
        </w:rPr>
      </w:pPr>
    </w:p>
    <w:p w14:paraId="274720C6" w14:textId="77777777" w:rsidR="00FC3847" w:rsidRPr="00FC3847" w:rsidRDefault="00FC3847" w:rsidP="00FC3847">
      <w:pPr>
        <w:ind w:left="1132" w:right="1008"/>
        <w:rPr>
          <w:rFonts w:asciiTheme="minorHAnsi" w:hAnsiTheme="minorHAnsi" w:cstheme="minorHAnsi"/>
          <w:color w:val="000000"/>
        </w:rPr>
      </w:pPr>
    </w:p>
    <w:p w14:paraId="274720C7" w14:textId="77777777"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14:paraId="274720C8" w14:textId="77777777" w:rsidR="00E052E0" w:rsidRPr="00FF2CB9" w:rsidRDefault="00E052E0" w:rsidP="00E052E0">
      <w:pPr>
        <w:ind w:left="806" w:right="1008"/>
        <w:rPr>
          <w:rFonts w:asciiTheme="minorHAnsi" w:hAnsiTheme="minorHAnsi" w:cstheme="minorHAnsi"/>
          <w:color w:val="000000"/>
        </w:rPr>
      </w:pPr>
    </w:p>
    <w:p w14:paraId="274720C9" w14:textId="77777777"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14:paraId="274720CA" w14:textId="77777777"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14:paraId="274720CB" w14:textId="77777777" w:rsidR="00FC3847" w:rsidRDefault="00FC3847" w:rsidP="00FC3847">
      <w:pPr>
        <w:pStyle w:val="ListParagraph"/>
        <w:spacing w:after="120"/>
        <w:ind w:left="1080" w:right="1008"/>
        <w:contextualSpacing w:val="0"/>
        <w:rPr>
          <w:rFonts w:asciiTheme="minorHAnsi" w:hAnsiTheme="minorHAnsi" w:cstheme="minorHAnsi"/>
          <w:color w:val="000000"/>
        </w:rPr>
      </w:pPr>
    </w:p>
    <w:p w14:paraId="274720CC" w14:textId="77777777"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14:paraId="274720CD" w14:textId="77777777"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14:paraId="274720CE" w14:textId="77777777" w:rsidR="00E052E0" w:rsidRPr="00B15DF7" w:rsidRDefault="00E052E0" w:rsidP="00E052E0">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14:paraId="274720D1" w14:textId="77777777" w:rsidTr="00E052E0">
        <w:trPr>
          <w:trHeight w:val="574"/>
        </w:trPr>
        <w:tc>
          <w:tcPr>
            <w:tcW w:w="12255" w:type="dxa"/>
            <w:tcBorders>
              <w:top w:val="nil"/>
              <w:left w:val="nil"/>
              <w:bottom w:val="double" w:sz="6" w:space="0" w:color="7F7F7F"/>
              <w:right w:val="nil"/>
            </w:tcBorders>
            <w:shd w:val="clear" w:color="000000" w:fill="D8D3C6"/>
            <w:noWrap/>
            <w:vAlign w:val="bottom"/>
            <w:hideMark/>
          </w:tcPr>
          <w:p w14:paraId="274720CF" w14:textId="77777777" w:rsidR="00E052E0" w:rsidRPr="00823C9D" w:rsidRDefault="00E052E0" w:rsidP="00E052E0">
            <w:pPr>
              <w:rPr>
                <w:b/>
                <w:bCs/>
                <w:color w:val="32525C"/>
                <w:sz w:val="28"/>
                <w:szCs w:val="28"/>
              </w:rPr>
            </w:pPr>
          </w:p>
          <w:p w14:paraId="274720D0" w14:textId="77777777"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14:paraId="274720D2" w14:textId="77777777" w:rsidR="00E052E0" w:rsidRPr="00B15DF7" w:rsidRDefault="00E052E0" w:rsidP="00E052E0">
      <w:pPr>
        <w:rPr>
          <w:color w:val="32525C"/>
        </w:rPr>
      </w:pPr>
    </w:p>
    <w:p w14:paraId="274720D3" w14:textId="77777777"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274720D4" w14:textId="77777777" w:rsidR="00E052E0" w:rsidRPr="00B03A82" w:rsidRDefault="00E052E0" w:rsidP="00B03A82">
      <w:pPr>
        <w:autoSpaceDE w:val="0"/>
        <w:autoSpaceDN w:val="0"/>
        <w:adjustRightInd w:val="0"/>
        <w:spacing w:after="120"/>
        <w:ind w:right="1008"/>
        <w:outlineLvl w:val="9"/>
        <w:rPr>
          <w:rFonts w:asciiTheme="minorHAnsi" w:hAnsiTheme="minorHAnsi" w:cstheme="minorHAnsi"/>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Administrative Procedures Act</w:t>
      </w:r>
      <w:r w:rsidR="001C2687">
        <w:rPr>
          <w:rFonts w:asciiTheme="minorHAnsi" w:hAnsiTheme="minorHAnsi" w:cstheme="minorHAnsi"/>
          <w:color w:val="000000"/>
        </w:rPr>
        <w:t>, ORS 183.405</w:t>
      </w:r>
      <w:r w:rsidR="00B03A82">
        <w:rPr>
          <w:rFonts w:asciiTheme="minorHAnsi" w:hAnsiTheme="minorHAnsi" w:cstheme="minorHAnsi"/>
          <w:color w:val="000000"/>
        </w:rPr>
        <w:t>(1)</w:t>
      </w:r>
      <w:r w:rsidR="001C2687">
        <w:rPr>
          <w:rFonts w:asciiTheme="minorHAnsi" w:hAnsiTheme="minorHAnsi" w:cstheme="minorHAnsi"/>
          <w:color w:val="000000"/>
        </w:rPr>
        <w:t>,</w:t>
      </w:r>
      <w:r w:rsidRPr="006E68F8">
        <w:rPr>
          <w:rFonts w:asciiTheme="minorHAnsi" w:hAnsiTheme="minorHAnsi" w:cstheme="minorHAnsi"/>
          <w:color w:val="000000"/>
        </w:rPr>
        <w:t xml:space="preserve"> requires DEQ to review </w:t>
      </w:r>
      <w:r w:rsidRPr="001C2687">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sidR="001C2687">
        <w:rPr>
          <w:rFonts w:asciiTheme="minorHAnsi" w:hAnsiTheme="minorHAnsi" w:cstheme="minorHAnsi"/>
          <w:color w:val="000000"/>
        </w:rPr>
        <w:t xml:space="preserve">after </w:t>
      </w:r>
      <w:r w:rsidRPr="006E68F8">
        <w:rPr>
          <w:rFonts w:asciiTheme="minorHAnsi" w:hAnsiTheme="minorHAnsi" w:cstheme="minorHAnsi"/>
          <w:color w:val="000000"/>
        </w:rPr>
        <w:t xml:space="preserve">the date EQC adopts the proposed rules. </w:t>
      </w:r>
      <w:r w:rsidR="001C2687">
        <w:rPr>
          <w:rFonts w:asciiTheme="minorHAnsi" w:hAnsiTheme="minorHAnsi" w:cstheme="minorHAnsi"/>
          <w:color w:val="000000"/>
        </w:rPr>
        <w:t>The same statute exempts from review rules that are only amended.</w:t>
      </w:r>
      <w:r w:rsidR="00B03A82" w:rsidRPr="00B03A82">
        <w:rPr>
          <w:rFonts w:asciiTheme="minorHAnsi" w:hAnsiTheme="minorHAnsi" w:cstheme="minorHAnsi"/>
        </w:rPr>
        <w:t xml:space="preserve"> </w:t>
      </w:r>
      <w:r w:rsidR="00B03A82">
        <w:rPr>
          <w:rFonts w:asciiTheme="minorHAnsi" w:hAnsiTheme="minorHAnsi" w:cstheme="minorHAnsi"/>
        </w:rPr>
        <w:t xml:space="preserve">ORS 183.405(2) only requires that </w:t>
      </w:r>
      <w:r w:rsidR="00B03A82" w:rsidRPr="00C30D0B">
        <w:rPr>
          <w:rFonts w:asciiTheme="minorHAnsi" w:hAnsiTheme="minorHAnsi" w:cstheme="minorHAnsi"/>
        </w:rPr>
        <w:t>DEQ use “available information” to comply with the review requirement.</w:t>
      </w:r>
    </w:p>
    <w:p w14:paraId="274720D5" w14:textId="77777777" w:rsidR="00E052E0" w:rsidRDefault="00E052E0" w:rsidP="00E052E0">
      <w:pPr>
        <w:autoSpaceDE w:val="0"/>
        <w:autoSpaceDN w:val="0"/>
        <w:adjustRightInd w:val="0"/>
        <w:ind w:right="1008"/>
        <w:rPr>
          <w:rFonts w:ascii="Verdana" w:hAnsi="Verdana" w:cs="Verdana"/>
          <w:color w:val="000000"/>
          <w:sz w:val="20"/>
          <w:szCs w:val="20"/>
        </w:rPr>
      </w:pPr>
    </w:p>
    <w:p w14:paraId="274720D6" w14:textId="77777777" w:rsidR="001C2687" w:rsidRDefault="001C2687" w:rsidP="001C2687">
      <w:r>
        <w:t>ORS 183.405</w:t>
      </w:r>
      <w:r w:rsidR="00B03A82">
        <w:t xml:space="preserve">(4) exempts the </w:t>
      </w:r>
      <w:r w:rsidRPr="001C2687">
        <w:t>following rules from review because they were only amended in this rulemaking:</w:t>
      </w:r>
    </w:p>
    <w:p w14:paraId="274720D7" w14:textId="77777777" w:rsidR="00B03A82" w:rsidRPr="001C2687" w:rsidRDefault="00B03A82" w:rsidP="001C2687"/>
    <w:p w14:paraId="274720D8" w14:textId="77777777"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340-041-0002</w:t>
      </w:r>
    </w:p>
    <w:p w14:paraId="274720D9" w14:textId="77777777"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340-041-0007</w:t>
      </w:r>
    </w:p>
    <w:p w14:paraId="274720DA" w14:textId="77777777"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340-041-0028</w:t>
      </w:r>
    </w:p>
    <w:p w14:paraId="274720DB" w14:textId="77777777"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340-041-0033</w:t>
      </w:r>
    </w:p>
    <w:p w14:paraId="274720DC" w14:textId="77777777"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340-041-0124</w:t>
      </w:r>
    </w:p>
    <w:p w14:paraId="274720DD" w14:textId="77777777" w:rsidR="001C2687" w:rsidRDefault="001C2687" w:rsidP="001C2687">
      <w:pPr>
        <w:pStyle w:val="ListParagraph"/>
        <w:numPr>
          <w:ilvl w:val="0"/>
          <w:numId w:val="32"/>
        </w:numPr>
        <w:rPr>
          <w:rStyle w:val="Emphasis"/>
          <w:vanish w:val="0"/>
          <w:color w:val="auto"/>
          <w:sz w:val="24"/>
        </w:rPr>
      </w:pPr>
      <w:r>
        <w:rPr>
          <w:rStyle w:val="Emphasis"/>
          <w:vanish w:val="0"/>
          <w:color w:val="auto"/>
          <w:sz w:val="24"/>
        </w:rPr>
        <w:t>340-041-0310</w:t>
      </w:r>
    </w:p>
    <w:p w14:paraId="274720DE" w14:textId="77777777" w:rsidR="001C2687" w:rsidRPr="001C2687" w:rsidRDefault="001C2687" w:rsidP="001C2687">
      <w:pPr>
        <w:pStyle w:val="ListParagraph"/>
        <w:numPr>
          <w:ilvl w:val="0"/>
          <w:numId w:val="32"/>
        </w:numPr>
        <w:rPr>
          <w:rStyle w:val="Emphasis"/>
          <w:vanish w:val="0"/>
          <w:color w:val="auto"/>
          <w:sz w:val="24"/>
        </w:rPr>
      </w:pPr>
      <w:r>
        <w:rPr>
          <w:rStyle w:val="Emphasis"/>
          <w:vanish w:val="0"/>
          <w:color w:val="auto"/>
          <w:sz w:val="24"/>
        </w:rPr>
        <w:t>340-041-0315</w:t>
      </w:r>
    </w:p>
    <w:p w14:paraId="274720DF" w14:textId="77777777" w:rsidR="00E052E0" w:rsidRDefault="00B03A82" w:rsidP="00007748">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ORS 183.405 requires that </w:t>
      </w:r>
      <w:r w:rsidR="001C2687">
        <w:rPr>
          <w:rFonts w:ascii="Times New Roman" w:hAnsi="Times New Roman" w:cs="Times New Roman"/>
          <w:color w:val="auto"/>
          <w:sz w:val="24"/>
          <w:szCs w:val="24"/>
        </w:rPr>
        <w:t xml:space="preserve">DEQ </w:t>
      </w:r>
      <w:r>
        <w:rPr>
          <w:rFonts w:ascii="Times New Roman" w:hAnsi="Times New Roman" w:cs="Times New Roman"/>
          <w:color w:val="auto"/>
          <w:sz w:val="24"/>
          <w:szCs w:val="24"/>
        </w:rPr>
        <w:t xml:space="preserve">review </w:t>
      </w:r>
      <w:r w:rsidR="001C2687">
        <w:rPr>
          <w:rFonts w:ascii="Times New Roman" w:hAnsi="Times New Roman" w:cs="Times New Roman"/>
          <w:color w:val="auto"/>
          <w:sz w:val="24"/>
          <w:szCs w:val="24"/>
        </w:rPr>
        <w:t>OAR 340-041-8033</w:t>
      </w:r>
      <w:r>
        <w:rPr>
          <w:rFonts w:ascii="Times New Roman" w:hAnsi="Times New Roman" w:cs="Times New Roman"/>
          <w:color w:val="auto"/>
          <w:sz w:val="24"/>
          <w:szCs w:val="24"/>
        </w:rPr>
        <w:t xml:space="preserve"> because that rule was newly adopted in this rulemaking.</w:t>
      </w:r>
    </w:p>
    <w:p w14:paraId="274720E0" w14:textId="77777777" w:rsidR="00C30D0B" w:rsidRDefault="00C30D0B" w:rsidP="00B03A82">
      <w:pPr>
        <w:rPr>
          <w:rFonts w:asciiTheme="minorHAnsi" w:hAnsiTheme="minorHAnsi" w:cstheme="minorHAnsi"/>
        </w:rPr>
      </w:pPr>
    </w:p>
    <w:p w14:paraId="274720E1" w14:textId="77777777" w:rsidR="00E052E0" w:rsidRDefault="00E052E0" w:rsidP="00641511">
      <w:pPr>
        <w:pStyle w:val="Heading2"/>
        <w:rPr>
          <w:rFonts w:asciiTheme="minorHAnsi" w:hAnsiTheme="minorHAnsi" w:cstheme="minorHAnsi"/>
          <w:color w:val="000000"/>
        </w:rPr>
      </w:pPr>
      <w:bookmarkStart w:id="5" w:name="_GoBack"/>
      <w:bookmarkEnd w:id="5"/>
    </w:p>
    <w:sectPr w:rsidR="00E052E0" w:rsidSect="00E052E0">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720F4" w14:textId="77777777" w:rsidR="004F0A23" w:rsidRDefault="004F0A23" w:rsidP="002D6C99">
      <w:r>
        <w:separator/>
      </w:r>
    </w:p>
  </w:endnote>
  <w:endnote w:type="continuationSeparator" w:id="0">
    <w:p w14:paraId="274720F5" w14:textId="77777777" w:rsidR="004F0A23" w:rsidRDefault="004F0A2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20F6" w14:textId="77777777" w:rsidR="004F0A23" w:rsidRDefault="004F0A23" w:rsidP="002D6C99">
    <w:pPr>
      <w:pStyle w:val="Footer"/>
    </w:pPr>
  </w:p>
  <w:p w14:paraId="274720F7" w14:textId="77777777" w:rsidR="004F0A23" w:rsidRPr="002B4E71" w:rsidRDefault="004F0A23" w:rsidP="002D6C99">
    <w:pPr>
      <w:pStyle w:val="Footer"/>
    </w:pPr>
    <w:r>
      <w:t>Staff Report</w:t>
    </w:r>
    <w:r w:rsidRPr="002B4E71">
      <w:t xml:space="preserve"> page | </w:t>
    </w:r>
    <w:r w:rsidR="00BF0771">
      <w:fldChar w:fldCharType="begin"/>
    </w:r>
    <w:r w:rsidR="00BF0771">
      <w:instrText xml:space="preserve"> PAGE   \* MERGEFORMAT </w:instrText>
    </w:r>
    <w:r w:rsidR="00BF0771">
      <w:fldChar w:fldCharType="separate"/>
    </w:r>
    <w:r w:rsidR="00BF0771">
      <w:rPr>
        <w:noProof/>
      </w:rPr>
      <w:t>1</w:t>
    </w:r>
    <w:r w:rsidR="00BF077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20F8" w14:textId="77777777" w:rsidR="004F0A23" w:rsidRPr="002B4E71" w:rsidRDefault="004F0A23"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00B56E9B"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00B56E9B" w:rsidRPr="002B4E71">
      <w:rPr>
        <w:rFonts w:asciiTheme="minorHAnsi" w:hAnsiTheme="minorHAnsi" w:cstheme="minorHAnsi"/>
      </w:rPr>
      <w:fldChar w:fldCharType="separate"/>
    </w:r>
    <w:r w:rsidR="00BF0771">
      <w:rPr>
        <w:rFonts w:asciiTheme="minorHAnsi" w:hAnsiTheme="minorHAnsi" w:cstheme="minorHAnsi"/>
        <w:noProof/>
      </w:rPr>
      <w:t>29</w:t>
    </w:r>
    <w:r w:rsidR="00B56E9B" w:rsidRPr="002B4E71">
      <w:rP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720F2" w14:textId="77777777" w:rsidR="004F0A23" w:rsidRDefault="004F0A23" w:rsidP="002D6C99">
      <w:r>
        <w:separator/>
      </w:r>
    </w:p>
  </w:footnote>
  <w:footnote w:type="continuationSeparator" w:id="0">
    <w:p w14:paraId="274720F3" w14:textId="77777777" w:rsidR="004F0A23" w:rsidRDefault="004F0A23" w:rsidP="002D6C99">
      <w:r>
        <w:continuationSeparator/>
      </w:r>
    </w:p>
  </w:footnote>
  <w:footnote w:id="1">
    <w:p w14:paraId="274720F9" w14:textId="77777777" w:rsidR="004F0A23" w:rsidRPr="006F555C" w:rsidRDefault="004F0A23"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14:paraId="274720FA" w14:textId="77777777" w:rsidR="004F0A23" w:rsidRDefault="004F0A23" w:rsidP="00483E60">
      <w:pPr>
        <w:pStyle w:val="FootnoteText"/>
        <w:ind w:left="36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AC16BC"/>
    <w:multiLevelType w:val="hybridMultilevel"/>
    <w:tmpl w:val="C7F6B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0">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7">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7"/>
  </w:num>
  <w:num w:numId="3">
    <w:abstractNumId w:val="13"/>
  </w:num>
  <w:num w:numId="4">
    <w:abstractNumId w:val="9"/>
  </w:num>
  <w:num w:numId="5">
    <w:abstractNumId w:val="17"/>
  </w:num>
  <w:num w:numId="6">
    <w:abstractNumId w:val="4"/>
  </w:num>
  <w:num w:numId="7">
    <w:abstractNumId w:val="25"/>
  </w:num>
  <w:num w:numId="8">
    <w:abstractNumId w:val="15"/>
  </w:num>
  <w:num w:numId="9">
    <w:abstractNumId w:val="14"/>
  </w:num>
  <w:num w:numId="10">
    <w:abstractNumId w:val="28"/>
  </w:num>
  <w:num w:numId="11">
    <w:abstractNumId w:val="3"/>
  </w:num>
  <w:num w:numId="12">
    <w:abstractNumId w:val="16"/>
  </w:num>
  <w:num w:numId="13">
    <w:abstractNumId w:val="23"/>
  </w:num>
  <w:num w:numId="14">
    <w:abstractNumId w:val="19"/>
  </w:num>
  <w:num w:numId="15">
    <w:abstractNumId w:val="21"/>
  </w:num>
  <w:num w:numId="16">
    <w:abstractNumId w:val="18"/>
  </w:num>
  <w:num w:numId="17">
    <w:abstractNumId w:val="12"/>
  </w:num>
  <w:num w:numId="18">
    <w:abstractNumId w:val="20"/>
  </w:num>
  <w:num w:numId="19">
    <w:abstractNumId w:val="0"/>
  </w:num>
  <w:num w:numId="20">
    <w:abstractNumId w:val="5"/>
  </w:num>
  <w:num w:numId="21">
    <w:abstractNumId w:val="26"/>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7"/>
  </w:num>
  <w:num w:numId="26">
    <w:abstractNumId w:val="1"/>
  </w:num>
  <w:num w:numId="27">
    <w:abstractNumId w:val="29"/>
  </w:num>
  <w:num w:numId="28">
    <w:abstractNumId w:val="2"/>
  </w:num>
  <w:num w:numId="29">
    <w:abstractNumId w:val="30"/>
  </w:num>
  <w:num w:numId="30">
    <w:abstractNumId w:val="10"/>
  </w:num>
  <w:num w:numId="31">
    <w:abstractNumId w:val="24"/>
  </w:num>
  <w:num w:numId="3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E64FC"/>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2687"/>
    <w:rsid w:val="001C3C72"/>
    <w:rsid w:val="001C68C8"/>
    <w:rsid w:val="001C7274"/>
    <w:rsid w:val="001C78E4"/>
    <w:rsid w:val="001C7C84"/>
    <w:rsid w:val="001C7F4C"/>
    <w:rsid w:val="001D28B2"/>
    <w:rsid w:val="001D3D37"/>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126B"/>
    <w:rsid w:val="002B39A0"/>
    <w:rsid w:val="002B4E71"/>
    <w:rsid w:val="002B6D58"/>
    <w:rsid w:val="002C3A6B"/>
    <w:rsid w:val="002C6268"/>
    <w:rsid w:val="002C7A23"/>
    <w:rsid w:val="002D0329"/>
    <w:rsid w:val="002D0DB1"/>
    <w:rsid w:val="002D1FBB"/>
    <w:rsid w:val="002D263C"/>
    <w:rsid w:val="002D3856"/>
    <w:rsid w:val="002D6C99"/>
    <w:rsid w:val="002D7877"/>
    <w:rsid w:val="002E0F87"/>
    <w:rsid w:val="002E1521"/>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3F4"/>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176F"/>
    <w:rsid w:val="0042225B"/>
    <w:rsid w:val="004229AB"/>
    <w:rsid w:val="0042360E"/>
    <w:rsid w:val="00425B45"/>
    <w:rsid w:val="00427ABB"/>
    <w:rsid w:val="00434181"/>
    <w:rsid w:val="004365BA"/>
    <w:rsid w:val="004369FF"/>
    <w:rsid w:val="00437829"/>
    <w:rsid w:val="004403A5"/>
    <w:rsid w:val="00446FF4"/>
    <w:rsid w:val="00447281"/>
    <w:rsid w:val="00451393"/>
    <w:rsid w:val="00451BBB"/>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4559"/>
    <w:rsid w:val="004D5553"/>
    <w:rsid w:val="004F0967"/>
    <w:rsid w:val="004F0A23"/>
    <w:rsid w:val="004F22E4"/>
    <w:rsid w:val="004F2D22"/>
    <w:rsid w:val="004F4493"/>
    <w:rsid w:val="004F4B6D"/>
    <w:rsid w:val="004F673A"/>
    <w:rsid w:val="00504F15"/>
    <w:rsid w:val="005102CA"/>
    <w:rsid w:val="0051131D"/>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00F7"/>
    <w:rsid w:val="00591E32"/>
    <w:rsid w:val="00592199"/>
    <w:rsid w:val="00593446"/>
    <w:rsid w:val="00594211"/>
    <w:rsid w:val="00596D65"/>
    <w:rsid w:val="005A2EBE"/>
    <w:rsid w:val="005A3C33"/>
    <w:rsid w:val="005A424D"/>
    <w:rsid w:val="005A52F1"/>
    <w:rsid w:val="005B0C97"/>
    <w:rsid w:val="005B45AA"/>
    <w:rsid w:val="005B4944"/>
    <w:rsid w:val="005C1788"/>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5F72B5"/>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2188"/>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08E4"/>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261D"/>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1ED"/>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2525"/>
    <w:rsid w:val="00AD33B5"/>
    <w:rsid w:val="00AD357E"/>
    <w:rsid w:val="00AD7DB9"/>
    <w:rsid w:val="00AE3390"/>
    <w:rsid w:val="00AE5146"/>
    <w:rsid w:val="00AF15AD"/>
    <w:rsid w:val="00AF509A"/>
    <w:rsid w:val="00AF70B1"/>
    <w:rsid w:val="00B00AAF"/>
    <w:rsid w:val="00B0210D"/>
    <w:rsid w:val="00B03A82"/>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56E9B"/>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0771"/>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083"/>
    <w:rsid w:val="00C933AC"/>
    <w:rsid w:val="00C944E5"/>
    <w:rsid w:val="00C94966"/>
    <w:rsid w:val="00CA42E0"/>
    <w:rsid w:val="00CA45A4"/>
    <w:rsid w:val="00CA4696"/>
    <w:rsid w:val="00CB06BC"/>
    <w:rsid w:val="00CB070C"/>
    <w:rsid w:val="00CB188A"/>
    <w:rsid w:val="00CB207F"/>
    <w:rsid w:val="00CB2EED"/>
    <w:rsid w:val="00CB48CE"/>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5E70"/>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824D5"/>
    <w:rsid w:val="00D90062"/>
    <w:rsid w:val="00D9108B"/>
    <w:rsid w:val="00D936A0"/>
    <w:rsid w:val="00D96929"/>
    <w:rsid w:val="00DA566E"/>
    <w:rsid w:val="00DA798F"/>
    <w:rsid w:val="00DB0862"/>
    <w:rsid w:val="00DB5D50"/>
    <w:rsid w:val="00DB6D3B"/>
    <w:rsid w:val="00DC04D1"/>
    <w:rsid w:val="00DC0637"/>
    <w:rsid w:val="00DC0CC7"/>
    <w:rsid w:val="00DC41AC"/>
    <w:rsid w:val="00DC4EAA"/>
    <w:rsid w:val="00DC74C6"/>
    <w:rsid w:val="00DD11D4"/>
    <w:rsid w:val="00DD419A"/>
    <w:rsid w:val="00DD4819"/>
    <w:rsid w:val="00DD5959"/>
    <w:rsid w:val="00DD77BE"/>
    <w:rsid w:val="00DE131C"/>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86E73"/>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2E0C"/>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2C6D"/>
    <w:rsid w:val="00F3457A"/>
    <w:rsid w:val="00F35879"/>
    <w:rsid w:val="00F42724"/>
    <w:rsid w:val="00F44E4D"/>
    <w:rsid w:val="00F516F6"/>
    <w:rsid w:val="00F52576"/>
    <w:rsid w:val="00F546AA"/>
    <w:rsid w:val="00F60382"/>
    <w:rsid w:val="00F61176"/>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6EE"/>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14:docId w14:val="27471DF4"/>
  <w15:docId w15:val="{52A1060F-F33A-4449-A433-72BC7BEB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ascii="Arial" w:hAnsi="Arial" w:cstheme="majorHAnsi"/>
      <w:sz w:val="20"/>
      <w:szCs w:val="20"/>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86458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364939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733916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5.pdf" TargetMode="External"/><Relationship Id="rId39" Type="http://schemas.openxmlformats.org/officeDocument/2006/relationships/hyperlink" Target="file://deqhq1/Rule_Development/Currrent%20Plan" TargetMode="External"/><Relationship Id="rId3" Type="http://schemas.openxmlformats.org/officeDocument/2006/relationships/customXml" Target="../customXml/item3.xml"/><Relationship Id="rId21" Type="http://schemas.openxmlformats.org/officeDocument/2006/relationships/hyperlink" Target="http://www.deq.state.or.us/wq/standards/docs/tables303140.pdf" TargetMode="External"/><Relationship Id="rId34" Type="http://schemas.openxmlformats.org/officeDocument/2006/relationships/hyperlink" Target="http://arcweb.sos.state.or.us/pages/rules/oars_300/oar_340/340_011.html" TargetMode="External"/><Relationship Id="rId42" Type="http://schemas.openxmlformats.org/officeDocument/2006/relationships/hyperlink" Target="http://www.oregon.gov/deq/WQ/Pages/Standards/ammonia.aspx"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arcweb.sos.state.or.us/pages/rules/oars_300/oar_340/_340_tables/340-041-0310.pdf" TargetMode="External"/><Relationship Id="rId33" Type="http://schemas.openxmlformats.org/officeDocument/2006/relationships/hyperlink" Target="http://www.oregonlaws.org/ors/183.332" TargetMode="External"/><Relationship Id="rId38" Type="http://schemas.openxmlformats.org/officeDocument/2006/relationships/hyperlink" Target="http://www.deq.state.or.us/pubs/permithandbook/lucs.htm" TargetMode="External"/><Relationship Id="rId46" Type="http://schemas.openxmlformats.org/officeDocument/2006/relationships/hyperlink" Target="http://www.deq.state.or.us/wq/standards/standards.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oregonlaws.org/ors/183.335" TargetMode="External"/><Relationship Id="rId41" Type="http://schemas.openxmlformats.org/officeDocument/2006/relationships/hyperlink" Target="http://arcweb.sos.state.or.us/pages/rules/bulletin/pa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index.cfm" TargetMode="External"/><Relationship Id="rId32" Type="http://schemas.openxmlformats.org/officeDocument/2006/relationships/hyperlink" Target="http://www.leg.state.or.us/ors/468a.html"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hyperlink" Target="http://www.oregon.gov/deq/WQ/Pages/Standards/ammonia.aspx" TargetMode="External"/><Relationship Id="rId45" Type="http://schemas.openxmlformats.org/officeDocument/2006/relationships/hyperlink" Target="http://www.deq.state.or.us/wq/standards/standards.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ater.epa.gov/scitech/swguidance/standards/criteria/aqlife/ammonia/upload/AQUATIC-LIFE-AMBIENT-WATER-QUALITY-CRITERIA-FOR-AMMONIA-FRESHWATER-2013.pdf" TargetMode="External"/><Relationship Id="rId28" Type="http://schemas.openxmlformats.org/officeDocument/2006/relationships/hyperlink" Target="http://www.deq.state.or.us/wq/standards/docs/DisapprovalLetter.pdf" TargetMode="External"/><Relationship Id="rId36" Type="http://schemas.openxmlformats.org/officeDocument/2006/relationships/hyperlink" Target="http://arcweb.sos.state.or.us/pages/rules/oars_300/oar_340/340_018.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ors/183.534" TargetMode="External"/><Relationship Id="rId44" Type="http://schemas.openxmlformats.org/officeDocument/2006/relationships/hyperlink" Target="http://www.oregonlaws.org/ors/183.3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toxicsEPAaction.htm" TargetMode="External"/><Relationship Id="rId27" Type="http://schemas.openxmlformats.org/officeDocument/2006/relationships/hyperlink" Target="http://www.deq.state.or.us/wq/standards/docs/EPAtechSupport.pdf" TargetMode="External"/><Relationship Id="rId30" Type="http://schemas.openxmlformats.org/officeDocument/2006/relationships/hyperlink" Target="http://www.oregonlaws.org/?search=ORS+183.336" TargetMode="External"/><Relationship Id="rId35" Type="http://schemas.openxmlformats.org/officeDocument/2006/relationships/hyperlink" Target="http://www.oregonlaws.org/ors/468A.327" TargetMode="External"/><Relationship Id="rId43" Type="http://schemas.openxmlformats.org/officeDocument/2006/relationships/hyperlink" Target="http://www.oregon.gov/deq/RulesandRegulations/Pages/proposedrule.aspx" TargetMode="External"/><Relationship Id="rId48"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7447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031CC"/>
    <w:rsid w:val="00461AC6"/>
    <w:rsid w:val="0048638A"/>
    <w:rsid w:val="00492FA1"/>
    <w:rsid w:val="004C793D"/>
    <w:rsid w:val="004E5EB7"/>
    <w:rsid w:val="00517273"/>
    <w:rsid w:val="00530668"/>
    <w:rsid w:val="00533806"/>
    <w:rsid w:val="00553EC2"/>
    <w:rsid w:val="00566B08"/>
    <w:rsid w:val="00571262"/>
    <w:rsid w:val="00592146"/>
    <w:rsid w:val="005C3186"/>
    <w:rsid w:val="005D5C3F"/>
    <w:rsid w:val="005F0A34"/>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766CC"/>
    <w:rsid w:val="008846F7"/>
    <w:rsid w:val="00886247"/>
    <w:rsid w:val="008A0FA9"/>
    <w:rsid w:val="008C0B4D"/>
    <w:rsid w:val="008F63C0"/>
    <w:rsid w:val="00907C6F"/>
    <w:rsid w:val="00917895"/>
    <w:rsid w:val="009305C2"/>
    <w:rsid w:val="00960F73"/>
    <w:rsid w:val="00976D40"/>
    <w:rsid w:val="00996C0A"/>
    <w:rsid w:val="009B5BEF"/>
    <w:rsid w:val="009C3130"/>
    <w:rsid w:val="009D7BE7"/>
    <w:rsid w:val="009E3D97"/>
    <w:rsid w:val="009F564D"/>
    <w:rsid w:val="00A178D9"/>
    <w:rsid w:val="00A36E94"/>
    <w:rsid w:val="00A6036A"/>
    <w:rsid w:val="00A9175C"/>
    <w:rsid w:val="00AE2923"/>
    <w:rsid w:val="00AF6504"/>
    <w:rsid w:val="00BD7EB8"/>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67005"/>
    <w:rsid w:val="00F7527F"/>
    <w:rsid w:val="00F93421"/>
    <w:rsid w:val="00FB290D"/>
    <w:rsid w:val="00FC1C9F"/>
    <w:rsid w:val="00FD6E9F"/>
    <w:rsid w:val="00FE0DA7"/>
    <w:rsid w:val="00FE1D77"/>
    <w:rsid w:val="00FE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E0C1969-C028-4020-858F-87CAF6CB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9544</Words>
  <Characters>54401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2013-02-28T21:12:00Z</cp:lastPrinted>
  <dcterms:created xsi:type="dcterms:W3CDTF">2014-12-03T18:54:00Z</dcterms:created>
  <dcterms:modified xsi:type="dcterms:W3CDTF">2014-12-05T00:16:00Z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