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6189" w:rsidRDefault="00836560" w:rsidP="00976189">
      <w:pPr>
        <w:pStyle w:val="Logo"/>
      </w:pPr>
      <w:r>
        <w:rPr>
          <w:lang w:eastAsia="en-US"/>
        </w:rPr>
        <w:drawing>
          <wp:anchor distT="0" distB="0" distL="114300" distR="114300" simplePos="0" relativeHeight="251659264" behindDoc="0" locked="0" layoutInCell="1" allowOverlap="1">
            <wp:simplePos x="0" y="0"/>
            <wp:positionH relativeFrom="margin">
              <wp:posOffset>-230505</wp:posOffset>
            </wp:positionH>
            <wp:positionV relativeFrom="margin">
              <wp:posOffset>182880</wp:posOffset>
            </wp:positionV>
            <wp:extent cx="786130" cy="1678940"/>
            <wp:effectExtent l="19050" t="0" r="0" b="0"/>
            <wp:wrapSquare wrapText="bothSides"/>
            <wp:docPr id="3" name="Picture 1" descr="panrg.tif"/>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12" cstate="print"/>
                    <a:srcRect/>
                    <a:stretch>
                      <a:fillRect/>
                    </a:stretch>
                  </pic:blipFill>
                  <pic:spPr bwMode="auto">
                    <a:xfrm>
                      <a:off x="0" y="0"/>
                      <a:ext cx="786130" cy="1678940"/>
                    </a:xfrm>
                    <a:prstGeom prst="rect">
                      <a:avLst/>
                    </a:prstGeom>
                    <a:noFill/>
                    <a:ln w="9525">
                      <a:noFill/>
                      <a:miter lim="800000"/>
                      <a:headEnd/>
                      <a:tailEnd/>
                    </a:ln>
                  </pic:spPr>
                </pic:pic>
              </a:graphicData>
            </a:graphic>
          </wp:anchor>
        </w:drawing>
      </w:r>
    </w:p>
    <w:p w:rsidR="009620EC" w:rsidRDefault="00822E83" w:rsidP="004D65A8">
      <w:pPr>
        <w:pStyle w:val="Title"/>
      </w:pPr>
      <w:sdt>
        <w:sdtPr>
          <w:alias w:val="Title"/>
          <w:tag w:val=""/>
          <w:id w:val="1245223977"/>
          <w:placeholder>
            <w:docPart w:val="B1D12FB06DFE488ABA13E6797CCD0455"/>
          </w:placeholder>
          <w:dataBinding w:prefixMappings="xmlns:ns0='http://purl.org/dc/elements/1.1/' xmlns:ns1='http://schemas.openxmlformats.org/package/2006/metadata/core-properties' " w:xpath="/ns1:coreProperties[1]/ns0:title[1]" w:storeItemID="{6C3C8BC8-F283-45AE-878A-BAB7291924A1}"/>
          <w:text/>
        </w:sdtPr>
        <w:sdtContent>
          <w:r w:rsidR="002F3274">
            <w:t>Technical support document for ammonia</w:t>
          </w:r>
        </w:sdtContent>
      </w:sdt>
    </w:p>
    <w:p w:rsidR="00976189" w:rsidRDefault="00DD7F98" w:rsidP="00976189">
      <w:pPr>
        <w:pStyle w:val="Heading4"/>
        <w:spacing w:before="0" w:after="0" w:line="240" w:lineRule="auto"/>
      </w:pPr>
      <w:r>
        <w:t>Water</w:t>
      </w:r>
      <w:r w:rsidR="00D71506" w:rsidRPr="00751CC9">
        <w:t xml:space="preserve"> Quality Standards Revisions </w:t>
      </w:r>
    </w:p>
    <w:p w:rsidR="00976189" w:rsidRDefault="00D71506" w:rsidP="00976189">
      <w:pPr>
        <w:pStyle w:val="Heading4"/>
        <w:spacing w:before="0" w:after="0" w:line="240" w:lineRule="auto"/>
      </w:pPr>
      <w:r w:rsidRPr="00751CC9">
        <w:t>for Freshwater Ammonia Criteria</w:t>
      </w:r>
    </w:p>
    <w:p w:rsidR="00976189" w:rsidRDefault="00751CC9" w:rsidP="00976189">
      <w:pPr>
        <w:pStyle w:val="Heading4"/>
      </w:pPr>
      <w:r>
        <w:t>April 2014 – January 2015</w:t>
      </w:r>
    </w:p>
    <w:p w:rsidR="00976189" w:rsidRDefault="00976189" w:rsidP="00976189">
      <w:pPr>
        <w:pStyle w:val="Heading4"/>
      </w:pPr>
    </w:p>
    <w:p w:rsidR="00382B32" w:rsidRDefault="00382B32" w:rsidP="004D65A8">
      <w:pPr>
        <w:pStyle w:val="Heading2"/>
      </w:pPr>
    </w:p>
    <w:p w:rsidR="00976189" w:rsidRDefault="00976189" w:rsidP="00976189">
      <w:pPr>
        <w:pStyle w:val="Heading4"/>
      </w:pPr>
    </w:p>
    <w:p w:rsidR="00976189" w:rsidRDefault="00976189" w:rsidP="00976189">
      <w:pPr>
        <w:pStyle w:val="Heading4"/>
      </w:pPr>
    </w:p>
    <w:p w:rsidR="00976189" w:rsidRDefault="00976189" w:rsidP="00976189">
      <w:pPr>
        <w:pStyle w:val="Heading4"/>
      </w:pPr>
    </w:p>
    <w:p w:rsidR="00382B32" w:rsidRDefault="00382B32" w:rsidP="004D65A8"/>
    <w:p w:rsidR="00382B32" w:rsidRDefault="00382B32" w:rsidP="004D65A8"/>
    <w:p w:rsidR="00382B32" w:rsidRDefault="00382B32" w:rsidP="004D65A8"/>
    <w:p w:rsidR="00382B32" w:rsidRDefault="00382B32" w:rsidP="004D65A8"/>
    <w:p w:rsidR="00382B32" w:rsidRDefault="00382B32" w:rsidP="004D65A8"/>
    <w:p w:rsidR="00382B32" w:rsidRPr="00382B32" w:rsidRDefault="00382B32" w:rsidP="004D65A8"/>
    <w:p w:rsidR="00976189" w:rsidRPr="00342720" w:rsidRDefault="00D71506" w:rsidP="00976189">
      <w:pPr>
        <w:pStyle w:val="Heading4"/>
        <w:spacing w:before="0" w:after="0" w:line="240" w:lineRule="auto"/>
        <w:rPr>
          <w:sz w:val="28"/>
          <w:szCs w:val="28"/>
        </w:rPr>
      </w:pPr>
      <w:r w:rsidRPr="00342720">
        <w:rPr>
          <w:sz w:val="28"/>
          <w:szCs w:val="28"/>
        </w:rPr>
        <w:t>Andrea Matzke</w:t>
      </w:r>
    </w:p>
    <w:p w:rsidR="008F5F6A" w:rsidRPr="00342720" w:rsidRDefault="002D4C11" w:rsidP="006C183D">
      <w:pPr>
        <w:pStyle w:val="Heading4"/>
        <w:spacing w:before="0" w:after="0" w:line="240" w:lineRule="auto"/>
        <w:rPr>
          <w:sz w:val="28"/>
          <w:szCs w:val="28"/>
        </w:rPr>
      </w:pPr>
      <w:r w:rsidRPr="00342720">
        <w:rPr>
          <w:sz w:val="28"/>
          <w:szCs w:val="28"/>
        </w:rPr>
        <w:t>Water Quality Standards Specialist</w:t>
      </w:r>
      <w:r w:rsidR="007246B2" w:rsidRPr="00342720">
        <w:rPr>
          <w:sz w:val="28"/>
          <w:szCs w:val="28"/>
        </w:rPr>
        <w:t xml:space="preserve"> </w:t>
      </w:r>
    </w:p>
    <w:p w:rsidR="00976189" w:rsidRPr="00342720" w:rsidRDefault="006A288A" w:rsidP="00976189">
      <w:pPr>
        <w:pStyle w:val="Heading4"/>
        <w:spacing w:before="0" w:after="0" w:line="240" w:lineRule="auto"/>
        <w:rPr>
          <w:sz w:val="28"/>
          <w:szCs w:val="28"/>
        </w:rPr>
      </w:pPr>
      <w:r w:rsidRPr="00342720">
        <w:rPr>
          <w:sz w:val="28"/>
          <w:szCs w:val="28"/>
        </w:rPr>
        <w:t xml:space="preserve">Environmental Solutions, WQ Standards &amp; Assessment </w:t>
      </w:r>
    </w:p>
    <w:p w:rsidR="00976189" w:rsidRDefault="00976189" w:rsidP="00976189">
      <w:pPr>
        <w:pStyle w:val="Heading4"/>
      </w:pPr>
    </w:p>
    <w:p w:rsidR="00976189" w:rsidRDefault="00976189" w:rsidP="00976189"/>
    <w:p w:rsidR="00976189" w:rsidRDefault="00976189" w:rsidP="00976189"/>
    <w:p w:rsidR="00976189" w:rsidRDefault="00976189" w:rsidP="00976189"/>
    <w:p w:rsidR="00976189" w:rsidRDefault="00976189" w:rsidP="00976189"/>
    <w:p w:rsidR="00976189" w:rsidRDefault="00976189" w:rsidP="00976189"/>
    <w:p w:rsidR="00976189" w:rsidRDefault="00976189" w:rsidP="00976189"/>
    <w:p w:rsidR="00976189" w:rsidRDefault="00976189" w:rsidP="00976189"/>
    <w:p w:rsidR="00976189" w:rsidRDefault="00976189" w:rsidP="00976189"/>
    <w:p w:rsidR="00AB7751" w:rsidRPr="00AB7751" w:rsidRDefault="00AB7751" w:rsidP="004D65A8"/>
    <w:p w:rsidR="00976189" w:rsidRDefault="00511562" w:rsidP="00976189">
      <w:pPr>
        <w:pStyle w:val="Heading1"/>
      </w:pPr>
      <w:bookmarkStart w:id="0" w:name="_Toc395516143"/>
      <w:r>
        <w:t>about this document</w:t>
      </w:r>
      <w:bookmarkEnd w:id="0"/>
    </w:p>
    <w:p w:rsidR="00976189" w:rsidRDefault="00511562" w:rsidP="00976189">
      <w:r>
        <w:t>T</w:t>
      </w:r>
      <w:r w:rsidRPr="002D4C11">
        <w:t>his document support</w:t>
      </w:r>
      <w:r>
        <w:t>s</w:t>
      </w:r>
      <w:r w:rsidRPr="002D4C11">
        <w:t xml:space="preserve"> revis</w:t>
      </w:r>
      <w:r>
        <w:t>ions to</w:t>
      </w:r>
      <w:r w:rsidRPr="002D4C11">
        <w:t xml:space="preserve"> Oregon’s freshwater criteria for ammonia. </w:t>
      </w:r>
      <w:r>
        <w:t xml:space="preserve">Associated rulemaking documents are on DEQ’s Rules and Regulations Web page at </w:t>
      </w:r>
      <w:hyperlink r:id="rId13" w:history="1">
        <w:r w:rsidRPr="00A11BD5">
          <w:rPr>
            <w:rStyle w:val="Hyperlink"/>
            <w:rFonts w:asciiTheme="majorHAnsi" w:hAnsiTheme="majorHAnsi"/>
            <w:sz w:val="24"/>
            <w:szCs w:val="24"/>
          </w:rPr>
          <w:t>http://www.oregon.gov/deq/RulesandRegulations/Pages/default.aspx</w:t>
        </w:r>
      </w:hyperlink>
      <w:r>
        <w:t>.</w:t>
      </w:r>
    </w:p>
    <w:p w:rsidR="00511562" w:rsidRDefault="00511562" w:rsidP="004D65A8">
      <w:pPr>
        <w:pStyle w:val="Heading1"/>
      </w:pPr>
      <w:bookmarkStart w:id="1" w:name="_Toc395516144"/>
      <w:r>
        <w:t>acknowledgements</w:t>
      </w:r>
      <w:bookmarkEnd w:id="1"/>
    </w:p>
    <w:p w:rsidR="00976189" w:rsidRDefault="00511562" w:rsidP="00976189">
      <w:r w:rsidRPr="00A813BF">
        <w:t xml:space="preserve">DEQ </w:t>
      </w:r>
      <w:r>
        <w:t xml:space="preserve">thanks </w:t>
      </w:r>
      <w:r w:rsidRPr="00A813BF">
        <w:t>the following reviewers</w:t>
      </w:r>
      <w:r>
        <w:t xml:space="preserve"> </w:t>
      </w:r>
      <w:r w:rsidRPr="00A813BF">
        <w:t xml:space="preserve">of this document: </w:t>
      </w:r>
      <w:r>
        <w:t>Spencer Bohaboy (DEQ), Robert Burkhart (DEQ), Shannon Hubler (DEQ), Carl Nadler (DEQ), Debra Sturdevant (DEQ), Maggie Vandehey (DEQ), and Sarina Jepsen (Xerces Society)</w:t>
      </w:r>
    </w:p>
    <w:p w:rsidR="006A288A" w:rsidRDefault="006A288A" w:rsidP="006A288A">
      <w:pPr>
        <w:pStyle w:val="Subtitle"/>
      </w:pPr>
    </w:p>
    <w:p w:rsidR="006A288A" w:rsidRDefault="006A288A" w:rsidP="006A288A">
      <w:pPr>
        <w:pStyle w:val="Subtitle"/>
      </w:pPr>
    </w:p>
    <w:p w:rsidR="006A288A" w:rsidRPr="006A288A" w:rsidRDefault="006A288A" w:rsidP="006A288A"/>
    <w:p w:rsidR="006A288A" w:rsidRDefault="006A288A" w:rsidP="006A288A"/>
    <w:p w:rsidR="006A288A" w:rsidRPr="006A288A" w:rsidRDefault="006A288A" w:rsidP="006A288A"/>
    <w:p w:rsidR="006A288A" w:rsidRDefault="006A288A" w:rsidP="006A288A">
      <w:pPr>
        <w:pStyle w:val="Subtitle"/>
      </w:pPr>
      <w:r>
        <w:t xml:space="preserve">Last Update | </w:t>
      </w:r>
      <w:sdt>
        <w:sdtPr>
          <w:alias w:val="Date"/>
          <w:tag w:val=""/>
          <w:id w:val="-1227291899"/>
          <w:placeholder>
            <w:docPart w:val="3EA71C8C981D43109FBB698C0D824AB5"/>
          </w:placeholder>
          <w:dataBinding w:prefixMappings="xmlns:ns0='http://schemas.microsoft.com/office/2006/coverPageProps' " w:xpath="/ns0:CoverPageProperties[1]/ns0:PublishDate[1]" w:storeItemID="{55AF091B-3C7A-41E3-B477-F2FDAA23CFDA}"/>
          <w:date w:fullDate="2014-08-27T00:00:00Z">
            <w:dateFormat w:val="MMMM d, yyyy"/>
            <w:lid w:val="en-US"/>
            <w:storeMappedDataAs w:val="dateTime"/>
            <w:calendar w:val="gregorian"/>
          </w:date>
        </w:sdtPr>
        <w:sdtContent>
          <w:r w:rsidR="005452B0">
            <w:t>August 27</w:t>
          </w:r>
          <w:r w:rsidR="00342720">
            <w:t>, 2014</w:t>
          </w:r>
        </w:sdtContent>
      </w:sdt>
    </w:p>
    <w:p w:rsidR="00976189" w:rsidRDefault="00976189" w:rsidP="00976189">
      <w:pPr>
        <w:rPr>
          <w:rFonts w:eastAsiaTheme="majorEastAsia"/>
        </w:rPr>
      </w:pPr>
    </w:p>
    <w:sdt>
      <w:sdtPr>
        <w:rPr>
          <w:rFonts w:asciiTheme="minorHAnsi" w:eastAsiaTheme="minorEastAsia" w:hAnsiTheme="minorHAnsi" w:cstheme="minorBidi"/>
          <w:b w:val="0"/>
          <w:bCs w:val="0"/>
          <w:color w:val="1F3864" w:themeColor="accent5" w:themeShade="80"/>
          <w:sz w:val="26"/>
          <w:szCs w:val="20"/>
          <w:lang w:eastAsia="ja-JP"/>
        </w:rPr>
        <w:id w:val="92568772"/>
        <w:docPartObj>
          <w:docPartGallery w:val="Table of Contents"/>
          <w:docPartUnique/>
        </w:docPartObj>
      </w:sdtPr>
      <w:sdtEndPr>
        <w:rPr>
          <w:rFonts w:cstheme="majorHAnsi"/>
          <w:color w:val="auto"/>
          <w:sz w:val="22"/>
          <w:szCs w:val="22"/>
        </w:rPr>
      </w:sdtEndPr>
      <w:sdtContent>
        <w:p w:rsidR="00200D2E" w:rsidRDefault="00200D2E" w:rsidP="004D65A8">
          <w:pPr>
            <w:pStyle w:val="TOCHeading"/>
          </w:pPr>
          <w:r w:rsidRPr="005452B0">
            <w:rPr>
              <w:rFonts w:asciiTheme="minorHAnsi" w:hAnsiTheme="minorHAnsi"/>
            </w:rPr>
            <w:t>Contents</w:t>
          </w:r>
        </w:p>
        <w:p w:rsidR="002F61A1" w:rsidRPr="002F61A1" w:rsidRDefault="002F61A1" w:rsidP="004D65A8">
          <w:pPr>
            <w:rPr>
              <w:lang w:eastAsia="en-US"/>
            </w:rPr>
          </w:pPr>
        </w:p>
        <w:p w:rsidR="00B56BFF" w:rsidRDefault="00822E83" w:rsidP="00B56BFF">
          <w:pPr>
            <w:pStyle w:val="TOC1"/>
            <w:rPr>
              <w:rFonts w:cstheme="minorBidi"/>
              <w:noProof/>
              <w:lang w:eastAsia="en-US"/>
            </w:rPr>
          </w:pPr>
          <w:r>
            <w:fldChar w:fldCharType="begin"/>
          </w:r>
          <w:r w:rsidR="00200D2E">
            <w:instrText xml:space="preserve"> TOC \o "1-3" \h \z \u </w:instrText>
          </w:r>
          <w:r>
            <w:fldChar w:fldCharType="separate"/>
          </w:r>
          <w:hyperlink w:anchor="_Toc395516143" w:history="1">
            <w:r w:rsidR="00B56BFF">
              <w:rPr>
                <w:rStyle w:val="Hyperlink"/>
                <w:noProof/>
              </w:rPr>
              <w:t>About This D</w:t>
            </w:r>
            <w:r w:rsidR="00B56BFF" w:rsidRPr="00F371AD">
              <w:rPr>
                <w:rStyle w:val="Hyperlink"/>
                <w:noProof/>
              </w:rPr>
              <w:t>ocument</w:t>
            </w:r>
            <w:r w:rsidR="00B56BFF">
              <w:rPr>
                <w:noProof/>
                <w:webHidden/>
              </w:rPr>
              <w:tab/>
            </w:r>
            <w:r>
              <w:rPr>
                <w:noProof/>
                <w:webHidden/>
              </w:rPr>
              <w:fldChar w:fldCharType="begin"/>
            </w:r>
            <w:r w:rsidR="00B56BFF">
              <w:rPr>
                <w:noProof/>
                <w:webHidden/>
              </w:rPr>
              <w:instrText xml:space="preserve"> PAGEREF _Toc395516143 \h </w:instrText>
            </w:r>
            <w:r>
              <w:rPr>
                <w:noProof/>
                <w:webHidden/>
              </w:rPr>
            </w:r>
            <w:r>
              <w:rPr>
                <w:noProof/>
                <w:webHidden/>
              </w:rPr>
              <w:fldChar w:fldCharType="separate"/>
            </w:r>
            <w:r w:rsidR="00612FC0">
              <w:rPr>
                <w:noProof/>
                <w:webHidden/>
              </w:rPr>
              <w:t>2</w:t>
            </w:r>
            <w:r>
              <w:rPr>
                <w:noProof/>
                <w:webHidden/>
              </w:rPr>
              <w:fldChar w:fldCharType="end"/>
            </w:r>
          </w:hyperlink>
        </w:p>
        <w:p w:rsidR="00B56BFF" w:rsidRDefault="00822E83" w:rsidP="00B56BFF">
          <w:pPr>
            <w:pStyle w:val="TOC1"/>
            <w:rPr>
              <w:rFonts w:cstheme="minorBidi"/>
              <w:noProof/>
              <w:lang w:eastAsia="en-US"/>
            </w:rPr>
          </w:pPr>
          <w:hyperlink w:anchor="_Toc395516144" w:history="1">
            <w:r w:rsidR="00B56BFF">
              <w:rPr>
                <w:rStyle w:val="Hyperlink"/>
                <w:noProof/>
              </w:rPr>
              <w:t>A</w:t>
            </w:r>
            <w:r w:rsidR="00B56BFF" w:rsidRPr="00F371AD">
              <w:rPr>
                <w:rStyle w:val="Hyperlink"/>
                <w:noProof/>
              </w:rPr>
              <w:t>cknowledgements</w:t>
            </w:r>
            <w:r w:rsidR="00B56BFF">
              <w:rPr>
                <w:noProof/>
                <w:webHidden/>
              </w:rPr>
              <w:tab/>
            </w:r>
            <w:r>
              <w:rPr>
                <w:noProof/>
                <w:webHidden/>
              </w:rPr>
              <w:fldChar w:fldCharType="begin"/>
            </w:r>
            <w:r w:rsidR="00B56BFF">
              <w:rPr>
                <w:noProof/>
                <w:webHidden/>
              </w:rPr>
              <w:instrText xml:space="preserve"> PAGEREF _Toc395516144 \h </w:instrText>
            </w:r>
            <w:r>
              <w:rPr>
                <w:noProof/>
                <w:webHidden/>
              </w:rPr>
            </w:r>
            <w:r>
              <w:rPr>
                <w:noProof/>
                <w:webHidden/>
              </w:rPr>
              <w:fldChar w:fldCharType="separate"/>
            </w:r>
            <w:r w:rsidR="00612FC0">
              <w:rPr>
                <w:noProof/>
                <w:webHidden/>
              </w:rPr>
              <w:t>2</w:t>
            </w:r>
            <w:r>
              <w:rPr>
                <w:noProof/>
                <w:webHidden/>
              </w:rPr>
              <w:fldChar w:fldCharType="end"/>
            </w:r>
          </w:hyperlink>
        </w:p>
        <w:p w:rsidR="00B56BFF" w:rsidRDefault="00822E83" w:rsidP="00B56BFF">
          <w:pPr>
            <w:pStyle w:val="TOC1"/>
            <w:rPr>
              <w:rFonts w:cstheme="minorBidi"/>
              <w:noProof/>
              <w:lang w:eastAsia="en-US"/>
            </w:rPr>
          </w:pPr>
          <w:hyperlink w:anchor="_Toc395516145" w:history="1">
            <w:r w:rsidR="00B56BFF">
              <w:rPr>
                <w:rStyle w:val="Hyperlink"/>
                <w:noProof/>
              </w:rPr>
              <w:t>I. I</w:t>
            </w:r>
            <w:r w:rsidR="00B56BFF" w:rsidRPr="00F371AD">
              <w:rPr>
                <w:rStyle w:val="Hyperlink"/>
                <w:noProof/>
              </w:rPr>
              <w:t>ntroduction</w:t>
            </w:r>
            <w:r w:rsidR="00B56BFF">
              <w:rPr>
                <w:noProof/>
                <w:webHidden/>
              </w:rPr>
              <w:tab/>
            </w:r>
            <w:r>
              <w:rPr>
                <w:noProof/>
                <w:webHidden/>
              </w:rPr>
              <w:fldChar w:fldCharType="begin"/>
            </w:r>
            <w:r w:rsidR="00B56BFF">
              <w:rPr>
                <w:noProof/>
                <w:webHidden/>
              </w:rPr>
              <w:instrText xml:space="preserve"> PAGEREF _Toc395516145 \h </w:instrText>
            </w:r>
            <w:r>
              <w:rPr>
                <w:noProof/>
                <w:webHidden/>
              </w:rPr>
            </w:r>
            <w:r>
              <w:rPr>
                <w:noProof/>
                <w:webHidden/>
              </w:rPr>
              <w:fldChar w:fldCharType="separate"/>
            </w:r>
            <w:r w:rsidR="00612FC0">
              <w:rPr>
                <w:noProof/>
                <w:webHidden/>
              </w:rPr>
              <w:t>4</w:t>
            </w:r>
            <w:r>
              <w:rPr>
                <w:noProof/>
                <w:webHidden/>
              </w:rPr>
              <w:fldChar w:fldCharType="end"/>
            </w:r>
          </w:hyperlink>
        </w:p>
        <w:p w:rsidR="00B56BFF" w:rsidRDefault="00822E83" w:rsidP="00B56BFF">
          <w:pPr>
            <w:pStyle w:val="TOC2"/>
            <w:rPr>
              <w:rFonts w:cstheme="minorBidi"/>
              <w:noProof/>
              <w:lang w:eastAsia="en-US"/>
            </w:rPr>
          </w:pPr>
          <w:hyperlink w:anchor="_Toc395516146" w:history="1">
            <w:r w:rsidR="00B56BFF" w:rsidRPr="00F371AD">
              <w:rPr>
                <w:rStyle w:val="Hyperlink"/>
                <w:noProof/>
              </w:rPr>
              <w:t>I.A. Scope of Rulemaking</w:t>
            </w:r>
            <w:r w:rsidR="00B56BFF">
              <w:rPr>
                <w:noProof/>
                <w:webHidden/>
              </w:rPr>
              <w:tab/>
            </w:r>
            <w:r>
              <w:rPr>
                <w:noProof/>
                <w:webHidden/>
              </w:rPr>
              <w:fldChar w:fldCharType="begin"/>
            </w:r>
            <w:r w:rsidR="00B56BFF">
              <w:rPr>
                <w:noProof/>
                <w:webHidden/>
              </w:rPr>
              <w:instrText xml:space="preserve"> PAGEREF _Toc395516146 \h </w:instrText>
            </w:r>
            <w:r>
              <w:rPr>
                <w:noProof/>
                <w:webHidden/>
              </w:rPr>
            </w:r>
            <w:r>
              <w:rPr>
                <w:noProof/>
                <w:webHidden/>
              </w:rPr>
              <w:fldChar w:fldCharType="separate"/>
            </w:r>
            <w:r w:rsidR="00612FC0">
              <w:rPr>
                <w:noProof/>
                <w:webHidden/>
              </w:rPr>
              <w:t>4</w:t>
            </w:r>
            <w:r>
              <w:rPr>
                <w:noProof/>
                <w:webHidden/>
              </w:rPr>
              <w:fldChar w:fldCharType="end"/>
            </w:r>
          </w:hyperlink>
        </w:p>
        <w:p w:rsidR="00B56BFF" w:rsidRDefault="00822E83" w:rsidP="00B56BFF">
          <w:pPr>
            <w:pStyle w:val="TOC1"/>
            <w:rPr>
              <w:rFonts w:cstheme="minorBidi"/>
              <w:noProof/>
              <w:lang w:eastAsia="en-US"/>
            </w:rPr>
          </w:pPr>
          <w:hyperlink w:anchor="_Toc395516147" w:history="1">
            <w:r w:rsidR="00B56BFF">
              <w:rPr>
                <w:rStyle w:val="Hyperlink"/>
                <w:noProof/>
              </w:rPr>
              <w:t>II. B</w:t>
            </w:r>
            <w:r w:rsidR="00B56BFF" w:rsidRPr="00F371AD">
              <w:rPr>
                <w:rStyle w:val="Hyperlink"/>
                <w:noProof/>
              </w:rPr>
              <w:t>ackground</w:t>
            </w:r>
            <w:r w:rsidR="00B56BFF">
              <w:rPr>
                <w:noProof/>
                <w:webHidden/>
              </w:rPr>
              <w:tab/>
            </w:r>
            <w:r>
              <w:rPr>
                <w:noProof/>
                <w:webHidden/>
              </w:rPr>
              <w:fldChar w:fldCharType="begin"/>
            </w:r>
            <w:r w:rsidR="00B56BFF">
              <w:rPr>
                <w:noProof/>
                <w:webHidden/>
              </w:rPr>
              <w:instrText xml:space="preserve"> PAGEREF _Toc395516147 \h </w:instrText>
            </w:r>
            <w:r>
              <w:rPr>
                <w:noProof/>
                <w:webHidden/>
              </w:rPr>
            </w:r>
            <w:r>
              <w:rPr>
                <w:noProof/>
                <w:webHidden/>
              </w:rPr>
              <w:fldChar w:fldCharType="separate"/>
            </w:r>
            <w:r w:rsidR="00612FC0">
              <w:rPr>
                <w:noProof/>
                <w:webHidden/>
              </w:rPr>
              <w:t>4</w:t>
            </w:r>
            <w:r>
              <w:rPr>
                <w:noProof/>
                <w:webHidden/>
              </w:rPr>
              <w:fldChar w:fldCharType="end"/>
            </w:r>
          </w:hyperlink>
        </w:p>
        <w:p w:rsidR="00B56BFF" w:rsidRDefault="00822E83" w:rsidP="00B56BFF">
          <w:pPr>
            <w:pStyle w:val="TOC2"/>
            <w:rPr>
              <w:rFonts w:cstheme="minorBidi"/>
              <w:noProof/>
              <w:lang w:eastAsia="en-US"/>
            </w:rPr>
          </w:pPr>
          <w:hyperlink w:anchor="_Toc395516148" w:history="1">
            <w:r w:rsidR="00B56BFF" w:rsidRPr="00F371AD">
              <w:rPr>
                <w:rStyle w:val="Hyperlink"/>
                <w:noProof/>
              </w:rPr>
              <w:t>II.A. National Marine Fisheries Service Jeopardy Decision</w:t>
            </w:r>
            <w:r w:rsidR="00B56BFF">
              <w:rPr>
                <w:noProof/>
                <w:webHidden/>
              </w:rPr>
              <w:tab/>
            </w:r>
            <w:r>
              <w:rPr>
                <w:noProof/>
                <w:webHidden/>
              </w:rPr>
              <w:fldChar w:fldCharType="begin"/>
            </w:r>
            <w:r w:rsidR="00B56BFF">
              <w:rPr>
                <w:noProof/>
                <w:webHidden/>
              </w:rPr>
              <w:instrText xml:space="preserve"> PAGEREF _Toc395516148 \h </w:instrText>
            </w:r>
            <w:r>
              <w:rPr>
                <w:noProof/>
                <w:webHidden/>
              </w:rPr>
            </w:r>
            <w:r>
              <w:rPr>
                <w:noProof/>
                <w:webHidden/>
              </w:rPr>
              <w:fldChar w:fldCharType="separate"/>
            </w:r>
            <w:r w:rsidR="00612FC0">
              <w:rPr>
                <w:noProof/>
                <w:webHidden/>
              </w:rPr>
              <w:t>4</w:t>
            </w:r>
            <w:r>
              <w:rPr>
                <w:noProof/>
                <w:webHidden/>
              </w:rPr>
              <w:fldChar w:fldCharType="end"/>
            </w:r>
          </w:hyperlink>
        </w:p>
        <w:p w:rsidR="00B56BFF" w:rsidRDefault="00822E83" w:rsidP="00B56BFF">
          <w:pPr>
            <w:pStyle w:val="TOC2"/>
            <w:rPr>
              <w:rFonts w:cstheme="minorBidi"/>
              <w:noProof/>
              <w:lang w:eastAsia="en-US"/>
            </w:rPr>
          </w:pPr>
          <w:hyperlink w:anchor="_Toc395516149" w:history="1">
            <w:r w:rsidR="00B56BFF" w:rsidRPr="00F371AD">
              <w:rPr>
                <w:rStyle w:val="Hyperlink"/>
                <w:noProof/>
              </w:rPr>
              <w:t>II.B. EPA Disapproval Action</w:t>
            </w:r>
            <w:r w:rsidR="00B56BFF">
              <w:rPr>
                <w:noProof/>
                <w:webHidden/>
              </w:rPr>
              <w:tab/>
            </w:r>
            <w:r>
              <w:rPr>
                <w:noProof/>
                <w:webHidden/>
              </w:rPr>
              <w:fldChar w:fldCharType="begin"/>
            </w:r>
            <w:r w:rsidR="00B56BFF">
              <w:rPr>
                <w:noProof/>
                <w:webHidden/>
              </w:rPr>
              <w:instrText xml:space="preserve"> PAGEREF _Toc395516149 \h </w:instrText>
            </w:r>
            <w:r>
              <w:rPr>
                <w:noProof/>
                <w:webHidden/>
              </w:rPr>
            </w:r>
            <w:r>
              <w:rPr>
                <w:noProof/>
                <w:webHidden/>
              </w:rPr>
              <w:fldChar w:fldCharType="separate"/>
            </w:r>
            <w:r w:rsidR="00612FC0">
              <w:rPr>
                <w:noProof/>
                <w:webHidden/>
              </w:rPr>
              <w:t>7</w:t>
            </w:r>
            <w:r>
              <w:rPr>
                <w:noProof/>
                <w:webHidden/>
              </w:rPr>
              <w:fldChar w:fldCharType="end"/>
            </w:r>
          </w:hyperlink>
        </w:p>
        <w:p w:rsidR="00B56BFF" w:rsidRDefault="00822E83" w:rsidP="00B56BFF">
          <w:pPr>
            <w:pStyle w:val="TOC2"/>
            <w:rPr>
              <w:rFonts w:cstheme="minorBidi"/>
              <w:noProof/>
              <w:lang w:eastAsia="en-US"/>
            </w:rPr>
          </w:pPr>
          <w:hyperlink w:anchor="_Toc395516150" w:history="1">
            <w:r w:rsidR="00B56BFF" w:rsidRPr="00F371AD">
              <w:rPr>
                <w:rStyle w:val="Hyperlink"/>
                <w:noProof/>
              </w:rPr>
              <w:t>II.C. Stakeholder Discussions</w:t>
            </w:r>
            <w:r w:rsidR="00B56BFF">
              <w:rPr>
                <w:noProof/>
                <w:webHidden/>
              </w:rPr>
              <w:tab/>
            </w:r>
            <w:r>
              <w:rPr>
                <w:noProof/>
                <w:webHidden/>
              </w:rPr>
              <w:fldChar w:fldCharType="begin"/>
            </w:r>
            <w:r w:rsidR="00B56BFF">
              <w:rPr>
                <w:noProof/>
                <w:webHidden/>
              </w:rPr>
              <w:instrText xml:space="preserve"> PAGEREF _Toc395516150 \h </w:instrText>
            </w:r>
            <w:r>
              <w:rPr>
                <w:noProof/>
                <w:webHidden/>
              </w:rPr>
            </w:r>
            <w:r>
              <w:rPr>
                <w:noProof/>
                <w:webHidden/>
              </w:rPr>
              <w:fldChar w:fldCharType="separate"/>
            </w:r>
            <w:r w:rsidR="00612FC0">
              <w:rPr>
                <w:noProof/>
                <w:webHidden/>
              </w:rPr>
              <w:t>8</w:t>
            </w:r>
            <w:r>
              <w:rPr>
                <w:noProof/>
                <w:webHidden/>
              </w:rPr>
              <w:fldChar w:fldCharType="end"/>
            </w:r>
          </w:hyperlink>
        </w:p>
        <w:p w:rsidR="00B56BFF" w:rsidRDefault="00822E83" w:rsidP="00B56BFF">
          <w:pPr>
            <w:pStyle w:val="TOC1"/>
            <w:rPr>
              <w:rFonts w:cstheme="minorBidi"/>
              <w:noProof/>
              <w:lang w:eastAsia="en-US"/>
            </w:rPr>
          </w:pPr>
          <w:hyperlink w:anchor="_Toc395516151" w:history="1">
            <w:r w:rsidR="00B56BFF">
              <w:rPr>
                <w:rStyle w:val="Hyperlink"/>
                <w:noProof/>
              </w:rPr>
              <w:t>III. Technical Basis for Updating Freshwater Ammonia C</w:t>
            </w:r>
            <w:r w:rsidR="00B56BFF" w:rsidRPr="00F371AD">
              <w:rPr>
                <w:rStyle w:val="Hyperlink"/>
                <w:noProof/>
              </w:rPr>
              <w:t>riteria</w:t>
            </w:r>
            <w:r w:rsidR="00B56BFF">
              <w:rPr>
                <w:noProof/>
                <w:webHidden/>
              </w:rPr>
              <w:tab/>
            </w:r>
            <w:r>
              <w:rPr>
                <w:noProof/>
                <w:webHidden/>
              </w:rPr>
              <w:fldChar w:fldCharType="begin"/>
            </w:r>
            <w:r w:rsidR="00B56BFF">
              <w:rPr>
                <w:noProof/>
                <w:webHidden/>
              </w:rPr>
              <w:instrText xml:space="preserve"> PAGEREF _Toc395516151 \h </w:instrText>
            </w:r>
            <w:r>
              <w:rPr>
                <w:noProof/>
                <w:webHidden/>
              </w:rPr>
            </w:r>
            <w:r>
              <w:rPr>
                <w:noProof/>
                <w:webHidden/>
              </w:rPr>
              <w:fldChar w:fldCharType="separate"/>
            </w:r>
            <w:r w:rsidR="00612FC0">
              <w:rPr>
                <w:noProof/>
                <w:webHidden/>
              </w:rPr>
              <w:t>9</w:t>
            </w:r>
            <w:r>
              <w:rPr>
                <w:noProof/>
                <w:webHidden/>
              </w:rPr>
              <w:fldChar w:fldCharType="end"/>
            </w:r>
          </w:hyperlink>
        </w:p>
        <w:p w:rsidR="00B56BFF" w:rsidRDefault="00822E83" w:rsidP="00B56BFF">
          <w:pPr>
            <w:pStyle w:val="TOC2"/>
            <w:rPr>
              <w:rFonts w:cstheme="minorBidi"/>
              <w:noProof/>
              <w:lang w:eastAsia="en-US"/>
            </w:rPr>
          </w:pPr>
          <w:hyperlink w:anchor="_Toc395516152" w:history="1">
            <w:r w:rsidR="00B56BFF" w:rsidRPr="00F371AD">
              <w:rPr>
                <w:rStyle w:val="Hyperlink"/>
                <w:noProof/>
              </w:rPr>
              <w:t>III.A. General Overview of EPA 2013 Recommendations</w:t>
            </w:r>
            <w:r w:rsidR="00B56BFF">
              <w:rPr>
                <w:noProof/>
                <w:webHidden/>
              </w:rPr>
              <w:tab/>
            </w:r>
            <w:r>
              <w:rPr>
                <w:noProof/>
                <w:webHidden/>
              </w:rPr>
              <w:fldChar w:fldCharType="begin"/>
            </w:r>
            <w:r w:rsidR="00B56BFF">
              <w:rPr>
                <w:noProof/>
                <w:webHidden/>
              </w:rPr>
              <w:instrText xml:space="preserve"> PAGEREF _Toc395516152 \h </w:instrText>
            </w:r>
            <w:r>
              <w:rPr>
                <w:noProof/>
                <w:webHidden/>
              </w:rPr>
            </w:r>
            <w:r>
              <w:rPr>
                <w:noProof/>
                <w:webHidden/>
              </w:rPr>
              <w:fldChar w:fldCharType="separate"/>
            </w:r>
            <w:r w:rsidR="00612FC0">
              <w:rPr>
                <w:noProof/>
                <w:webHidden/>
              </w:rPr>
              <w:t>9</w:t>
            </w:r>
            <w:r>
              <w:rPr>
                <w:noProof/>
                <w:webHidden/>
              </w:rPr>
              <w:fldChar w:fldCharType="end"/>
            </w:r>
          </w:hyperlink>
        </w:p>
        <w:p w:rsidR="00B56BFF" w:rsidRDefault="00822E83" w:rsidP="00B56BFF">
          <w:pPr>
            <w:pStyle w:val="TOC2"/>
            <w:rPr>
              <w:rFonts w:cstheme="minorBidi"/>
              <w:noProof/>
              <w:lang w:eastAsia="en-US"/>
            </w:rPr>
          </w:pPr>
          <w:hyperlink w:anchor="_Toc395516153" w:history="1">
            <w:r w:rsidR="00B56BFF" w:rsidRPr="00F371AD">
              <w:rPr>
                <w:rStyle w:val="Hyperlink"/>
                <w:noProof/>
              </w:rPr>
              <w:t>III.B. Effects to Freshwater Aquatic Life</w:t>
            </w:r>
            <w:r w:rsidR="00B56BFF">
              <w:rPr>
                <w:noProof/>
                <w:webHidden/>
              </w:rPr>
              <w:tab/>
            </w:r>
            <w:r>
              <w:rPr>
                <w:noProof/>
                <w:webHidden/>
              </w:rPr>
              <w:fldChar w:fldCharType="begin"/>
            </w:r>
            <w:r w:rsidR="00B56BFF">
              <w:rPr>
                <w:noProof/>
                <w:webHidden/>
              </w:rPr>
              <w:instrText xml:space="preserve"> PAGEREF _Toc395516153 \h </w:instrText>
            </w:r>
            <w:r>
              <w:rPr>
                <w:noProof/>
                <w:webHidden/>
              </w:rPr>
            </w:r>
            <w:r>
              <w:rPr>
                <w:noProof/>
                <w:webHidden/>
              </w:rPr>
              <w:fldChar w:fldCharType="separate"/>
            </w:r>
            <w:r w:rsidR="00612FC0">
              <w:rPr>
                <w:noProof/>
                <w:webHidden/>
              </w:rPr>
              <w:t>10</w:t>
            </w:r>
            <w:r>
              <w:rPr>
                <w:noProof/>
                <w:webHidden/>
              </w:rPr>
              <w:fldChar w:fldCharType="end"/>
            </w:r>
          </w:hyperlink>
        </w:p>
        <w:p w:rsidR="00B56BFF" w:rsidRDefault="00822E83" w:rsidP="00B56BFF">
          <w:pPr>
            <w:pStyle w:val="TOC2"/>
            <w:rPr>
              <w:rFonts w:cstheme="minorBidi"/>
              <w:noProof/>
              <w:lang w:eastAsia="en-US"/>
            </w:rPr>
          </w:pPr>
          <w:hyperlink w:anchor="_Toc395516154" w:history="1">
            <w:r w:rsidR="00B56BFF" w:rsidRPr="00F371AD">
              <w:rPr>
                <w:rStyle w:val="Hyperlink"/>
                <w:noProof/>
              </w:rPr>
              <w:t>III.C. Mussel and Snail Presence in Oregon</w:t>
            </w:r>
            <w:r w:rsidR="00B56BFF">
              <w:rPr>
                <w:noProof/>
                <w:webHidden/>
              </w:rPr>
              <w:tab/>
            </w:r>
            <w:r>
              <w:rPr>
                <w:noProof/>
                <w:webHidden/>
              </w:rPr>
              <w:fldChar w:fldCharType="begin"/>
            </w:r>
            <w:r w:rsidR="00B56BFF">
              <w:rPr>
                <w:noProof/>
                <w:webHidden/>
              </w:rPr>
              <w:instrText xml:space="preserve"> PAGEREF _Toc395516154 \h </w:instrText>
            </w:r>
            <w:r>
              <w:rPr>
                <w:noProof/>
                <w:webHidden/>
              </w:rPr>
            </w:r>
            <w:r>
              <w:rPr>
                <w:noProof/>
                <w:webHidden/>
              </w:rPr>
              <w:fldChar w:fldCharType="separate"/>
            </w:r>
            <w:r w:rsidR="00612FC0">
              <w:rPr>
                <w:noProof/>
                <w:webHidden/>
              </w:rPr>
              <w:t>12</w:t>
            </w:r>
            <w:r>
              <w:rPr>
                <w:noProof/>
                <w:webHidden/>
              </w:rPr>
              <w:fldChar w:fldCharType="end"/>
            </w:r>
          </w:hyperlink>
        </w:p>
        <w:p w:rsidR="00B56BFF" w:rsidRDefault="00822E83" w:rsidP="00B56BFF">
          <w:pPr>
            <w:pStyle w:val="TOC2"/>
            <w:rPr>
              <w:rFonts w:cstheme="minorBidi"/>
              <w:noProof/>
              <w:lang w:eastAsia="en-US"/>
            </w:rPr>
          </w:pPr>
          <w:hyperlink w:anchor="_Toc395516155" w:history="1">
            <w:r w:rsidR="00B56BFF" w:rsidRPr="00F371AD">
              <w:rPr>
                <w:rStyle w:val="Hyperlink"/>
                <w:noProof/>
              </w:rPr>
              <w:t>III.D. Acute Criteria</w:t>
            </w:r>
            <w:r w:rsidR="00B56BFF">
              <w:rPr>
                <w:noProof/>
                <w:webHidden/>
              </w:rPr>
              <w:tab/>
            </w:r>
            <w:r>
              <w:rPr>
                <w:noProof/>
                <w:webHidden/>
              </w:rPr>
              <w:fldChar w:fldCharType="begin"/>
            </w:r>
            <w:r w:rsidR="00B56BFF">
              <w:rPr>
                <w:noProof/>
                <w:webHidden/>
              </w:rPr>
              <w:instrText xml:space="preserve"> PAGEREF _Toc395516155 \h </w:instrText>
            </w:r>
            <w:r>
              <w:rPr>
                <w:noProof/>
                <w:webHidden/>
              </w:rPr>
            </w:r>
            <w:r>
              <w:rPr>
                <w:noProof/>
                <w:webHidden/>
              </w:rPr>
              <w:fldChar w:fldCharType="separate"/>
            </w:r>
            <w:r w:rsidR="00612FC0">
              <w:rPr>
                <w:noProof/>
                <w:webHidden/>
              </w:rPr>
              <w:t>13</w:t>
            </w:r>
            <w:r>
              <w:rPr>
                <w:noProof/>
                <w:webHidden/>
              </w:rPr>
              <w:fldChar w:fldCharType="end"/>
            </w:r>
          </w:hyperlink>
        </w:p>
        <w:p w:rsidR="00B56BFF" w:rsidRDefault="00822E83" w:rsidP="00B56BFF">
          <w:pPr>
            <w:pStyle w:val="TOC2"/>
            <w:rPr>
              <w:rFonts w:cstheme="minorBidi"/>
              <w:noProof/>
              <w:lang w:eastAsia="en-US"/>
            </w:rPr>
          </w:pPr>
          <w:hyperlink w:anchor="_Toc395516156" w:history="1">
            <w:r w:rsidR="00B56BFF" w:rsidRPr="00F371AD">
              <w:rPr>
                <w:rStyle w:val="Hyperlink"/>
                <w:noProof/>
              </w:rPr>
              <w:t>III.E. Current and Proposed Acute Ammonia Criteria Comparison</w:t>
            </w:r>
            <w:r w:rsidR="00B56BFF">
              <w:rPr>
                <w:noProof/>
                <w:webHidden/>
              </w:rPr>
              <w:tab/>
            </w:r>
            <w:r>
              <w:rPr>
                <w:noProof/>
                <w:webHidden/>
              </w:rPr>
              <w:fldChar w:fldCharType="begin"/>
            </w:r>
            <w:r w:rsidR="00B56BFF">
              <w:rPr>
                <w:noProof/>
                <w:webHidden/>
              </w:rPr>
              <w:instrText xml:space="preserve"> PAGEREF _Toc395516156 \h </w:instrText>
            </w:r>
            <w:r>
              <w:rPr>
                <w:noProof/>
                <w:webHidden/>
              </w:rPr>
            </w:r>
            <w:r>
              <w:rPr>
                <w:noProof/>
                <w:webHidden/>
              </w:rPr>
              <w:fldChar w:fldCharType="separate"/>
            </w:r>
            <w:r w:rsidR="00612FC0">
              <w:rPr>
                <w:noProof/>
                <w:webHidden/>
              </w:rPr>
              <w:t>14</w:t>
            </w:r>
            <w:r>
              <w:rPr>
                <w:noProof/>
                <w:webHidden/>
              </w:rPr>
              <w:fldChar w:fldCharType="end"/>
            </w:r>
          </w:hyperlink>
        </w:p>
        <w:p w:rsidR="00B56BFF" w:rsidRDefault="00822E83" w:rsidP="00B56BFF">
          <w:pPr>
            <w:pStyle w:val="TOC2"/>
            <w:rPr>
              <w:rFonts w:cstheme="minorBidi"/>
              <w:noProof/>
              <w:lang w:eastAsia="en-US"/>
            </w:rPr>
          </w:pPr>
          <w:hyperlink w:anchor="_Toc395516157" w:history="1">
            <w:r w:rsidR="00BE71F4">
              <w:rPr>
                <w:rStyle w:val="Hyperlink"/>
                <w:noProof/>
              </w:rPr>
              <w:t>III.F. Chronic Criteria</w:t>
            </w:r>
            <w:r w:rsidR="00B56BFF">
              <w:rPr>
                <w:noProof/>
                <w:webHidden/>
              </w:rPr>
              <w:tab/>
            </w:r>
            <w:r>
              <w:rPr>
                <w:noProof/>
                <w:webHidden/>
              </w:rPr>
              <w:fldChar w:fldCharType="begin"/>
            </w:r>
            <w:r w:rsidR="00B56BFF">
              <w:rPr>
                <w:noProof/>
                <w:webHidden/>
              </w:rPr>
              <w:instrText xml:space="preserve"> PAGEREF _Toc395516157 \h </w:instrText>
            </w:r>
            <w:r>
              <w:rPr>
                <w:noProof/>
                <w:webHidden/>
              </w:rPr>
            </w:r>
            <w:r>
              <w:rPr>
                <w:noProof/>
                <w:webHidden/>
              </w:rPr>
              <w:fldChar w:fldCharType="separate"/>
            </w:r>
            <w:r w:rsidR="00612FC0">
              <w:rPr>
                <w:noProof/>
                <w:webHidden/>
              </w:rPr>
              <w:t>15</w:t>
            </w:r>
            <w:r>
              <w:rPr>
                <w:noProof/>
                <w:webHidden/>
              </w:rPr>
              <w:fldChar w:fldCharType="end"/>
            </w:r>
          </w:hyperlink>
        </w:p>
        <w:p w:rsidR="00B56BFF" w:rsidRDefault="00822E83" w:rsidP="00B56BFF">
          <w:pPr>
            <w:pStyle w:val="TOC2"/>
            <w:rPr>
              <w:rFonts w:cstheme="minorBidi"/>
              <w:noProof/>
              <w:lang w:eastAsia="en-US"/>
            </w:rPr>
          </w:pPr>
          <w:hyperlink w:anchor="_Toc395516158" w:history="1">
            <w:r w:rsidR="00B56BFF" w:rsidRPr="00F371AD">
              <w:rPr>
                <w:rStyle w:val="Hyperlink"/>
                <w:noProof/>
              </w:rPr>
              <w:t>III.G. Current and Proposed Chronic Ammonia Criteria Comparison</w:t>
            </w:r>
            <w:r w:rsidR="00B56BFF">
              <w:rPr>
                <w:noProof/>
                <w:webHidden/>
              </w:rPr>
              <w:tab/>
            </w:r>
            <w:r>
              <w:rPr>
                <w:noProof/>
                <w:webHidden/>
              </w:rPr>
              <w:fldChar w:fldCharType="begin"/>
            </w:r>
            <w:r w:rsidR="00B56BFF">
              <w:rPr>
                <w:noProof/>
                <w:webHidden/>
              </w:rPr>
              <w:instrText xml:space="preserve"> PAGEREF _Toc395516158 \h </w:instrText>
            </w:r>
            <w:r>
              <w:rPr>
                <w:noProof/>
                <w:webHidden/>
              </w:rPr>
            </w:r>
            <w:r>
              <w:rPr>
                <w:noProof/>
                <w:webHidden/>
              </w:rPr>
              <w:fldChar w:fldCharType="separate"/>
            </w:r>
            <w:r w:rsidR="00612FC0">
              <w:rPr>
                <w:noProof/>
                <w:webHidden/>
              </w:rPr>
              <w:t>17</w:t>
            </w:r>
            <w:r>
              <w:rPr>
                <w:noProof/>
                <w:webHidden/>
              </w:rPr>
              <w:fldChar w:fldCharType="end"/>
            </w:r>
          </w:hyperlink>
        </w:p>
        <w:p w:rsidR="00B56BFF" w:rsidRDefault="00822E83" w:rsidP="00B56BFF">
          <w:pPr>
            <w:pStyle w:val="TOC1"/>
            <w:rPr>
              <w:rFonts w:cstheme="minorBidi"/>
              <w:noProof/>
              <w:lang w:eastAsia="en-US"/>
            </w:rPr>
          </w:pPr>
          <w:hyperlink w:anchor="_Toc395516159" w:history="1">
            <w:r w:rsidR="00B56BFF">
              <w:rPr>
                <w:rStyle w:val="Hyperlink"/>
                <w:noProof/>
              </w:rPr>
              <w:t>IV. Site-Specific Criteria for A</w:t>
            </w:r>
            <w:r w:rsidR="00B56BFF" w:rsidRPr="00F371AD">
              <w:rPr>
                <w:rStyle w:val="Hyperlink"/>
                <w:noProof/>
              </w:rPr>
              <w:t>mmonia</w:t>
            </w:r>
            <w:r w:rsidR="00B56BFF">
              <w:rPr>
                <w:noProof/>
                <w:webHidden/>
              </w:rPr>
              <w:tab/>
            </w:r>
            <w:r>
              <w:rPr>
                <w:noProof/>
                <w:webHidden/>
              </w:rPr>
              <w:fldChar w:fldCharType="begin"/>
            </w:r>
            <w:r w:rsidR="00B56BFF">
              <w:rPr>
                <w:noProof/>
                <w:webHidden/>
              </w:rPr>
              <w:instrText xml:space="preserve"> PAGEREF _Toc395516159 \h </w:instrText>
            </w:r>
            <w:r>
              <w:rPr>
                <w:noProof/>
                <w:webHidden/>
              </w:rPr>
            </w:r>
            <w:r>
              <w:rPr>
                <w:noProof/>
                <w:webHidden/>
              </w:rPr>
              <w:fldChar w:fldCharType="separate"/>
            </w:r>
            <w:r w:rsidR="00612FC0">
              <w:rPr>
                <w:noProof/>
                <w:webHidden/>
              </w:rPr>
              <w:t>17</w:t>
            </w:r>
            <w:r>
              <w:rPr>
                <w:noProof/>
                <w:webHidden/>
              </w:rPr>
              <w:fldChar w:fldCharType="end"/>
            </w:r>
          </w:hyperlink>
        </w:p>
        <w:p w:rsidR="00B56BFF" w:rsidRDefault="00822E83" w:rsidP="00B56BFF">
          <w:pPr>
            <w:pStyle w:val="TOC1"/>
            <w:rPr>
              <w:rFonts w:cstheme="minorBidi"/>
              <w:noProof/>
              <w:lang w:eastAsia="en-US"/>
            </w:rPr>
          </w:pPr>
          <w:hyperlink w:anchor="_Toc395516160" w:history="1">
            <w:r w:rsidR="00B56BFF">
              <w:rPr>
                <w:rStyle w:val="Hyperlink"/>
                <w:noProof/>
              </w:rPr>
              <w:t>V. Beneficial Uses A</w:t>
            </w:r>
            <w:r w:rsidR="00B56BFF" w:rsidRPr="00F371AD">
              <w:rPr>
                <w:rStyle w:val="Hyperlink"/>
                <w:noProof/>
              </w:rPr>
              <w:t>ffected</w:t>
            </w:r>
            <w:r w:rsidR="00B56BFF">
              <w:rPr>
                <w:noProof/>
                <w:webHidden/>
              </w:rPr>
              <w:tab/>
            </w:r>
            <w:r>
              <w:rPr>
                <w:noProof/>
                <w:webHidden/>
              </w:rPr>
              <w:fldChar w:fldCharType="begin"/>
            </w:r>
            <w:r w:rsidR="00B56BFF">
              <w:rPr>
                <w:noProof/>
                <w:webHidden/>
              </w:rPr>
              <w:instrText xml:space="preserve"> PAGEREF _Toc395516160 \h </w:instrText>
            </w:r>
            <w:r>
              <w:rPr>
                <w:noProof/>
                <w:webHidden/>
              </w:rPr>
            </w:r>
            <w:r>
              <w:rPr>
                <w:noProof/>
                <w:webHidden/>
              </w:rPr>
              <w:fldChar w:fldCharType="separate"/>
            </w:r>
            <w:r w:rsidR="00612FC0">
              <w:rPr>
                <w:noProof/>
                <w:webHidden/>
              </w:rPr>
              <w:t>18</w:t>
            </w:r>
            <w:r>
              <w:rPr>
                <w:noProof/>
                <w:webHidden/>
              </w:rPr>
              <w:fldChar w:fldCharType="end"/>
            </w:r>
          </w:hyperlink>
        </w:p>
        <w:p w:rsidR="00B56BFF" w:rsidRDefault="00822E83" w:rsidP="00B56BFF">
          <w:pPr>
            <w:pStyle w:val="TOC1"/>
            <w:rPr>
              <w:rFonts w:cstheme="minorBidi"/>
              <w:noProof/>
              <w:lang w:eastAsia="en-US"/>
            </w:rPr>
          </w:pPr>
          <w:hyperlink w:anchor="_Toc395516161" w:history="1">
            <w:r w:rsidR="00B56BFF">
              <w:rPr>
                <w:rStyle w:val="Hyperlink"/>
                <w:noProof/>
              </w:rPr>
              <w:t>VI. I</w:t>
            </w:r>
            <w:r w:rsidR="00B56BFF" w:rsidRPr="00F371AD">
              <w:rPr>
                <w:rStyle w:val="Hyperlink"/>
                <w:noProof/>
              </w:rPr>
              <w:t>mplementation</w:t>
            </w:r>
            <w:r w:rsidR="00B56BFF">
              <w:rPr>
                <w:noProof/>
                <w:webHidden/>
              </w:rPr>
              <w:tab/>
            </w:r>
            <w:r>
              <w:rPr>
                <w:noProof/>
                <w:webHidden/>
              </w:rPr>
              <w:fldChar w:fldCharType="begin"/>
            </w:r>
            <w:r w:rsidR="00B56BFF">
              <w:rPr>
                <w:noProof/>
                <w:webHidden/>
              </w:rPr>
              <w:instrText xml:space="preserve"> PAGEREF _Toc395516161 \h </w:instrText>
            </w:r>
            <w:r>
              <w:rPr>
                <w:noProof/>
                <w:webHidden/>
              </w:rPr>
            </w:r>
            <w:r>
              <w:rPr>
                <w:noProof/>
                <w:webHidden/>
              </w:rPr>
              <w:fldChar w:fldCharType="separate"/>
            </w:r>
            <w:r w:rsidR="00612FC0">
              <w:rPr>
                <w:noProof/>
                <w:webHidden/>
              </w:rPr>
              <w:t>19</w:t>
            </w:r>
            <w:r>
              <w:rPr>
                <w:noProof/>
                <w:webHidden/>
              </w:rPr>
              <w:fldChar w:fldCharType="end"/>
            </w:r>
          </w:hyperlink>
        </w:p>
        <w:p w:rsidR="00B56BFF" w:rsidRDefault="00822E83" w:rsidP="00B56BFF">
          <w:pPr>
            <w:pStyle w:val="TOC2"/>
            <w:rPr>
              <w:rFonts w:cstheme="minorBidi"/>
              <w:noProof/>
              <w:lang w:eastAsia="en-US"/>
            </w:rPr>
          </w:pPr>
          <w:hyperlink w:anchor="_Toc395516162" w:history="1">
            <w:r w:rsidR="00B56BFF" w:rsidRPr="00F371AD">
              <w:rPr>
                <w:rStyle w:val="Hyperlink"/>
                <w:noProof/>
              </w:rPr>
              <w:t>VI.A. Determination of Mussels Absent</w:t>
            </w:r>
            <w:r w:rsidR="00B56BFF">
              <w:rPr>
                <w:noProof/>
                <w:webHidden/>
              </w:rPr>
              <w:tab/>
            </w:r>
            <w:r>
              <w:rPr>
                <w:noProof/>
                <w:webHidden/>
              </w:rPr>
              <w:fldChar w:fldCharType="begin"/>
            </w:r>
            <w:r w:rsidR="00B56BFF">
              <w:rPr>
                <w:noProof/>
                <w:webHidden/>
              </w:rPr>
              <w:instrText xml:space="preserve"> PAGEREF _Toc395516162 \h </w:instrText>
            </w:r>
            <w:r>
              <w:rPr>
                <w:noProof/>
                <w:webHidden/>
              </w:rPr>
            </w:r>
            <w:r>
              <w:rPr>
                <w:noProof/>
                <w:webHidden/>
              </w:rPr>
              <w:fldChar w:fldCharType="separate"/>
            </w:r>
            <w:r w:rsidR="00612FC0">
              <w:rPr>
                <w:noProof/>
                <w:webHidden/>
              </w:rPr>
              <w:t>19</w:t>
            </w:r>
            <w:r>
              <w:rPr>
                <w:noProof/>
                <w:webHidden/>
              </w:rPr>
              <w:fldChar w:fldCharType="end"/>
            </w:r>
          </w:hyperlink>
        </w:p>
        <w:p w:rsidR="00B56BFF" w:rsidRDefault="00822E83" w:rsidP="00B56BFF">
          <w:pPr>
            <w:pStyle w:val="TOC2"/>
            <w:rPr>
              <w:rFonts w:cstheme="minorBidi"/>
              <w:noProof/>
              <w:lang w:eastAsia="en-US"/>
            </w:rPr>
          </w:pPr>
          <w:hyperlink w:anchor="_Toc395516163" w:history="1">
            <w:r w:rsidR="00B56BFF" w:rsidRPr="00F371AD">
              <w:rPr>
                <w:rStyle w:val="Hyperlink"/>
                <w:noProof/>
              </w:rPr>
              <w:t>VI.B. Permitting</w:t>
            </w:r>
            <w:r w:rsidR="00B56BFF">
              <w:rPr>
                <w:noProof/>
                <w:webHidden/>
              </w:rPr>
              <w:tab/>
            </w:r>
            <w:r>
              <w:rPr>
                <w:noProof/>
                <w:webHidden/>
              </w:rPr>
              <w:fldChar w:fldCharType="begin"/>
            </w:r>
            <w:r w:rsidR="00B56BFF">
              <w:rPr>
                <w:noProof/>
                <w:webHidden/>
              </w:rPr>
              <w:instrText xml:space="preserve"> PAGEREF _Toc395516163 \h </w:instrText>
            </w:r>
            <w:r>
              <w:rPr>
                <w:noProof/>
                <w:webHidden/>
              </w:rPr>
            </w:r>
            <w:r>
              <w:rPr>
                <w:noProof/>
                <w:webHidden/>
              </w:rPr>
              <w:fldChar w:fldCharType="separate"/>
            </w:r>
            <w:r w:rsidR="00612FC0">
              <w:rPr>
                <w:noProof/>
                <w:webHidden/>
              </w:rPr>
              <w:t>20</w:t>
            </w:r>
            <w:r>
              <w:rPr>
                <w:noProof/>
                <w:webHidden/>
              </w:rPr>
              <w:fldChar w:fldCharType="end"/>
            </w:r>
          </w:hyperlink>
        </w:p>
        <w:p w:rsidR="00B56BFF" w:rsidRDefault="00822E83" w:rsidP="00B56BFF">
          <w:pPr>
            <w:pStyle w:val="TOC2"/>
            <w:rPr>
              <w:rFonts w:cstheme="minorBidi"/>
              <w:noProof/>
              <w:lang w:eastAsia="en-US"/>
            </w:rPr>
          </w:pPr>
          <w:hyperlink w:anchor="_Toc395516164" w:history="1">
            <w:r w:rsidR="00B56BFF" w:rsidRPr="00F371AD">
              <w:rPr>
                <w:rStyle w:val="Hyperlink"/>
                <w:noProof/>
              </w:rPr>
              <w:t>VI.C. Integrated Report</w:t>
            </w:r>
            <w:r w:rsidR="00B56BFF">
              <w:rPr>
                <w:noProof/>
                <w:webHidden/>
              </w:rPr>
              <w:tab/>
            </w:r>
            <w:r>
              <w:rPr>
                <w:noProof/>
                <w:webHidden/>
              </w:rPr>
              <w:fldChar w:fldCharType="begin"/>
            </w:r>
            <w:r w:rsidR="00B56BFF">
              <w:rPr>
                <w:noProof/>
                <w:webHidden/>
              </w:rPr>
              <w:instrText xml:space="preserve"> PAGEREF _Toc395516164 \h </w:instrText>
            </w:r>
            <w:r>
              <w:rPr>
                <w:noProof/>
                <w:webHidden/>
              </w:rPr>
            </w:r>
            <w:r>
              <w:rPr>
                <w:noProof/>
                <w:webHidden/>
              </w:rPr>
              <w:fldChar w:fldCharType="separate"/>
            </w:r>
            <w:r w:rsidR="00612FC0">
              <w:rPr>
                <w:noProof/>
                <w:webHidden/>
              </w:rPr>
              <w:t>23</w:t>
            </w:r>
            <w:r>
              <w:rPr>
                <w:noProof/>
                <w:webHidden/>
              </w:rPr>
              <w:fldChar w:fldCharType="end"/>
            </w:r>
          </w:hyperlink>
        </w:p>
        <w:p w:rsidR="00B56BFF" w:rsidRDefault="00822E83" w:rsidP="00B56BFF">
          <w:pPr>
            <w:pStyle w:val="TOC2"/>
            <w:rPr>
              <w:rFonts w:cstheme="minorBidi"/>
              <w:noProof/>
              <w:lang w:eastAsia="en-US"/>
            </w:rPr>
          </w:pPr>
          <w:hyperlink w:anchor="_Toc395516166" w:history="1">
            <w:r w:rsidR="00B56BFF" w:rsidRPr="00F371AD">
              <w:rPr>
                <w:rStyle w:val="Hyperlink"/>
                <w:noProof/>
              </w:rPr>
              <w:t>VI.D. Total Maximum Daily Load Program</w:t>
            </w:r>
            <w:r w:rsidR="00B56BFF">
              <w:rPr>
                <w:noProof/>
                <w:webHidden/>
              </w:rPr>
              <w:tab/>
            </w:r>
            <w:r>
              <w:rPr>
                <w:noProof/>
                <w:webHidden/>
              </w:rPr>
              <w:fldChar w:fldCharType="begin"/>
            </w:r>
            <w:r w:rsidR="00B56BFF">
              <w:rPr>
                <w:noProof/>
                <w:webHidden/>
              </w:rPr>
              <w:instrText xml:space="preserve"> PAGEREF _Toc395516166 \h </w:instrText>
            </w:r>
            <w:r>
              <w:rPr>
                <w:noProof/>
                <w:webHidden/>
              </w:rPr>
            </w:r>
            <w:r>
              <w:rPr>
                <w:noProof/>
                <w:webHidden/>
              </w:rPr>
              <w:fldChar w:fldCharType="separate"/>
            </w:r>
            <w:r w:rsidR="00612FC0">
              <w:rPr>
                <w:noProof/>
                <w:webHidden/>
              </w:rPr>
              <w:t>25</w:t>
            </w:r>
            <w:r>
              <w:rPr>
                <w:noProof/>
                <w:webHidden/>
              </w:rPr>
              <w:fldChar w:fldCharType="end"/>
            </w:r>
          </w:hyperlink>
        </w:p>
        <w:p w:rsidR="00B56BFF" w:rsidRDefault="00822E83" w:rsidP="00B56BFF">
          <w:pPr>
            <w:pStyle w:val="TOC1"/>
            <w:rPr>
              <w:rFonts w:cstheme="minorBidi"/>
              <w:noProof/>
              <w:lang w:eastAsia="en-US"/>
            </w:rPr>
          </w:pPr>
          <w:hyperlink w:anchor="_Toc395516167" w:history="1">
            <w:r w:rsidR="00B56BFF">
              <w:rPr>
                <w:rStyle w:val="Hyperlink"/>
                <w:noProof/>
              </w:rPr>
              <w:t>Appendix A: EPA Letter to Oregon DEQ</w:t>
            </w:r>
            <w:r w:rsidR="00B56BFF">
              <w:rPr>
                <w:noProof/>
                <w:webHidden/>
              </w:rPr>
              <w:tab/>
            </w:r>
            <w:r>
              <w:rPr>
                <w:noProof/>
                <w:webHidden/>
              </w:rPr>
              <w:fldChar w:fldCharType="begin"/>
            </w:r>
            <w:r w:rsidR="00B56BFF">
              <w:rPr>
                <w:noProof/>
                <w:webHidden/>
              </w:rPr>
              <w:instrText xml:space="preserve"> PAGEREF _Toc395516167 \h </w:instrText>
            </w:r>
            <w:r>
              <w:rPr>
                <w:noProof/>
                <w:webHidden/>
              </w:rPr>
            </w:r>
            <w:r>
              <w:rPr>
                <w:noProof/>
                <w:webHidden/>
              </w:rPr>
              <w:fldChar w:fldCharType="separate"/>
            </w:r>
            <w:r w:rsidR="00612FC0">
              <w:rPr>
                <w:noProof/>
                <w:webHidden/>
              </w:rPr>
              <w:t>26</w:t>
            </w:r>
            <w:r>
              <w:rPr>
                <w:noProof/>
                <w:webHidden/>
              </w:rPr>
              <w:fldChar w:fldCharType="end"/>
            </w:r>
          </w:hyperlink>
        </w:p>
        <w:p w:rsidR="00B56BFF" w:rsidRDefault="00822E83" w:rsidP="00B56BFF">
          <w:pPr>
            <w:pStyle w:val="TOC1"/>
            <w:rPr>
              <w:rFonts w:cstheme="minorBidi"/>
              <w:noProof/>
              <w:lang w:eastAsia="en-US"/>
            </w:rPr>
          </w:pPr>
          <w:hyperlink w:anchor="_Toc395516168" w:history="1">
            <w:r w:rsidR="00B56BFF">
              <w:rPr>
                <w:rStyle w:val="Hyperlink"/>
                <w:noProof/>
              </w:rPr>
              <w:t>Appendix B: Presence of Mussels and Snails in O</w:t>
            </w:r>
            <w:r w:rsidR="00B56BFF" w:rsidRPr="00F371AD">
              <w:rPr>
                <w:rStyle w:val="Hyperlink"/>
                <w:noProof/>
              </w:rPr>
              <w:t>regon</w:t>
            </w:r>
            <w:r w:rsidR="00B56BFF">
              <w:rPr>
                <w:noProof/>
                <w:webHidden/>
              </w:rPr>
              <w:tab/>
            </w:r>
            <w:r>
              <w:rPr>
                <w:noProof/>
                <w:webHidden/>
              </w:rPr>
              <w:fldChar w:fldCharType="begin"/>
            </w:r>
            <w:r w:rsidR="00B56BFF">
              <w:rPr>
                <w:noProof/>
                <w:webHidden/>
              </w:rPr>
              <w:instrText xml:space="preserve"> PAGEREF _Toc395516168 \h </w:instrText>
            </w:r>
            <w:r>
              <w:rPr>
                <w:noProof/>
                <w:webHidden/>
              </w:rPr>
            </w:r>
            <w:r>
              <w:rPr>
                <w:noProof/>
                <w:webHidden/>
              </w:rPr>
              <w:fldChar w:fldCharType="separate"/>
            </w:r>
            <w:r w:rsidR="00612FC0">
              <w:rPr>
                <w:noProof/>
                <w:webHidden/>
              </w:rPr>
              <w:t>30</w:t>
            </w:r>
            <w:r>
              <w:rPr>
                <w:noProof/>
                <w:webHidden/>
              </w:rPr>
              <w:fldChar w:fldCharType="end"/>
            </w:r>
          </w:hyperlink>
        </w:p>
        <w:p w:rsidR="00B56BFF" w:rsidRDefault="00822E83" w:rsidP="00B56BFF">
          <w:pPr>
            <w:pStyle w:val="TOC1"/>
            <w:rPr>
              <w:rFonts w:cstheme="minorBidi"/>
              <w:noProof/>
              <w:lang w:eastAsia="en-US"/>
            </w:rPr>
          </w:pPr>
          <w:hyperlink w:anchor="_Toc395516169" w:history="1">
            <w:r w:rsidR="00B56BFF">
              <w:rPr>
                <w:rStyle w:val="Hyperlink"/>
                <w:noProof/>
              </w:rPr>
              <w:t>Appendix C: C</w:t>
            </w:r>
            <w:r w:rsidR="00B56BFF" w:rsidRPr="00F371AD">
              <w:rPr>
                <w:rStyle w:val="Hyperlink"/>
                <w:noProof/>
              </w:rPr>
              <w:t>omparison of species used to calculate the acu</w:t>
            </w:r>
            <w:r w:rsidR="00B56BFF">
              <w:rPr>
                <w:rStyle w:val="Hyperlink"/>
                <w:noProof/>
              </w:rPr>
              <w:t>te and chronic criteria from EPA</w:t>
            </w:r>
            <w:r w:rsidR="00B56BFF" w:rsidRPr="00F371AD">
              <w:rPr>
                <w:rStyle w:val="Hyperlink"/>
                <w:noProof/>
              </w:rPr>
              <w:t xml:space="preserve"> 2013 criteria document</w:t>
            </w:r>
            <w:r w:rsidR="00B56BFF">
              <w:rPr>
                <w:noProof/>
                <w:webHidden/>
              </w:rPr>
              <w:tab/>
            </w:r>
            <w:r>
              <w:rPr>
                <w:noProof/>
                <w:webHidden/>
              </w:rPr>
              <w:fldChar w:fldCharType="begin"/>
            </w:r>
            <w:r w:rsidR="00B56BFF">
              <w:rPr>
                <w:noProof/>
                <w:webHidden/>
              </w:rPr>
              <w:instrText xml:space="preserve"> PAGEREF _Toc395516169 \h </w:instrText>
            </w:r>
            <w:r>
              <w:rPr>
                <w:noProof/>
                <w:webHidden/>
              </w:rPr>
            </w:r>
            <w:r>
              <w:rPr>
                <w:noProof/>
                <w:webHidden/>
              </w:rPr>
              <w:fldChar w:fldCharType="separate"/>
            </w:r>
            <w:r w:rsidR="00612FC0">
              <w:rPr>
                <w:noProof/>
                <w:webHidden/>
              </w:rPr>
              <w:t>34</w:t>
            </w:r>
            <w:r>
              <w:rPr>
                <w:noProof/>
                <w:webHidden/>
              </w:rPr>
              <w:fldChar w:fldCharType="end"/>
            </w:r>
          </w:hyperlink>
        </w:p>
        <w:p w:rsidR="00B56BFF" w:rsidRDefault="00822E83" w:rsidP="00B56BFF">
          <w:pPr>
            <w:pStyle w:val="TOC1"/>
            <w:rPr>
              <w:rFonts w:cstheme="minorBidi"/>
              <w:noProof/>
              <w:lang w:eastAsia="en-US"/>
            </w:rPr>
          </w:pPr>
          <w:hyperlink w:anchor="_Toc395516170" w:history="1">
            <w:r w:rsidR="00B56BFF">
              <w:rPr>
                <w:rStyle w:val="Hyperlink"/>
                <w:noProof/>
              </w:rPr>
              <w:t>Appendix D: Ammonia Criteria T</w:t>
            </w:r>
            <w:r w:rsidR="00B56BFF" w:rsidRPr="00F371AD">
              <w:rPr>
                <w:rStyle w:val="Hyperlink"/>
                <w:noProof/>
              </w:rPr>
              <w:t>ables</w:t>
            </w:r>
            <w:r w:rsidR="00B56BFF">
              <w:rPr>
                <w:noProof/>
                <w:webHidden/>
              </w:rPr>
              <w:tab/>
            </w:r>
            <w:r>
              <w:rPr>
                <w:noProof/>
                <w:webHidden/>
              </w:rPr>
              <w:fldChar w:fldCharType="begin"/>
            </w:r>
            <w:r w:rsidR="00B56BFF">
              <w:rPr>
                <w:noProof/>
                <w:webHidden/>
              </w:rPr>
              <w:instrText xml:space="preserve"> PAGEREF _Toc395516170 \h </w:instrText>
            </w:r>
            <w:r>
              <w:rPr>
                <w:noProof/>
                <w:webHidden/>
              </w:rPr>
            </w:r>
            <w:r>
              <w:rPr>
                <w:noProof/>
                <w:webHidden/>
              </w:rPr>
              <w:fldChar w:fldCharType="separate"/>
            </w:r>
            <w:r w:rsidR="00612FC0">
              <w:rPr>
                <w:noProof/>
                <w:webHidden/>
              </w:rPr>
              <w:t>36</w:t>
            </w:r>
            <w:r>
              <w:rPr>
                <w:noProof/>
                <w:webHidden/>
              </w:rPr>
              <w:fldChar w:fldCharType="end"/>
            </w:r>
          </w:hyperlink>
        </w:p>
        <w:p w:rsidR="00200D2E" w:rsidRDefault="00822E83" w:rsidP="004D65A8">
          <w:r>
            <w:fldChar w:fldCharType="end"/>
          </w:r>
        </w:p>
      </w:sdtContent>
    </w:sdt>
    <w:p w:rsidR="00976189" w:rsidRDefault="00511562" w:rsidP="00976189">
      <w:pPr>
        <w:rPr>
          <w:rFonts w:asciiTheme="majorHAnsi" w:eastAsiaTheme="majorEastAsia" w:hAnsiTheme="majorHAnsi" w:cstheme="majorBidi"/>
          <w:color w:val="2B8F91"/>
          <w:sz w:val="40"/>
          <w:szCs w:val="32"/>
        </w:rPr>
      </w:pPr>
      <w:r>
        <w:br w:type="page"/>
      </w:r>
    </w:p>
    <w:p w:rsidR="00DC2D85" w:rsidRPr="00907D03" w:rsidRDefault="00DC2D85" w:rsidP="004D65A8">
      <w:pPr>
        <w:pStyle w:val="Heading1"/>
        <w:rPr>
          <w:rFonts w:asciiTheme="minorHAnsi" w:hAnsiTheme="minorHAnsi"/>
        </w:rPr>
      </w:pPr>
      <w:bookmarkStart w:id="2" w:name="_Toc395516145"/>
      <w:r w:rsidRPr="00907D03">
        <w:rPr>
          <w:rFonts w:asciiTheme="minorHAnsi" w:hAnsiTheme="minorHAnsi"/>
        </w:rPr>
        <w:lastRenderedPageBreak/>
        <w:t>i. introduction</w:t>
      </w:r>
      <w:bookmarkEnd w:id="2"/>
    </w:p>
    <w:p w:rsidR="00DC2D85" w:rsidRDefault="00DC2D85" w:rsidP="004D65A8"/>
    <w:p w:rsidR="0009691E" w:rsidRPr="004D65A8" w:rsidRDefault="0080765A" w:rsidP="004D65A8">
      <w:r w:rsidRPr="0080765A">
        <w:t>Water quality standards</w:t>
      </w:r>
      <w:r w:rsidR="004C743E">
        <w:t xml:space="preserve"> regulations</w:t>
      </w:r>
      <w:r w:rsidR="00976189" w:rsidRPr="00976189">
        <w:t xml:space="preserve"> define the water quality goals for a waterbody</w:t>
      </w:r>
      <w:r w:rsidR="004D65A8">
        <w:t>. These goals</w:t>
      </w:r>
      <w:r w:rsidR="00936FE7">
        <w:t xml:space="preserve"> </w:t>
      </w:r>
      <w:r w:rsidR="00976189" w:rsidRPr="00976189">
        <w:t>designat</w:t>
      </w:r>
      <w:r w:rsidR="004D65A8">
        <w:t>e</w:t>
      </w:r>
      <w:r w:rsidR="00976189" w:rsidRPr="00976189">
        <w:t xml:space="preserve"> the use or uses, set criteria necessary to protect the uses, and prevent or limit degradation through antidegradation provisions. In January 2013, the Environmental Protection Agency (EPA) disapproved Oregon’s revised freshwater ammonia criteria that DEQ submitted for approval in 2004. </w:t>
      </w:r>
      <w:r w:rsidR="004D65A8">
        <w:t>T</w:t>
      </w:r>
      <w:r w:rsidR="004D65A8" w:rsidRPr="004D65A8">
        <w:t xml:space="preserve">o address </w:t>
      </w:r>
      <w:r w:rsidR="004D65A8">
        <w:t>this</w:t>
      </w:r>
      <w:r w:rsidR="004D65A8" w:rsidRPr="004D65A8">
        <w:t xml:space="preserve"> disapproval</w:t>
      </w:r>
      <w:r w:rsidR="004D65A8">
        <w:t>,</w:t>
      </w:r>
      <w:r w:rsidR="004D65A8" w:rsidRPr="004D65A8">
        <w:t xml:space="preserve"> </w:t>
      </w:r>
      <w:r w:rsidR="00976189" w:rsidRPr="00976189">
        <w:t xml:space="preserve">DEQ proposes adopting EPA’s latest criteria recommendations that take into account mussel and snail sensitivity to ammonia. </w:t>
      </w:r>
      <w:r w:rsidR="004D65A8">
        <w:t>T</w:t>
      </w:r>
      <w:r w:rsidR="004D65A8" w:rsidRPr="004D65A8">
        <w:t>he Environmental Quality Commission (EQC)</w:t>
      </w:r>
      <w:r w:rsidR="004C743E">
        <w:t xml:space="preserve"> must adopt</w:t>
      </w:r>
      <w:r w:rsidR="004D65A8">
        <w:t xml:space="preserve"> and EPA must approve the </w:t>
      </w:r>
      <w:r w:rsidR="00976189" w:rsidRPr="00976189">
        <w:t xml:space="preserve">ammonia criteria </w:t>
      </w:r>
      <w:r w:rsidR="004D65A8">
        <w:t xml:space="preserve">revisions </w:t>
      </w:r>
      <w:r w:rsidR="00976189" w:rsidRPr="00976189">
        <w:t>before the</w:t>
      </w:r>
      <w:r w:rsidR="004D65A8">
        <w:t xml:space="preserve"> rule</w:t>
      </w:r>
      <w:r w:rsidR="00976189" w:rsidRPr="00976189">
        <w:t xml:space="preserve"> amendments become effective for Clean Water Act purposes.</w:t>
      </w:r>
    </w:p>
    <w:p w:rsidR="0009691E" w:rsidRPr="00907D03" w:rsidRDefault="0009691E" w:rsidP="004D65A8">
      <w:pPr>
        <w:pStyle w:val="Heading2"/>
        <w:rPr>
          <w:rFonts w:asciiTheme="minorHAnsi" w:hAnsiTheme="minorHAnsi" w:cstheme="majorHAnsi"/>
          <w:color w:val="auto"/>
          <w:sz w:val="22"/>
          <w:szCs w:val="22"/>
        </w:rPr>
      </w:pPr>
      <w:bookmarkStart w:id="3" w:name="_Toc395516146"/>
      <w:r w:rsidRPr="00907D03">
        <w:rPr>
          <w:rFonts w:asciiTheme="minorHAnsi" w:hAnsiTheme="minorHAnsi"/>
        </w:rPr>
        <w:t>I.A. Scope of Rulemaking</w:t>
      </w:r>
      <w:bookmarkEnd w:id="3"/>
    </w:p>
    <w:p w:rsidR="009F64AA" w:rsidRDefault="00AA74FB" w:rsidP="004D65A8">
      <w:r>
        <w:t xml:space="preserve">The proposed rules revise Oregon’s </w:t>
      </w:r>
      <w:r w:rsidRPr="008A09DD">
        <w:t>freshwater ammonia criteria</w:t>
      </w:r>
      <w:r>
        <w:t xml:space="preserve">, </w:t>
      </w:r>
      <w:r w:rsidR="004D65A8">
        <w:t>align</w:t>
      </w:r>
      <w:r>
        <w:t>ing</w:t>
      </w:r>
      <w:r w:rsidR="004D65A8">
        <w:t xml:space="preserve"> </w:t>
      </w:r>
      <w:r w:rsidR="008B7CEB">
        <w:t xml:space="preserve">the </w:t>
      </w:r>
      <w:r w:rsidR="0009691E" w:rsidRPr="008A09DD">
        <w:t xml:space="preserve">criteria </w:t>
      </w:r>
      <w:r>
        <w:t xml:space="preserve">with </w:t>
      </w:r>
      <w:r w:rsidR="0009691E" w:rsidRPr="008A09DD">
        <w:t>EPA’s latest recommendations finalized in August 2013</w:t>
      </w:r>
      <w:r w:rsidR="004D65A8">
        <w:t xml:space="preserve">.  </w:t>
      </w:r>
      <w:r w:rsidR="0009691E" w:rsidRPr="008A09DD">
        <w:t xml:space="preserve">EPA’s recommendations </w:t>
      </w:r>
      <w:r w:rsidR="004D65A8">
        <w:t>consider</w:t>
      </w:r>
      <w:r w:rsidR="0009691E">
        <w:t xml:space="preserve"> </w:t>
      </w:r>
      <w:r w:rsidR="0009691E" w:rsidRPr="008A09DD">
        <w:t>unionid mussels</w:t>
      </w:r>
      <w:r w:rsidR="009F64AA">
        <w:t>’</w:t>
      </w:r>
      <w:r w:rsidR="0009691E" w:rsidRPr="008A09DD">
        <w:t xml:space="preserve"> and non-pulmonate </w:t>
      </w:r>
      <w:r w:rsidR="009F64AA" w:rsidRPr="008A09DD">
        <w:t>snail</w:t>
      </w:r>
      <w:r w:rsidR="009F64AA">
        <w:t>s’</w:t>
      </w:r>
      <w:r w:rsidR="004D65A8" w:rsidRPr="004D65A8">
        <w:t xml:space="preserve"> </w:t>
      </w:r>
      <w:r w:rsidR="004D65A8">
        <w:t xml:space="preserve">sensitivity </w:t>
      </w:r>
      <w:r w:rsidR="009F64AA">
        <w:t>to ammonia</w:t>
      </w:r>
      <w:r w:rsidR="0009691E" w:rsidRPr="008A09DD">
        <w:t xml:space="preserve">. </w:t>
      </w:r>
      <w:r w:rsidR="009F64AA">
        <w:t>I</w:t>
      </w:r>
      <w:r w:rsidR="0009691E">
        <w:t>nclu</w:t>
      </w:r>
      <w:r w:rsidR="009F64AA">
        <w:t>ding</w:t>
      </w:r>
      <w:r w:rsidR="0009691E">
        <w:t xml:space="preserve"> </w:t>
      </w:r>
      <w:r w:rsidR="0009691E" w:rsidRPr="008A09DD">
        <w:t>mollusks in</w:t>
      </w:r>
      <w:r w:rsidR="0009691E">
        <w:t xml:space="preserve"> the national dataset </w:t>
      </w:r>
      <w:r w:rsidR="0009691E" w:rsidRPr="008A09DD">
        <w:t>makes the ammonia criteria more stringent</w:t>
      </w:r>
      <w:r w:rsidR="0009691E">
        <w:t xml:space="preserve"> than if mollusks were not included</w:t>
      </w:r>
      <w:r w:rsidR="0009691E" w:rsidRPr="008A09DD">
        <w:t xml:space="preserve">. There is flexibility </w:t>
      </w:r>
      <w:r w:rsidR="00726AAB">
        <w:t>to</w:t>
      </w:r>
      <w:r w:rsidR="0009691E" w:rsidRPr="008A09DD">
        <w:t xml:space="preserve"> de</w:t>
      </w:r>
      <w:r w:rsidR="00726AAB">
        <w:t>rive</w:t>
      </w:r>
      <w:r w:rsidR="0009691E" w:rsidRPr="008A09DD">
        <w:t xml:space="preserve"> sit</w:t>
      </w:r>
      <w:r w:rsidR="009E7C0E">
        <w:t>e-specific criteria for ammonia</w:t>
      </w:r>
      <w:r w:rsidR="00A76A7A">
        <w:t xml:space="preserve"> in waterbodies</w:t>
      </w:r>
      <w:r w:rsidR="009E7C0E">
        <w:t xml:space="preserve"> </w:t>
      </w:r>
      <w:r w:rsidR="0009691E">
        <w:t>where</w:t>
      </w:r>
      <w:r w:rsidR="000C602A">
        <w:t xml:space="preserve"> </w:t>
      </w:r>
      <w:r w:rsidR="0009691E" w:rsidRPr="008A09DD">
        <w:t xml:space="preserve">mussels </w:t>
      </w:r>
      <w:r w:rsidR="0009691E">
        <w:t>are not present. H</w:t>
      </w:r>
      <w:r w:rsidR="0009691E" w:rsidRPr="008A09DD">
        <w:t xml:space="preserve">owever, </w:t>
      </w:r>
      <w:r w:rsidR="00936FE7">
        <w:t>t</w:t>
      </w:r>
      <w:r w:rsidR="009F64AA">
        <w:t>he proposed rules do not include site-specific criteria for waters without mussels or snails bec</w:t>
      </w:r>
      <w:r w:rsidR="00936FE7">
        <w:t>a</w:t>
      </w:r>
      <w:r w:rsidR="009F64AA">
        <w:t>use</w:t>
      </w:r>
      <w:r w:rsidR="0009691E" w:rsidRPr="008A09DD">
        <w:t xml:space="preserve"> </w:t>
      </w:r>
      <w:r w:rsidR="00726AAB">
        <w:t xml:space="preserve">available information indicates that </w:t>
      </w:r>
      <w:r w:rsidR="0009691E" w:rsidRPr="008A09DD">
        <w:t xml:space="preserve">the </w:t>
      </w:r>
      <w:r w:rsidR="0009691E">
        <w:t xml:space="preserve">current and historical </w:t>
      </w:r>
      <w:r w:rsidR="0009691E" w:rsidRPr="008A09DD">
        <w:t>presence of mussels and snails throughout Oregon</w:t>
      </w:r>
      <w:r w:rsidR="00726AAB">
        <w:t xml:space="preserve"> is expansive</w:t>
      </w:r>
      <w:r w:rsidR="0009691E" w:rsidRPr="008A09DD">
        <w:t xml:space="preserve"> (</w:t>
      </w:r>
      <w:r w:rsidR="00936FE7">
        <w:t>s</w:t>
      </w:r>
      <w:r w:rsidR="00936FE7" w:rsidRPr="00F81452">
        <w:t xml:space="preserve">ee </w:t>
      </w:r>
      <w:r w:rsidR="0009691E" w:rsidRPr="00F81452">
        <w:t>Appendix B</w:t>
      </w:r>
      <w:r w:rsidR="0009691E" w:rsidRPr="008A09DD">
        <w:t>)</w:t>
      </w:r>
      <w:r w:rsidR="0009691E">
        <w:t>.</w:t>
      </w:r>
    </w:p>
    <w:p w:rsidR="00936FE7" w:rsidRDefault="00936FE7" w:rsidP="004D65A8"/>
    <w:p w:rsidR="0009691E" w:rsidRDefault="00936FE7" w:rsidP="00F1321D">
      <w:pPr>
        <w:spacing w:after="120" w:line="240" w:lineRule="auto"/>
      </w:pPr>
      <w:r>
        <w:t xml:space="preserve">The proposed rules would </w:t>
      </w:r>
      <w:r w:rsidR="0009691E">
        <w:t xml:space="preserve">also </w:t>
      </w:r>
      <w:r>
        <w:t xml:space="preserve">make </w:t>
      </w:r>
      <w:r w:rsidR="0009691E">
        <w:t>minor water quality standards rule corrections and clarifications</w:t>
      </w:r>
      <w:r>
        <w:t xml:space="preserve"> to</w:t>
      </w:r>
      <w:r w:rsidR="0009691E">
        <w:t xml:space="preserve">: </w:t>
      </w:r>
    </w:p>
    <w:p w:rsidR="00976189" w:rsidRDefault="0009691E" w:rsidP="00976189">
      <w:pPr>
        <w:pStyle w:val="ListParagraph"/>
        <w:numPr>
          <w:ilvl w:val="0"/>
          <w:numId w:val="59"/>
        </w:numPr>
        <w:spacing w:after="120" w:line="240" w:lineRule="auto"/>
        <w:ind w:left="810"/>
        <w:contextualSpacing w:val="0"/>
        <w:rPr>
          <w:rFonts w:eastAsia="Times New Roman"/>
          <w:bCs/>
        </w:rPr>
      </w:pPr>
      <w:r w:rsidRPr="00836F38">
        <w:rPr>
          <w:rFonts w:eastAsia="Times New Roman"/>
        </w:rPr>
        <w:t xml:space="preserve">Correct </w:t>
      </w:r>
      <w:r w:rsidRPr="00836F38">
        <w:t>an error in the basin-specific pH standard for the main stem Snake River</w:t>
      </w:r>
      <w:r w:rsidR="004D65A8">
        <w:t xml:space="preserve">.  </w:t>
      </w:r>
    </w:p>
    <w:p w:rsidR="00ED52FB" w:rsidRDefault="0009691E" w:rsidP="00F1321D">
      <w:pPr>
        <w:pStyle w:val="ListParagraph"/>
        <w:numPr>
          <w:ilvl w:val="0"/>
          <w:numId w:val="44"/>
        </w:numPr>
        <w:spacing w:after="120" w:line="240" w:lineRule="auto"/>
        <w:contextualSpacing w:val="0"/>
        <w:rPr>
          <w:rFonts w:eastAsia="Times New Roman"/>
          <w:bCs/>
        </w:rPr>
      </w:pPr>
      <w:r w:rsidRPr="00836F38">
        <w:t>Add notes indicating EPA disapproval of the narrative natural conditions criterion</w:t>
      </w:r>
      <w:r w:rsidR="00726AAB">
        <w:t xml:space="preserve"> under</w:t>
      </w:r>
      <w:r w:rsidRPr="00836F38">
        <w:t xml:space="preserve"> OAR 340-041-0007(2) and the natural conditions criterion for temperature </w:t>
      </w:r>
      <w:r w:rsidR="00726AAB">
        <w:t xml:space="preserve">under </w:t>
      </w:r>
      <w:r w:rsidRPr="00836F38">
        <w:t>OAR-340-041-0028(8).</w:t>
      </w:r>
    </w:p>
    <w:p w:rsidR="00976189" w:rsidRDefault="0009691E" w:rsidP="00976189">
      <w:pPr>
        <w:pStyle w:val="ListParagraph"/>
        <w:numPr>
          <w:ilvl w:val="0"/>
          <w:numId w:val="59"/>
        </w:numPr>
        <w:ind w:left="810"/>
      </w:pPr>
      <w:r w:rsidRPr="00836F38">
        <w:t>Amend the Umatilla Basin-specific standards and uses to incorporate EPA’s partial disapproval of DEQ’s site-specific criteria and use designations for the West Division Main Canal.</w:t>
      </w:r>
    </w:p>
    <w:p w:rsidR="0009691E" w:rsidRDefault="0009691E" w:rsidP="004D65A8"/>
    <w:p w:rsidR="009833A4" w:rsidRPr="00C333CB" w:rsidRDefault="0009691E" w:rsidP="004D65A8">
      <w:r>
        <w:t xml:space="preserve">See additional information about these corrections in the Public Notice </w:t>
      </w:r>
      <w:r w:rsidRPr="008A09DD">
        <w:t>document</w:t>
      </w:r>
      <w:r>
        <w:t xml:space="preserve"> accompanying this rulemaking</w:t>
      </w:r>
      <w:r w:rsidR="00C2034F">
        <w:t xml:space="preserve">: </w:t>
      </w:r>
      <w:hyperlink r:id="rId14" w:history="1">
        <w:r w:rsidR="00C2034F" w:rsidRPr="00612FC0">
          <w:rPr>
            <w:rStyle w:val="Hyperlink"/>
          </w:rPr>
          <w:t>http://www.oregon.gov/deq/RulesandRegulations/Pages/default.aspx</w:t>
        </w:r>
      </w:hyperlink>
      <w:r w:rsidR="00DC2D85" w:rsidRPr="00DC2D85">
        <w:t xml:space="preserve"> </w:t>
      </w:r>
    </w:p>
    <w:p w:rsidR="00976189" w:rsidRPr="00907D03" w:rsidRDefault="009E4F59" w:rsidP="00976189">
      <w:pPr>
        <w:pStyle w:val="Heading1"/>
        <w:rPr>
          <w:rFonts w:asciiTheme="minorHAnsi" w:hAnsiTheme="minorHAnsi"/>
        </w:rPr>
      </w:pPr>
      <w:bookmarkStart w:id="4" w:name="_Toc395516147"/>
      <w:r w:rsidRPr="00907D03">
        <w:rPr>
          <w:rFonts w:asciiTheme="minorHAnsi" w:hAnsiTheme="minorHAnsi"/>
        </w:rPr>
        <w:t>i</w:t>
      </w:r>
      <w:r w:rsidR="00C2034F" w:rsidRPr="00907D03">
        <w:rPr>
          <w:rFonts w:asciiTheme="minorHAnsi" w:hAnsiTheme="minorHAnsi"/>
        </w:rPr>
        <w:t>i</w:t>
      </w:r>
      <w:r w:rsidRPr="00907D03">
        <w:rPr>
          <w:rFonts w:asciiTheme="minorHAnsi" w:hAnsiTheme="minorHAnsi"/>
        </w:rPr>
        <w:t xml:space="preserve">. </w:t>
      </w:r>
      <w:r w:rsidR="00AB6DAC" w:rsidRPr="00907D03">
        <w:rPr>
          <w:rFonts w:asciiTheme="minorHAnsi" w:hAnsiTheme="minorHAnsi"/>
        </w:rPr>
        <w:t>b</w:t>
      </w:r>
      <w:r w:rsidR="00C108B5" w:rsidRPr="00907D03">
        <w:rPr>
          <w:rFonts w:asciiTheme="minorHAnsi" w:hAnsiTheme="minorHAnsi"/>
        </w:rPr>
        <w:t>ackground</w:t>
      </w:r>
      <w:bookmarkEnd w:id="4"/>
    </w:p>
    <w:p w:rsidR="00C108B5" w:rsidRPr="00907D03" w:rsidRDefault="009E4F59" w:rsidP="004D65A8">
      <w:pPr>
        <w:pStyle w:val="Heading2"/>
        <w:rPr>
          <w:rFonts w:asciiTheme="minorHAnsi" w:hAnsiTheme="minorHAnsi"/>
        </w:rPr>
      </w:pPr>
      <w:bookmarkStart w:id="5" w:name="_Toc395516148"/>
      <w:r w:rsidRPr="00907D03">
        <w:rPr>
          <w:rFonts w:asciiTheme="minorHAnsi" w:hAnsiTheme="minorHAnsi"/>
        </w:rPr>
        <w:t>I</w:t>
      </w:r>
      <w:r w:rsidR="00C2034F" w:rsidRPr="00907D03">
        <w:rPr>
          <w:rFonts w:asciiTheme="minorHAnsi" w:hAnsiTheme="minorHAnsi"/>
        </w:rPr>
        <w:t>I</w:t>
      </w:r>
      <w:r w:rsidRPr="00907D03">
        <w:rPr>
          <w:rFonts w:asciiTheme="minorHAnsi" w:hAnsiTheme="minorHAnsi"/>
        </w:rPr>
        <w:t xml:space="preserve">.A. </w:t>
      </w:r>
      <w:r w:rsidR="00C108B5" w:rsidRPr="00907D03">
        <w:rPr>
          <w:rFonts w:asciiTheme="minorHAnsi" w:hAnsiTheme="minorHAnsi"/>
        </w:rPr>
        <w:t>N</w:t>
      </w:r>
      <w:r w:rsidR="001A2C8D" w:rsidRPr="00907D03">
        <w:rPr>
          <w:rFonts w:asciiTheme="minorHAnsi" w:hAnsiTheme="minorHAnsi"/>
        </w:rPr>
        <w:t xml:space="preserve">ational </w:t>
      </w:r>
      <w:r w:rsidR="00C108B5" w:rsidRPr="00907D03">
        <w:rPr>
          <w:rFonts w:asciiTheme="minorHAnsi" w:hAnsiTheme="minorHAnsi"/>
        </w:rPr>
        <w:t>M</w:t>
      </w:r>
      <w:r w:rsidR="001A2C8D" w:rsidRPr="00907D03">
        <w:rPr>
          <w:rFonts w:asciiTheme="minorHAnsi" w:hAnsiTheme="minorHAnsi"/>
        </w:rPr>
        <w:t xml:space="preserve">arine </w:t>
      </w:r>
      <w:r w:rsidR="00C108B5" w:rsidRPr="00907D03">
        <w:rPr>
          <w:rFonts w:asciiTheme="minorHAnsi" w:hAnsiTheme="minorHAnsi"/>
        </w:rPr>
        <w:t>F</w:t>
      </w:r>
      <w:r w:rsidR="001A2C8D" w:rsidRPr="00907D03">
        <w:rPr>
          <w:rFonts w:asciiTheme="minorHAnsi" w:hAnsiTheme="minorHAnsi"/>
        </w:rPr>
        <w:t xml:space="preserve">isheries </w:t>
      </w:r>
      <w:r w:rsidR="00C108B5" w:rsidRPr="00907D03">
        <w:rPr>
          <w:rFonts w:asciiTheme="minorHAnsi" w:hAnsiTheme="minorHAnsi"/>
        </w:rPr>
        <w:t>S</w:t>
      </w:r>
      <w:r w:rsidR="001A2C8D" w:rsidRPr="00907D03">
        <w:rPr>
          <w:rFonts w:asciiTheme="minorHAnsi" w:hAnsiTheme="minorHAnsi"/>
        </w:rPr>
        <w:t>ervice</w:t>
      </w:r>
      <w:r w:rsidR="00C108B5" w:rsidRPr="00907D03">
        <w:rPr>
          <w:rFonts w:asciiTheme="minorHAnsi" w:hAnsiTheme="minorHAnsi"/>
        </w:rPr>
        <w:t xml:space="preserve"> Jeopardy Decision</w:t>
      </w:r>
      <w:bookmarkEnd w:id="5"/>
    </w:p>
    <w:p w:rsidR="00ED52FB" w:rsidRDefault="00647B1E" w:rsidP="00BE13D8">
      <w:pPr>
        <w:autoSpaceDE w:val="0"/>
        <w:autoSpaceDN w:val="0"/>
        <w:adjustRightInd w:val="0"/>
        <w:rPr>
          <w:rFonts w:cstheme="minorHAnsi"/>
        </w:rPr>
      </w:pPr>
      <w:r>
        <w:t>When</w:t>
      </w:r>
      <w:r w:rsidR="00F45AFD" w:rsidRPr="00F45AFD">
        <w:t xml:space="preserve"> </w:t>
      </w:r>
      <w:r w:rsidR="000C602A">
        <w:t xml:space="preserve">the </w:t>
      </w:r>
      <w:r w:rsidR="00D27E3F" w:rsidRPr="00F45AFD">
        <w:t>EQC</w:t>
      </w:r>
      <w:r w:rsidR="00D27E3F">
        <w:t xml:space="preserve"> adopts w</w:t>
      </w:r>
      <w:r w:rsidR="00F45AFD" w:rsidRPr="00F45AFD">
        <w:t xml:space="preserve">ater quality standards, </w:t>
      </w:r>
      <w:r w:rsidR="00BE13D8">
        <w:t xml:space="preserve">DEQ must submit </w:t>
      </w:r>
      <w:r w:rsidR="00F45AFD" w:rsidRPr="00F45AFD">
        <w:t>the criteria</w:t>
      </w:r>
      <w:r w:rsidR="00F45AFD">
        <w:t xml:space="preserve"> to </w:t>
      </w:r>
      <w:r w:rsidR="00F45AFD" w:rsidRPr="00F45AFD">
        <w:t>EPA for approval.</w:t>
      </w:r>
      <w:r w:rsidR="00F45AFD">
        <w:t xml:space="preserve"> </w:t>
      </w:r>
      <w:r w:rsidR="00F45AFD" w:rsidRPr="00F45AFD">
        <w:t xml:space="preserve">Section 7(a)(2) of the Endangered Species Act </w:t>
      </w:r>
      <w:r w:rsidR="00F45AFD">
        <w:t xml:space="preserve"> requires federal agencies, including EPA</w:t>
      </w:r>
      <w:r w:rsidR="00F45AFD" w:rsidRPr="00F45AFD">
        <w:t xml:space="preserve">, </w:t>
      </w:r>
      <w:r w:rsidR="00BE13D8">
        <w:t>to</w:t>
      </w:r>
      <w:r w:rsidR="00BE13D8" w:rsidRPr="00F45AFD">
        <w:t xml:space="preserve"> </w:t>
      </w:r>
      <w:r w:rsidR="00F45AFD" w:rsidRPr="00F45AFD">
        <w:t xml:space="preserve">consult with the </w:t>
      </w:r>
      <w:r w:rsidR="00C2456A">
        <w:t xml:space="preserve">U.S. Fish and Wildlife Service </w:t>
      </w:r>
      <w:r w:rsidR="00F45AFD" w:rsidRPr="00F45AFD">
        <w:t>and National Marine Fisheries Service</w:t>
      </w:r>
      <w:r w:rsidR="00F45AFD">
        <w:t xml:space="preserve">, as appropriate, </w:t>
      </w:r>
      <w:r w:rsidR="00BE13D8">
        <w:t xml:space="preserve">to </w:t>
      </w:r>
      <w:r w:rsidR="00BE13D8">
        <w:lastRenderedPageBreak/>
        <w:t xml:space="preserve">ensure </w:t>
      </w:r>
      <w:r w:rsidR="00F45AFD">
        <w:t>that its</w:t>
      </w:r>
      <w:r w:rsidR="00D27E3F">
        <w:t xml:space="preserve"> actions</w:t>
      </w:r>
      <w:r w:rsidR="007B1054">
        <w:t>,</w:t>
      </w:r>
      <w:r w:rsidR="00D27E3F">
        <w:t xml:space="preserve"> such as</w:t>
      </w:r>
      <w:r w:rsidR="00F45AFD" w:rsidRPr="00F45AFD">
        <w:t xml:space="preserve"> approval of DEQ water quality standards</w:t>
      </w:r>
      <w:r w:rsidR="007B1054">
        <w:t>,</w:t>
      </w:r>
      <w:r w:rsidR="00F45AFD" w:rsidRPr="00F45AFD">
        <w:t xml:space="preserve"> are not likely to jeopardize the continued existence of endangered or threatened species or adversely modify or destroy their designated critical habitats.</w:t>
      </w:r>
      <w:r w:rsidR="00F45AFD">
        <w:rPr>
          <w:rFonts w:cstheme="minorHAnsi"/>
        </w:rPr>
        <w:t xml:space="preserve"> </w:t>
      </w:r>
    </w:p>
    <w:p w:rsidR="00976189" w:rsidRDefault="00976189" w:rsidP="00976189"/>
    <w:p w:rsidR="00ED52FB" w:rsidRDefault="003D597F" w:rsidP="0080229B">
      <w:pPr>
        <w:tabs>
          <w:tab w:val="left" w:pos="900"/>
        </w:tabs>
      </w:pPr>
      <w:r w:rsidRPr="001A2C8D">
        <w:t>NMFS jurisdiction includes protect</w:t>
      </w:r>
      <w:r w:rsidR="00BE13D8">
        <w:t>ing</w:t>
      </w:r>
      <w:r w:rsidRPr="001A2C8D">
        <w:t xml:space="preserve"> ocean species such as salmon and steelhead and mammals, such</w:t>
      </w:r>
      <w:r>
        <w:t xml:space="preserve"> as killer whales</w:t>
      </w:r>
      <w:r w:rsidR="00BE13D8">
        <w:t xml:space="preserve"> and </w:t>
      </w:r>
      <w:r>
        <w:t xml:space="preserve">seals. </w:t>
      </w:r>
      <w:r w:rsidR="0080229B">
        <w:t>ESA a</w:t>
      </w:r>
      <w:r w:rsidRPr="001A2C8D">
        <w:t>ction area</w:t>
      </w:r>
      <w:r w:rsidR="0080229B">
        <w:t>s</w:t>
      </w:r>
      <w:r w:rsidR="00E16E77">
        <w:t xml:space="preserve"> for NMFS’s</w:t>
      </w:r>
      <w:r w:rsidRPr="001A2C8D">
        <w:t xml:space="preserve"> consultation included the freshwater, estuarine and ocean areas </w:t>
      </w:r>
      <w:r w:rsidR="0080229B">
        <w:t xml:space="preserve">under </w:t>
      </w:r>
      <w:r w:rsidRPr="001A2C8D">
        <w:t>the State of Oregon</w:t>
      </w:r>
      <w:r w:rsidR="0080229B">
        <w:t>’s jurisdiction</w:t>
      </w:r>
      <w:r w:rsidRPr="001A2C8D">
        <w:t xml:space="preserve"> where the criteria apply </w:t>
      </w:r>
      <w:r w:rsidR="0080229B">
        <w:t>and</w:t>
      </w:r>
      <w:r w:rsidRPr="001A2C8D">
        <w:t xml:space="preserve"> areas beyond the state’s jurisdiction where the regulated pollutants </w:t>
      </w:r>
      <w:r w:rsidR="00647582">
        <w:t>could</w:t>
      </w:r>
      <w:r>
        <w:t xml:space="preserve"> be transported.</w:t>
      </w:r>
    </w:p>
    <w:p w:rsidR="00976189" w:rsidRDefault="00976189" w:rsidP="00976189"/>
    <w:p w:rsidR="00ED52FB" w:rsidRDefault="00CB6670" w:rsidP="00C5440F">
      <w:pPr>
        <w:autoSpaceDE w:val="0"/>
        <w:autoSpaceDN w:val="0"/>
        <w:adjustRightInd w:val="0"/>
      </w:pPr>
      <w:r w:rsidRPr="001A2C8D">
        <w:t xml:space="preserve">The </w:t>
      </w:r>
      <w:r w:rsidR="00F45AFD">
        <w:t>NMFS</w:t>
      </w:r>
      <w:r w:rsidR="00577431">
        <w:t xml:space="preserve"> Biological O</w:t>
      </w:r>
      <w:r w:rsidRPr="001A2C8D">
        <w:t>pinion</w:t>
      </w:r>
      <w:r w:rsidRPr="001A2C8D">
        <w:rPr>
          <w:rStyle w:val="FootnoteReference"/>
          <w:rFonts w:asciiTheme="majorHAnsi" w:hAnsiTheme="majorHAnsi"/>
        </w:rPr>
        <w:footnoteReference w:id="1"/>
      </w:r>
      <w:r w:rsidRPr="001A2C8D">
        <w:t xml:space="preserve"> </w:t>
      </w:r>
      <w:r w:rsidR="002421C2">
        <w:t>dated</w:t>
      </w:r>
      <w:r w:rsidRPr="001A2C8D">
        <w:t xml:space="preserve"> </w:t>
      </w:r>
      <w:r w:rsidR="002421C2">
        <w:t>Aug.</w:t>
      </w:r>
      <w:r w:rsidRPr="001A2C8D">
        <w:t xml:space="preserve"> 14, 2012</w:t>
      </w:r>
      <w:r w:rsidR="002421C2">
        <w:t xml:space="preserve"> </w:t>
      </w:r>
      <w:r w:rsidR="00FE70A8">
        <w:t xml:space="preserve">contained an analysis of criteria that Oregon adopted in 2004 </w:t>
      </w:r>
      <w:r w:rsidR="00647B1E">
        <w:t xml:space="preserve">for </w:t>
      </w:r>
      <w:r w:rsidRPr="001A2C8D">
        <w:t>20 toxic pollutants</w:t>
      </w:r>
      <w:r w:rsidRPr="001A2C8D">
        <w:rPr>
          <w:rStyle w:val="FootnoteReference"/>
          <w:rFonts w:asciiTheme="majorHAnsi" w:hAnsiTheme="majorHAnsi"/>
        </w:rPr>
        <w:footnoteReference w:id="2"/>
      </w:r>
      <w:r w:rsidRPr="001A2C8D">
        <w:t xml:space="preserve"> </w:t>
      </w:r>
      <w:r w:rsidR="00E16E77">
        <w:t xml:space="preserve">associated with </w:t>
      </w:r>
      <w:r w:rsidRPr="001A2C8D">
        <w:t>39 freshwater criteria and 26 saltwater criteria</w:t>
      </w:r>
      <w:r w:rsidR="00FE70A8">
        <w:t>, including ammonia criteria</w:t>
      </w:r>
      <w:r w:rsidR="00652A81">
        <w:t xml:space="preserve">. </w:t>
      </w:r>
      <w:r w:rsidR="00FE70A8">
        <w:t xml:space="preserve">The ammonia criteria that DEQ adopted in 2004 </w:t>
      </w:r>
      <w:r w:rsidR="00352AC6">
        <w:t>were based on the latest EPA recommendations from 1999.</w:t>
      </w:r>
      <w:r w:rsidR="00DF24A9">
        <w:t xml:space="preserve"> </w:t>
      </w:r>
    </w:p>
    <w:p w:rsidR="00352AC6" w:rsidRDefault="00352AC6" w:rsidP="004D65A8"/>
    <w:p w:rsidR="009B6F62" w:rsidRDefault="00CB6670" w:rsidP="004D65A8">
      <w:r w:rsidRPr="001A2C8D">
        <w:t>NMFS conclud</w:t>
      </w:r>
      <w:r w:rsidR="001A2C8D">
        <w:t>ed</w:t>
      </w:r>
      <w:r w:rsidR="00647B1E">
        <w:t xml:space="preserve"> that the following Oregon criteria would cause</w:t>
      </w:r>
      <w:r w:rsidR="001A2C8D">
        <w:t xml:space="preserve"> </w:t>
      </w:r>
      <w:r w:rsidR="009B6F62">
        <w:t>“</w:t>
      </w:r>
      <w:r w:rsidR="001A2C8D">
        <w:t>jeopardy</w:t>
      </w:r>
      <w:r w:rsidR="009B6F62">
        <w:t>”</w:t>
      </w:r>
      <w:r w:rsidR="001A2C8D">
        <w:t xml:space="preserve"> to </w:t>
      </w:r>
      <w:r w:rsidR="00E27B0D">
        <w:t>many</w:t>
      </w:r>
      <w:r w:rsidR="001A2C8D">
        <w:t xml:space="preserve"> Oregon</w:t>
      </w:r>
      <w:r w:rsidRPr="001A2C8D">
        <w:t xml:space="preserve"> anadromous salmon and trout species</w:t>
      </w:r>
      <w:r w:rsidR="001A2C8D">
        <w:rPr>
          <w:rStyle w:val="FootnoteReference"/>
          <w:rFonts w:asciiTheme="majorHAnsi" w:hAnsiTheme="majorHAnsi"/>
        </w:rPr>
        <w:footnoteReference w:id="3"/>
      </w:r>
      <w:r w:rsidRPr="001A2C8D">
        <w:t>, in addition to Southern Resident killer whales</w:t>
      </w:r>
      <w:r w:rsidR="00652A81">
        <w:t xml:space="preserve"> (b</w:t>
      </w:r>
      <w:r w:rsidR="00652A81" w:rsidRPr="001A2C8D">
        <w:t>ased on a long-term, permanent reduction in primary prey—Chinook salmon</w:t>
      </w:r>
      <w:r w:rsidR="00652A81">
        <w:t>)</w:t>
      </w:r>
      <w:r w:rsidRPr="001A2C8D">
        <w:t xml:space="preserve">:  (1) </w:t>
      </w:r>
      <w:r w:rsidR="00652A81" w:rsidRPr="00577431">
        <w:t>ammonia:</w:t>
      </w:r>
      <w:r w:rsidR="00652A81" w:rsidRPr="001A2C8D">
        <w:t xml:space="preserve">  acute and chronic</w:t>
      </w:r>
      <w:r w:rsidR="00394D31">
        <w:t>;</w:t>
      </w:r>
      <w:r w:rsidR="00652A81" w:rsidRPr="001A2C8D">
        <w:rPr>
          <w:b/>
        </w:rPr>
        <w:t xml:space="preserve"> </w:t>
      </w:r>
      <w:r w:rsidR="00652A81" w:rsidRPr="00652A81">
        <w:t>(2)</w:t>
      </w:r>
      <w:r w:rsidR="00652A81">
        <w:rPr>
          <w:b/>
        </w:rPr>
        <w:t xml:space="preserve"> </w:t>
      </w:r>
      <w:r w:rsidRPr="00030DBF">
        <w:t>copper</w:t>
      </w:r>
      <w:r w:rsidRPr="001A2C8D">
        <w:t>:  acute and chronic; (3</w:t>
      </w:r>
      <w:r w:rsidRPr="00030DBF">
        <w:t>) cadmium</w:t>
      </w:r>
      <w:r w:rsidRPr="001A2C8D">
        <w:t xml:space="preserve">:  acute; and (4) </w:t>
      </w:r>
      <w:r w:rsidRPr="00030DBF">
        <w:t>aluminum</w:t>
      </w:r>
      <w:r w:rsidR="00FB7B16">
        <w:rPr>
          <w:rStyle w:val="FootnoteReference"/>
          <w:rFonts w:asciiTheme="majorHAnsi" w:hAnsiTheme="majorHAnsi"/>
        </w:rPr>
        <w:footnoteReference w:id="4"/>
      </w:r>
      <w:r w:rsidRPr="001A2C8D">
        <w:t>:  acute and chronic</w:t>
      </w:r>
      <w:r w:rsidR="00652A81">
        <w:t>.</w:t>
      </w:r>
      <w:r w:rsidR="00652A81" w:rsidRPr="001A2C8D">
        <w:t xml:space="preserve"> </w:t>
      </w:r>
      <w:r w:rsidR="009B6F62" w:rsidRPr="009B6F62">
        <w:t xml:space="preserve">“Jeopardy” means that NMFS found that </w:t>
      </w:r>
      <w:r w:rsidR="007A1590">
        <w:t xml:space="preserve">Oregon’s </w:t>
      </w:r>
      <w:r w:rsidR="003D597F">
        <w:t xml:space="preserve">aquatic </w:t>
      </w:r>
      <w:r w:rsidR="00E56396">
        <w:t xml:space="preserve">life </w:t>
      </w:r>
      <w:r w:rsidR="003D597F">
        <w:t>toxics criteria</w:t>
      </w:r>
      <w:r w:rsidR="000F7459">
        <w:t xml:space="preserve"> </w:t>
      </w:r>
      <w:r w:rsidR="007A1590">
        <w:t xml:space="preserve">would </w:t>
      </w:r>
      <w:r w:rsidR="009B6F62" w:rsidRPr="009B6F62">
        <w:t>likely jeopardize th</w:t>
      </w:r>
      <w:r w:rsidR="00394D31">
        <w:t xml:space="preserve">e continued existence of </w:t>
      </w:r>
      <w:r w:rsidR="00030DBF">
        <w:t xml:space="preserve">threatened </w:t>
      </w:r>
      <w:r w:rsidR="00394D31">
        <w:t xml:space="preserve">and endangered </w:t>
      </w:r>
      <w:r w:rsidR="00030DBF">
        <w:t>species in Oregon</w:t>
      </w:r>
      <w:r w:rsidR="009B6F62" w:rsidRPr="009B6F62">
        <w:t xml:space="preserve"> or likely to destroy or adversely modify designated critical habitat.</w:t>
      </w:r>
      <w:r w:rsidR="00577431">
        <w:t xml:space="preserve"> </w:t>
      </w:r>
      <w:r w:rsidR="007A1590">
        <w:t xml:space="preserve">DEQ will </w:t>
      </w:r>
      <w:r w:rsidR="00577431">
        <w:t>address NMFS’s jeopardy decision</w:t>
      </w:r>
      <w:r w:rsidR="003D597F">
        <w:t>s</w:t>
      </w:r>
      <w:r w:rsidR="00577431">
        <w:t xml:space="preserve"> </w:t>
      </w:r>
      <w:r w:rsidR="00E56396">
        <w:t xml:space="preserve">associated with </w:t>
      </w:r>
      <w:r w:rsidR="00577431">
        <w:t xml:space="preserve">EPA disapproval for copper, cadmium and aluminum in </w:t>
      </w:r>
      <w:r w:rsidR="007A1590">
        <w:t xml:space="preserve">future </w:t>
      </w:r>
      <w:r w:rsidR="00577431">
        <w:t xml:space="preserve">rulemakings. </w:t>
      </w:r>
    </w:p>
    <w:p w:rsidR="007F5AC6" w:rsidRPr="001A2C8D" w:rsidRDefault="007F5AC6" w:rsidP="004D65A8"/>
    <w:p w:rsidR="00E53F9C" w:rsidRDefault="009B6F62" w:rsidP="004D65A8">
      <w:r w:rsidRPr="009B6F62">
        <w:t>NMF</w:t>
      </w:r>
      <w:r w:rsidR="006D7F25">
        <w:t xml:space="preserve">S recommended that EPA </w:t>
      </w:r>
      <w:r w:rsidR="00577431">
        <w:t>disapprove Oregon</w:t>
      </w:r>
      <w:r w:rsidRPr="009B6F62">
        <w:t xml:space="preserve">’s acute and chronic </w:t>
      </w:r>
      <w:r w:rsidR="003F3E5D">
        <w:t xml:space="preserve">ammonia </w:t>
      </w:r>
      <w:r w:rsidRPr="009B6F62">
        <w:t>criteria</w:t>
      </w:r>
      <w:r w:rsidR="003F3E5D">
        <w:t xml:space="preserve"> that Oregon submitted for approval</w:t>
      </w:r>
      <w:r w:rsidR="00030DBF">
        <w:t xml:space="preserve"> </w:t>
      </w:r>
      <w:r w:rsidR="007A1590">
        <w:t xml:space="preserve">based on the 1999 </w:t>
      </w:r>
      <w:r w:rsidR="00030DBF">
        <w:t>EPA recommendations</w:t>
      </w:r>
      <w:r w:rsidR="00950ECA">
        <w:t xml:space="preserve">. NMFS’s Reasonable and Prudent Alternatives in its Biological Opinion indicated that EPA should </w:t>
      </w:r>
      <w:r w:rsidRPr="009B6F62">
        <w:t xml:space="preserve">retain </w:t>
      </w:r>
      <w:r w:rsidR="00B25D59">
        <w:t>Oregon’s</w:t>
      </w:r>
      <w:r w:rsidR="003F3E5D">
        <w:t xml:space="preserve"> currently effective</w:t>
      </w:r>
      <w:r w:rsidR="00950ECA">
        <w:t xml:space="preserve"> </w:t>
      </w:r>
      <w:r w:rsidR="00950ECA">
        <w:lastRenderedPageBreak/>
        <w:t>chronic criteria</w:t>
      </w:r>
      <w:r w:rsidR="00352AC6">
        <w:t xml:space="preserve"> based on </w:t>
      </w:r>
      <w:r w:rsidR="00B25D59">
        <w:t xml:space="preserve">1985 </w:t>
      </w:r>
      <w:r w:rsidR="00950ECA">
        <w:t xml:space="preserve">EPA recommendations and </w:t>
      </w:r>
      <w:r w:rsidRPr="009B6F62">
        <w:t xml:space="preserve">to use </w:t>
      </w:r>
      <w:r w:rsidR="00B25D59">
        <w:t xml:space="preserve">the </w:t>
      </w:r>
      <w:r w:rsidR="004F7E79">
        <w:t>“</w:t>
      </w:r>
      <w:r w:rsidR="00030DBF">
        <w:t>specific process</w:t>
      </w:r>
      <w:r w:rsidR="004F7E79">
        <w:t>”</w:t>
      </w:r>
      <w:r w:rsidR="00E53F9C">
        <w:rPr>
          <w:rStyle w:val="FootnoteReference"/>
        </w:rPr>
        <w:footnoteReference w:id="5"/>
      </w:r>
      <w:r w:rsidR="00030DBF">
        <w:t xml:space="preserve"> </w:t>
      </w:r>
      <w:r w:rsidR="00950ECA">
        <w:t xml:space="preserve">described </w:t>
      </w:r>
      <w:r w:rsidR="00B25D59">
        <w:t>below</w:t>
      </w:r>
      <w:r w:rsidR="00950ECA">
        <w:t>, along with other considerations,</w:t>
      </w:r>
      <w:r w:rsidR="00B25D59">
        <w:t xml:space="preserve"> </w:t>
      </w:r>
      <w:r w:rsidR="009B754E">
        <w:t xml:space="preserve">to </w:t>
      </w:r>
      <w:r w:rsidR="00531987">
        <w:t xml:space="preserve">derive </w:t>
      </w:r>
      <w:r w:rsidR="00030DBF">
        <w:t>acute criteria for ammonia.</w:t>
      </w:r>
      <w:r w:rsidR="00E53F9C">
        <w:t xml:space="preserve"> </w:t>
      </w:r>
    </w:p>
    <w:p w:rsidR="00E53F9C" w:rsidRDefault="00E53F9C" w:rsidP="004D65A8"/>
    <w:p w:rsidR="00030DBF" w:rsidRPr="00E53F9C" w:rsidRDefault="00E53F9C" w:rsidP="004D65A8">
      <w:pPr>
        <w:rPr>
          <w:b/>
        </w:rPr>
      </w:pPr>
      <w:r w:rsidRPr="00E53F9C">
        <w:rPr>
          <w:b/>
        </w:rPr>
        <w:t>Process for Deriving Criteria</w:t>
      </w:r>
      <w:r w:rsidR="00030DBF" w:rsidRPr="00E53F9C">
        <w:rPr>
          <w:b/>
        </w:rPr>
        <w:t xml:space="preserve"> </w:t>
      </w:r>
    </w:p>
    <w:p w:rsidR="00976189" w:rsidRDefault="00030DBF" w:rsidP="00976189">
      <w:pPr>
        <w:pStyle w:val="Default"/>
        <w:spacing w:after="120"/>
        <w:rPr>
          <w:rFonts w:asciiTheme="majorHAnsi" w:hAnsiTheme="majorHAnsi" w:cstheme="majorHAnsi"/>
          <w:color w:val="auto"/>
          <w:sz w:val="22"/>
          <w:szCs w:val="22"/>
        </w:rPr>
      </w:pPr>
      <w:r w:rsidRPr="001A2C8D">
        <w:rPr>
          <w:rFonts w:asciiTheme="majorHAnsi" w:hAnsiTheme="majorHAnsi" w:cstheme="majorHAnsi"/>
          <w:color w:val="auto"/>
          <w:sz w:val="22"/>
          <w:szCs w:val="22"/>
        </w:rPr>
        <w:t xml:space="preserve"> </w:t>
      </w:r>
    </w:p>
    <w:p w:rsidR="00976189" w:rsidRPr="006D7F25" w:rsidRDefault="00E53F9C" w:rsidP="00E53F9C">
      <w:pPr>
        <w:pStyle w:val="Default"/>
        <w:numPr>
          <w:ilvl w:val="0"/>
          <w:numId w:val="33"/>
        </w:numPr>
        <w:spacing w:after="120" w:line="276" w:lineRule="auto"/>
        <w:ind w:right="1800"/>
        <w:rPr>
          <w:rFonts w:asciiTheme="minorHAnsi" w:hAnsiTheme="minorHAnsi" w:cstheme="majorHAnsi"/>
          <w:color w:val="auto"/>
          <w:sz w:val="22"/>
          <w:szCs w:val="22"/>
        </w:rPr>
      </w:pPr>
      <w:r>
        <w:rPr>
          <w:rFonts w:asciiTheme="minorHAnsi" w:hAnsiTheme="minorHAnsi"/>
          <w:sz w:val="22"/>
          <w:szCs w:val="22"/>
        </w:rPr>
        <w:t>“</w:t>
      </w:r>
      <w:r w:rsidR="00976189" w:rsidRPr="006D7F25">
        <w:rPr>
          <w:rFonts w:asciiTheme="minorHAnsi" w:hAnsiTheme="minorHAnsi"/>
          <w:sz w:val="22"/>
          <w:szCs w:val="22"/>
        </w:rPr>
        <w:t>Only use toxicity data for ammonia</w:t>
      </w:r>
      <w:r>
        <w:rPr>
          <w:rFonts w:asciiTheme="minorHAnsi" w:hAnsiTheme="minorHAnsi"/>
          <w:sz w:val="22"/>
          <w:szCs w:val="22"/>
        </w:rPr>
        <w:t>, cadmium, and aluminum</w:t>
      </w:r>
      <w:r w:rsidR="00976189" w:rsidRPr="006D7F25">
        <w:rPr>
          <w:rFonts w:asciiTheme="minorHAnsi" w:hAnsiTheme="minorHAnsi"/>
          <w:sz w:val="22"/>
          <w:szCs w:val="22"/>
        </w:rPr>
        <w:t xml:space="preserve"> that is specific to salmonid fishes (if new information becomes available for these compounds for green sturgeon and eulachon, then EPA shall include this data in its analysis);</w:t>
      </w:r>
    </w:p>
    <w:p w:rsidR="00976189" w:rsidRPr="006D7F25" w:rsidRDefault="00976189" w:rsidP="006D7F25">
      <w:pPr>
        <w:pStyle w:val="Default"/>
        <w:spacing w:line="276" w:lineRule="auto"/>
        <w:ind w:left="1080" w:right="1800"/>
        <w:rPr>
          <w:rFonts w:asciiTheme="minorHAnsi" w:hAnsiTheme="minorHAnsi" w:cstheme="majorHAnsi"/>
          <w:color w:val="auto"/>
          <w:sz w:val="22"/>
          <w:szCs w:val="22"/>
        </w:rPr>
      </w:pPr>
      <w:r w:rsidRPr="006D7F25">
        <w:rPr>
          <w:rFonts w:asciiTheme="minorHAnsi" w:hAnsiTheme="minorHAnsi" w:cstheme="majorHAnsi"/>
          <w:color w:val="auto"/>
          <w:sz w:val="22"/>
          <w:szCs w:val="22"/>
        </w:rPr>
        <w:t xml:space="preserve"> </w:t>
      </w:r>
    </w:p>
    <w:p w:rsidR="00976189" w:rsidRPr="006D7F25" w:rsidRDefault="00976189" w:rsidP="006D7F25">
      <w:pPr>
        <w:pStyle w:val="Default"/>
        <w:numPr>
          <w:ilvl w:val="0"/>
          <w:numId w:val="33"/>
        </w:numPr>
        <w:spacing w:line="276" w:lineRule="auto"/>
        <w:ind w:right="1800"/>
        <w:rPr>
          <w:rFonts w:asciiTheme="minorHAnsi" w:hAnsiTheme="minorHAnsi" w:cstheme="majorHAnsi"/>
          <w:color w:val="auto"/>
          <w:sz w:val="22"/>
          <w:szCs w:val="22"/>
        </w:rPr>
      </w:pPr>
      <w:r w:rsidRPr="006D7F25">
        <w:rPr>
          <w:rFonts w:asciiTheme="minorHAnsi" w:hAnsiTheme="minorHAnsi"/>
          <w:sz w:val="22"/>
          <w:szCs w:val="22"/>
        </w:rPr>
        <w:t>All toxicity data used to derive the</w:t>
      </w:r>
      <w:r w:rsidR="00030DBF" w:rsidRPr="006D7F25">
        <w:rPr>
          <w:rFonts w:asciiTheme="minorHAnsi" w:hAnsiTheme="minorHAnsi" w:cstheme="majorHAnsi"/>
          <w:color w:val="auto"/>
          <w:sz w:val="22"/>
          <w:szCs w:val="22"/>
        </w:rPr>
        <w:t xml:space="preserve"> </w:t>
      </w:r>
      <w:r w:rsidRPr="006D7F25">
        <w:rPr>
          <w:rFonts w:asciiTheme="minorHAnsi" w:hAnsiTheme="minorHAnsi"/>
          <w:sz w:val="22"/>
          <w:szCs w:val="22"/>
        </w:rPr>
        <w:t xml:space="preserve">numeric criteria must be curve-fitted, where the literature provides the necessary data to perform this step; </w:t>
      </w:r>
    </w:p>
    <w:p w:rsidR="00976189" w:rsidRPr="006D7F25" w:rsidRDefault="00976189" w:rsidP="006D7F25">
      <w:pPr>
        <w:pStyle w:val="Default"/>
        <w:spacing w:line="276" w:lineRule="auto"/>
        <w:ind w:right="1800"/>
        <w:rPr>
          <w:rFonts w:asciiTheme="minorHAnsi" w:hAnsiTheme="minorHAnsi" w:cstheme="majorHAnsi"/>
          <w:color w:val="auto"/>
          <w:sz w:val="22"/>
          <w:szCs w:val="22"/>
        </w:rPr>
      </w:pPr>
    </w:p>
    <w:p w:rsidR="00976189" w:rsidRPr="006D7F25" w:rsidRDefault="00976189" w:rsidP="006D7F25">
      <w:pPr>
        <w:pStyle w:val="Default"/>
        <w:numPr>
          <w:ilvl w:val="0"/>
          <w:numId w:val="33"/>
        </w:numPr>
        <w:spacing w:line="276" w:lineRule="auto"/>
        <w:ind w:right="1800"/>
        <w:rPr>
          <w:rFonts w:asciiTheme="minorHAnsi" w:hAnsiTheme="minorHAnsi" w:cstheme="majorHAnsi"/>
          <w:color w:val="auto"/>
          <w:sz w:val="22"/>
          <w:szCs w:val="22"/>
        </w:rPr>
      </w:pPr>
      <w:r w:rsidRPr="006D7F25">
        <w:rPr>
          <w:rFonts w:asciiTheme="minorHAnsi" w:hAnsiTheme="minorHAnsi"/>
          <w:sz w:val="22"/>
          <w:szCs w:val="22"/>
        </w:rPr>
        <w:t>When available, the cu</w:t>
      </w:r>
      <w:r w:rsidR="001D095A" w:rsidRPr="006D7F25">
        <w:rPr>
          <w:rFonts w:asciiTheme="minorHAnsi" w:hAnsiTheme="minorHAnsi" w:cstheme="majorHAnsi"/>
          <w:color w:val="auto"/>
          <w:sz w:val="22"/>
          <w:szCs w:val="22"/>
        </w:rPr>
        <w:t>r</w:t>
      </w:r>
      <w:r w:rsidRPr="006D7F25">
        <w:rPr>
          <w:rFonts w:asciiTheme="minorHAnsi" w:hAnsiTheme="minorHAnsi"/>
          <w:sz w:val="22"/>
          <w:szCs w:val="22"/>
        </w:rPr>
        <w:t xml:space="preserve">ve-fitted toxicity data must be used to extrapolate threshold acute and chronic toxic effect concentrations; </w:t>
      </w:r>
    </w:p>
    <w:p w:rsidR="00976189" w:rsidRPr="006D7F25" w:rsidRDefault="00976189" w:rsidP="006D7F25">
      <w:pPr>
        <w:pStyle w:val="Default"/>
        <w:spacing w:line="276" w:lineRule="auto"/>
        <w:ind w:right="1800"/>
        <w:rPr>
          <w:rFonts w:asciiTheme="minorHAnsi" w:hAnsiTheme="minorHAnsi" w:cstheme="majorHAnsi"/>
          <w:color w:val="auto"/>
          <w:sz w:val="22"/>
          <w:szCs w:val="22"/>
        </w:rPr>
      </w:pPr>
    </w:p>
    <w:p w:rsidR="00976189" w:rsidRPr="006D7F25" w:rsidRDefault="00976189" w:rsidP="006D7F25">
      <w:pPr>
        <w:pStyle w:val="Default"/>
        <w:numPr>
          <w:ilvl w:val="0"/>
          <w:numId w:val="33"/>
        </w:numPr>
        <w:spacing w:line="276" w:lineRule="auto"/>
        <w:ind w:right="1800"/>
        <w:rPr>
          <w:rFonts w:asciiTheme="minorHAnsi" w:hAnsiTheme="minorHAnsi" w:cstheme="majorHAnsi"/>
          <w:color w:val="auto"/>
          <w:sz w:val="22"/>
          <w:szCs w:val="22"/>
        </w:rPr>
      </w:pPr>
      <w:r w:rsidRPr="006D7F25">
        <w:rPr>
          <w:rFonts w:asciiTheme="minorHAnsi" w:hAnsiTheme="minorHAnsi"/>
          <w:sz w:val="22"/>
          <w:szCs w:val="22"/>
        </w:rPr>
        <w:t xml:space="preserve">Derived criteria must be </w:t>
      </w:r>
      <w:r w:rsidR="001D095A" w:rsidRPr="006D7F25">
        <w:rPr>
          <w:rFonts w:asciiTheme="minorHAnsi" w:hAnsiTheme="minorHAnsi" w:cstheme="majorHAnsi"/>
          <w:color w:val="auto"/>
          <w:sz w:val="22"/>
          <w:szCs w:val="22"/>
        </w:rPr>
        <w:t>m</w:t>
      </w:r>
      <w:r w:rsidRPr="006D7F25">
        <w:rPr>
          <w:rFonts w:asciiTheme="minorHAnsi" w:hAnsiTheme="minorHAnsi"/>
          <w:sz w:val="22"/>
          <w:szCs w:val="22"/>
        </w:rPr>
        <w:t>odel-adjusted to account for chemical mixtures; and,</w:t>
      </w:r>
    </w:p>
    <w:p w:rsidR="00976189" w:rsidRPr="006D7F25" w:rsidRDefault="00976189" w:rsidP="006D7F25">
      <w:pPr>
        <w:pStyle w:val="ListParagraph"/>
        <w:ind w:right="1800"/>
      </w:pPr>
    </w:p>
    <w:p w:rsidR="00976189" w:rsidRPr="006D7F25" w:rsidRDefault="00976189" w:rsidP="006D7F25">
      <w:pPr>
        <w:pStyle w:val="Default"/>
        <w:numPr>
          <w:ilvl w:val="0"/>
          <w:numId w:val="33"/>
        </w:numPr>
        <w:spacing w:line="276" w:lineRule="auto"/>
        <w:ind w:right="1800"/>
        <w:rPr>
          <w:rFonts w:asciiTheme="minorHAnsi" w:hAnsiTheme="minorHAnsi" w:cstheme="majorHAnsi"/>
          <w:color w:val="auto"/>
          <w:sz w:val="22"/>
          <w:szCs w:val="22"/>
        </w:rPr>
      </w:pPr>
      <w:r w:rsidRPr="006D7F25">
        <w:rPr>
          <w:rFonts w:asciiTheme="minorHAnsi" w:hAnsiTheme="minorHAnsi"/>
          <w:sz w:val="22"/>
          <w:szCs w:val="22"/>
        </w:rPr>
        <w:t xml:space="preserve">An appropriate </w:t>
      </w:r>
      <w:r w:rsidR="006E1E97" w:rsidRPr="006D7F25">
        <w:rPr>
          <w:rFonts w:asciiTheme="minorHAnsi" w:hAnsiTheme="minorHAnsi"/>
          <w:sz w:val="22"/>
          <w:szCs w:val="22"/>
        </w:rPr>
        <w:t>p</w:t>
      </w:r>
      <w:r w:rsidRPr="006D7F25">
        <w:rPr>
          <w:rFonts w:asciiTheme="minorHAnsi" w:hAnsiTheme="minorHAnsi"/>
          <w:sz w:val="22"/>
          <w:szCs w:val="22"/>
        </w:rPr>
        <w:t>opulation model must be applied to the derived criteria, and must predict no negative change in the intrinsic population growth rate (</w:t>
      </w:r>
      <w:r w:rsidRPr="006D7F25">
        <w:rPr>
          <w:rFonts w:asciiTheme="minorHAnsi" w:hAnsiTheme="minorHAnsi"/>
          <w:i/>
          <w:iCs/>
          <w:sz w:val="22"/>
          <w:szCs w:val="22"/>
        </w:rPr>
        <w:t>e.g.</w:t>
      </w:r>
      <w:r w:rsidRPr="006D7F25">
        <w:rPr>
          <w:rFonts w:asciiTheme="minorHAnsi" w:hAnsiTheme="minorHAnsi"/>
          <w:sz w:val="22"/>
          <w:szCs w:val="22"/>
        </w:rPr>
        <w:t>, lambda, λ).</w:t>
      </w:r>
      <w:r w:rsidR="00E53F9C">
        <w:rPr>
          <w:rFonts w:asciiTheme="minorHAnsi" w:hAnsiTheme="minorHAnsi"/>
          <w:sz w:val="22"/>
          <w:szCs w:val="22"/>
        </w:rPr>
        <w:t>”</w:t>
      </w:r>
    </w:p>
    <w:p w:rsidR="00976189" w:rsidRDefault="00976189" w:rsidP="006D7F25"/>
    <w:p w:rsidR="000F7459" w:rsidRDefault="000F7459" w:rsidP="004D65A8">
      <w:pPr>
        <w:rPr>
          <w:rFonts w:ascii="Times New Roman" w:hAnsi="Times New Roman" w:cs="Times New Roman"/>
          <w:sz w:val="24"/>
          <w:szCs w:val="24"/>
        </w:rPr>
      </w:pPr>
    </w:p>
    <w:p w:rsidR="00736AB4" w:rsidRPr="001A2C8D" w:rsidRDefault="00976189" w:rsidP="004D65A8">
      <w:r w:rsidRPr="00E53F9C">
        <w:t xml:space="preserve">The NMFS opinion further states </w:t>
      </w:r>
      <w:r w:rsidRPr="00B94DBE">
        <w:rPr>
          <w:rFonts w:cs="Times New Roman"/>
        </w:rPr>
        <w:t>t</w:t>
      </w:r>
      <w:r w:rsidRPr="00B94DBE">
        <w:t>hat EPA will ensure the new revised criteria will be effective within 24 months after EPA’s final action to approve or disapprove Oregon’s propo</w:t>
      </w:r>
      <w:r w:rsidR="00736AB4" w:rsidRPr="001A2C8D">
        <w:t>s</w:t>
      </w:r>
      <w:r w:rsidRPr="00B94DBE">
        <w:t xml:space="preserve">ed </w:t>
      </w:r>
      <w:r w:rsidR="00736AB4" w:rsidRPr="001A2C8D">
        <w:t>water quality criteria under the C</w:t>
      </w:r>
      <w:r w:rsidR="00A6610A">
        <w:t xml:space="preserve">lean </w:t>
      </w:r>
      <w:r w:rsidR="00736AB4" w:rsidRPr="001A2C8D">
        <w:t>W</w:t>
      </w:r>
      <w:r w:rsidR="00A6610A">
        <w:t xml:space="preserve">ater </w:t>
      </w:r>
      <w:r w:rsidR="00736AB4" w:rsidRPr="001A2C8D">
        <w:t>A</w:t>
      </w:r>
      <w:r w:rsidR="00A6610A">
        <w:t>ct</w:t>
      </w:r>
      <w:r w:rsidR="00736AB4" w:rsidRPr="001A2C8D">
        <w:t>.</w:t>
      </w:r>
    </w:p>
    <w:p w:rsidR="00736AB4" w:rsidRDefault="00736AB4" w:rsidP="004D65A8"/>
    <w:p w:rsidR="00736AB4" w:rsidRDefault="0080176C" w:rsidP="004D65A8">
      <w:r>
        <w:t xml:space="preserve">EPA and NMFS are </w:t>
      </w:r>
      <w:r w:rsidR="00394D31">
        <w:t xml:space="preserve">currently </w:t>
      </w:r>
      <w:r>
        <w:t>discussin</w:t>
      </w:r>
      <w:r w:rsidR="00A6610A">
        <w:t>g</w:t>
      </w:r>
      <w:r>
        <w:t xml:space="preserve"> how </w:t>
      </w:r>
      <w:r w:rsidR="009B754E">
        <w:t xml:space="preserve">the </w:t>
      </w:r>
      <w:r>
        <w:t>EPA latest August 201</w:t>
      </w:r>
      <w:r w:rsidR="00C2456A">
        <w:t xml:space="preserve">3 ammonia recommendations </w:t>
      </w:r>
      <w:r w:rsidR="00A6610A">
        <w:t xml:space="preserve">follow </w:t>
      </w:r>
      <w:r>
        <w:t>the specific process above.</w:t>
      </w:r>
    </w:p>
    <w:p w:rsidR="009B754E" w:rsidRDefault="009B754E" w:rsidP="004D65A8"/>
    <w:p w:rsidR="00B94DBE" w:rsidRDefault="00AC24EE" w:rsidP="00B94DBE">
      <w:r>
        <w:t>T</w:t>
      </w:r>
      <w:r w:rsidR="0080176C">
        <w:t xml:space="preserve">he </w:t>
      </w:r>
      <w:r w:rsidR="0080176C" w:rsidRPr="0080176C">
        <w:t>U</w:t>
      </w:r>
      <w:r w:rsidR="0080176C">
        <w:t>.</w:t>
      </w:r>
      <w:r w:rsidR="0080176C" w:rsidRPr="0080176C">
        <w:t>S</w:t>
      </w:r>
      <w:r w:rsidR="0080176C">
        <w:t xml:space="preserve">. </w:t>
      </w:r>
      <w:r w:rsidR="0080176C" w:rsidRPr="0080176C">
        <w:t>F</w:t>
      </w:r>
      <w:r w:rsidR="0080176C">
        <w:t xml:space="preserve">ish and </w:t>
      </w:r>
      <w:r w:rsidR="0080176C" w:rsidRPr="0080176C">
        <w:t>W</w:t>
      </w:r>
      <w:r w:rsidR="0080176C">
        <w:t xml:space="preserve">ildlife </w:t>
      </w:r>
      <w:r w:rsidR="0080176C" w:rsidRPr="0080176C">
        <w:t>S</w:t>
      </w:r>
      <w:r w:rsidR="0080176C">
        <w:t>ervice</w:t>
      </w:r>
      <w:r w:rsidR="00394D31">
        <w:t>, in their July 30, 2012 Biological Opinion</w:t>
      </w:r>
      <w:r w:rsidR="0080176C" w:rsidRPr="0080176C">
        <w:t>, did</w:t>
      </w:r>
      <w:r w:rsidR="0080176C">
        <w:t xml:space="preserve"> not find jeopardy with </w:t>
      </w:r>
      <w:r>
        <w:t>Oregon’s</w:t>
      </w:r>
      <w:r w:rsidR="0080176C">
        <w:t xml:space="preserve"> toxics</w:t>
      </w:r>
      <w:r w:rsidR="0080176C" w:rsidRPr="0080176C">
        <w:t xml:space="preserve"> criteria</w:t>
      </w:r>
      <w:r w:rsidR="0080176C">
        <w:t xml:space="preserve">, including ammonia. The </w:t>
      </w:r>
      <w:r w:rsidR="00B94DBE">
        <w:t xml:space="preserve">USFWS’s </w:t>
      </w:r>
      <w:r w:rsidR="0080176C" w:rsidRPr="0080176C">
        <w:t>jurisdiction includes protectin</w:t>
      </w:r>
      <w:r w:rsidR="00A6610A">
        <w:t>g</w:t>
      </w:r>
      <w:r w:rsidR="00B94DBE">
        <w:t xml:space="preserve"> </w:t>
      </w:r>
      <w:r w:rsidR="0080176C" w:rsidRPr="0080176C">
        <w:t xml:space="preserve">threatened and endangered </w:t>
      </w:r>
      <w:r w:rsidR="00C2456A">
        <w:t xml:space="preserve">freshwater </w:t>
      </w:r>
      <w:r w:rsidR="00E81B51">
        <w:t xml:space="preserve">aquatic </w:t>
      </w:r>
      <w:r w:rsidR="0080176C" w:rsidRPr="0080176C">
        <w:t xml:space="preserve">species such as </w:t>
      </w:r>
      <w:r w:rsidR="00C2456A">
        <w:t xml:space="preserve">mollusks, </w:t>
      </w:r>
      <w:r w:rsidR="0080176C" w:rsidRPr="0080176C">
        <w:t>Bull Trout, Oregon Chub, Lost River and Shortnose Suckers.</w:t>
      </w:r>
    </w:p>
    <w:p w:rsidR="00B468E1" w:rsidRPr="00907D03" w:rsidRDefault="009E4F59" w:rsidP="00B94DBE">
      <w:pPr>
        <w:pStyle w:val="Heading2"/>
        <w:rPr>
          <w:rFonts w:asciiTheme="minorHAnsi" w:hAnsiTheme="minorHAnsi"/>
        </w:rPr>
      </w:pPr>
      <w:bookmarkStart w:id="6" w:name="_Toc395516149"/>
      <w:r w:rsidRPr="00907D03">
        <w:rPr>
          <w:rFonts w:asciiTheme="minorHAnsi" w:hAnsiTheme="minorHAnsi"/>
        </w:rPr>
        <w:lastRenderedPageBreak/>
        <w:t>I</w:t>
      </w:r>
      <w:r w:rsidR="00C2034F" w:rsidRPr="00907D03">
        <w:rPr>
          <w:rFonts w:asciiTheme="minorHAnsi" w:hAnsiTheme="minorHAnsi"/>
        </w:rPr>
        <w:t>I</w:t>
      </w:r>
      <w:r w:rsidRPr="00907D03">
        <w:rPr>
          <w:rFonts w:asciiTheme="minorHAnsi" w:hAnsiTheme="minorHAnsi"/>
        </w:rPr>
        <w:t xml:space="preserve">.B. </w:t>
      </w:r>
      <w:r w:rsidR="00C108B5" w:rsidRPr="00907D03">
        <w:rPr>
          <w:rFonts w:asciiTheme="minorHAnsi" w:hAnsiTheme="minorHAnsi"/>
        </w:rPr>
        <w:t>EPA Disapproval Action</w:t>
      </w:r>
      <w:bookmarkEnd w:id="6"/>
    </w:p>
    <w:p w:rsidR="00394D31" w:rsidRPr="00F569E0" w:rsidRDefault="00B65506" w:rsidP="004D65A8">
      <w:r w:rsidRPr="00F569E0">
        <w:t>On Ja</w:t>
      </w:r>
      <w:r w:rsidR="00C80C05" w:rsidRPr="00F569E0">
        <w:t>n</w:t>
      </w:r>
      <w:r w:rsidR="00A6610A">
        <w:t>.</w:t>
      </w:r>
      <w:r w:rsidR="00C80C05" w:rsidRPr="00F569E0">
        <w:t xml:space="preserve"> 31,</w:t>
      </w:r>
      <w:r w:rsidR="00577431">
        <w:t xml:space="preserve"> 2013, following NMFS’s</w:t>
      </w:r>
      <w:r w:rsidR="00C80C05" w:rsidRPr="00F569E0">
        <w:t xml:space="preserve"> Biological Opinion, </w:t>
      </w:r>
      <w:hyperlink r:id="rId15" w:history="1">
        <w:r w:rsidR="00976189" w:rsidRPr="00B94DBE">
          <w:rPr>
            <w:rStyle w:val="Hyperlink"/>
          </w:rPr>
          <w:t>EPA took action</w:t>
        </w:r>
      </w:hyperlink>
      <w:r w:rsidR="00976189" w:rsidRPr="00976189">
        <w:rPr>
          <w:rStyle w:val="FootnoteReference"/>
          <w:rFonts w:ascii="Times New Roman" w:hAnsi="Times New Roman" w:cs="Times New Roman"/>
          <w:color w:val="000000"/>
          <w:sz w:val="24"/>
          <w:szCs w:val="24"/>
        </w:rPr>
        <w:footnoteReference w:id="6"/>
      </w:r>
      <w:r w:rsidR="00976189" w:rsidRPr="00976189">
        <w:rPr>
          <w:rFonts w:ascii="Times New Roman" w:hAnsi="Times New Roman" w:cs="Times New Roman"/>
          <w:sz w:val="24"/>
          <w:szCs w:val="24"/>
        </w:rPr>
        <w:t xml:space="preserve"> </w:t>
      </w:r>
      <w:r w:rsidR="00AB050E" w:rsidRPr="00F569E0">
        <w:t>on Oregon’s new or</w:t>
      </w:r>
      <w:r w:rsidRPr="00F569E0">
        <w:t xml:space="preserve"> revised aquatic life toxics criteria submitted in 200</w:t>
      </w:r>
      <w:r w:rsidR="00C80C05" w:rsidRPr="00F569E0">
        <w:t>4. Among other disapprovals for aquatic life criteria, EPA disapproved the acute and chronic freshwater criteria</w:t>
      </w:r>
      <w:r w:rsidR="00394D31" w:rsidRPr="00F569E0">
        <w:t xml:space="preserve"> for ammonia</w:t>
      </w:r>
      <w:r w:rsidR="00C80C05" w:rsidRPr="00F569E0">
        <w:t xml:space="preserve"> because new toxicity data showed that the criteria were not protective of mollusks.</w:t>
      </w:r>
    </w:p>
    <w:p w:rsidR="00394D31" w:rsidRPr="000F7459" w:rsidRDefault="00394D31" w:rsidP="004D65A8">
      <w:pPr>
        <w:rPr>
          <w:i/>
        </w:rPr>
      </w:pPr>
    </w:p>
    <w:p w:rsidR="004109D2" w:rsidRDefault="00976189" w:rsidP="004D65A8">
      <w:r w:rsidRPr="00B94DBE">
        <w:t>Or</w:t>
      </w:r>
      <w:r w:rsidR="00AB050E" w:rsidRPr="00F569E0">
        <w:t xml:space="preserve">egon adopted EPA’s 1999 national </w:t>
      </w:r>
      <w:r w:rsidR="00AC24EE">
        <w:t xml:space="preserve">criteria </w:t>
      </w:r>
      <w:r w:rsidR="00AB050E" w:rsidRPr="00F569E0">
        <w:t>recommendations for ammonia in 2004. At that time, the 1999 recommendations were based on the latest science—toxicity to salmonids and bluegill sunfish. Howev</w:t>
      </w:r>
      <w:r w:rsidR="00A76A7A">
        <w:t xml:space="preserve">er, new toxicity data based on </w:t>
      </w:r>
      <w:r w:rsidR="00AB050E" w:rsidRPr="00F569E0">
        <w:t>mollusks became available and formed the basis of EPA’s 2009 proposed national recommendations.</w:t>
      </w:r>
      <w:r w:rsidR="00E3160E">
        <w:t xml:space="preserve"> </w:t>
      </w:r>
      <w:r w:rsidR="004109D2">
        <w:t xml:space="preserve">EPA based the </w:t>
      </w:r>
      <w:r w:rsidR="00F569E0" w:rsidRPr="00F569E0">
        <w:t xml:space="preserve">proposed criteria on the </w:t>
      </w:r>
      <w:r w:rsidR="00E3160E">
        <w:t>presence or absence of mollusks</w:t>
      </w:r>
      <w:r w:rsidR="004109D2">
        <w:t>.</w:t>
      </w:r>
      <w:r w:rsidR="00676BC3">
        <w:rPr>
          <w:rStyle w:val="FootnoteReference"/>
          <w:rFonts w:asciiTheme="majorHAnsi" w:hAnsiTheme="majorHAnsi"/>
          <w:color w:val="000000"/>
        </w:rPr>
        <w:footnoteReference w:id="7"/>
      </w:r>
      <w:r w:rsidR="004109D2">
        <w:t xml:space="preserve"> These criteria </w:t>
      </w:r>
      <w:r w:rsidR="00AB050E" w:rsidRPr="00F569E0">
        <w:t>were more stringent than the 1999 recommendations.</w:t>
      </w:r>
      <w:r w:rsidR="00E3160E">
        <w:t xml:space="preserve"> </w:t>
      </w:r>
      <w:r w:rsidR="00E3160E" w:rsidRPr="00F569E0">
        <w:t xml:space="preserve">Since the publication of the 2009 draft criteria, additional toxicity data on the effect of ammonia to gill-bearing </w:t>
      </w:r>
      <w:r w:rsidR="004109D2" w:rsidRPr="00F569E0">
        <w:t xml:space="preserve">(non-pulmonate) </w:t>
      </w:r>
      <w:r w:rsidR="00E3160E" w:rsidRPr="00F569E0">
        <w:t>snails further validated toxicity to sensitive snails and</w:t>
      </w:r>
      <w:r w:rsidR="00577431">
        <w:t xml:space="preserve"> mussels in the Unionidae family</w:t>
      </w:r>
      <w:r w:rsidR="00E3160E" w:rsidRPr="00F569E0">
        <w:t>.</w:t>
      </w:r>
      <w:r w:rsidR="00E3160E">
        <w:t xml:space="preserve"> In August 2013</w:t>
      </w:r>
      <w:r w:rsidR="00E3160E">
        <w:rPr>
          <w:rStyle w:val="FootnoteReference"/>
          <w:rFonts w:asciiTheme="majorHAnsi" w:hAnsiTheme="majorHAnsi"/>
          <w:color w:val="000000"/>
        </w:rPr>
        <w:footnoteReference w:id="8"/>
      </w:r>
      <w:r w:rsidR="00E3160E">
        <w:t xml:space="preserve">, EPA finalized its freshwater ammonia recommendations based on </w:t>
      </w:r>
      <w:r w:rsidR="009F0C85">
        <w:t>gill-bearing</w:t>
      </w:r>
      <w:r w:rsidR="00E3160E">
        <w:t xml:space="preserve"> snails and unionid mussel se</w:t>
      </w:r>
      <w:r w:rsidR="00E60FE4">
        <w:t xml:space="preserve">nsitivity. </w:t>
      </w:r>
      <w:r w:rsidR="00B410DD">
        <w:t>These criteria supers</w:t>
      </w:r>
      <w:r w:rsidR="00E3160E">
        <w:t>ede EPA’s 1999</w:t>
      </w:r>
      <w:r w:rsidR="004F7E79">
        <w:t xml:space="preserve"> and 2009</w:t>
      </w:r>
      <w:r w:rsidR="00E3160E">
        <w:t xml:space="preserve"> recommendations</w:t>
      </w:r>
      <w:r w:rsidR="009F0C85">
        <w:t xml:space="preserve">. </w:t>
      </w:r>
    </w:p>
    <w:p w:rsidR="004109D2" w:rsidRDefault="004109D2" w:rsidP="004D65A8"/>
    <w:p w:rsidR="00976189" w:rsidRDefault="00E3160E" w:rsidP="00976189">
      <w:pPr>
        <w:spacing w:after="120" w:line="240" w:lineRule="auto"/>
      </w:pPr>
      <w:r>
        <w:t xml:space="preserve">EPA </w:t>
      </w:r>
      <w:r w:rsidR="009F0C85">
        <w:t>acted on Oregon’s ammonia criteria prior to publishing the new</w:t>
      </w:r>
      <w:r w:rsidR="00467053">
        <w:t xml:space="preserve"> 2013 recommendations</w:t>
      </w:r>
      <w:r w:rsidR="004109D2">
        <w:t>; therefore</w:t>
      </w:r>
      <w:r w:rsidR="009F0C85">
        <w:t>, EPA</w:t>
      </w:r>
      <w:r w:rsidR="00936FE7">
        <w:t xml:space="preserve"> </w:t>
      </w:r>
      <w:r w:rsidR="009F0C85">
        <w:t>specified the following</w:t>
      </w:r>
      <w:r w:rsidR="008A77B9">
        <w:t xml:space="preserve"> remedies </w:t>
      </w:r>
      <w:r w:rsidR="00E56396">
        <w:t xml:space="preserve">as options </w:t>
      </w:r>
      <w:r w:rsidR="008A77B9">
        <w:t>to address its disapproval</w:t>
      </w:r>
      <w:r>
        <w:t xml:space="preserve"> of Oregon’s ammonia criteria</w:t>
      </w:r>
      <w:r w:rsidR="00467053">
        <w:t xml:space="preserve"> in its determination</w:t>
      </w:r>
      <w:r w:rsidR="004109D2">
        <w:t xml:space="preserve"> to DEQ</w:t>
      </w:r>
      <w:r w:rsidR="008A77B9">
        <w:t>:</w:t>
      </w:r>
    </w:p>
    <w:p w:rsidR="00976189" w:rsidRDefault="00467053" w:rsidP="00976189">
      <w:pPr>
        <w:spacing w:after="120" w:line="240" w:lineRule="auto"/>
        <w:ind w:left="720"/>
      </w:pPr>
      <w:r>
        <w:t>“</w:t>
      </w:r>
      <w:r w:rsidR="008A77B9">
        <w:t xml:space="preserve">1. </w:t>
      </w:r>
      <w:r w:rsidR="00F569E0" w:rsidRPr="00F569E0">
        <w:t xml:space="preserve">Revise the adopted ammonia criteria to be consistent with the 2009 draft revised national recommendations for ammonia criteria. </w:t>
      </w:r>
    </w:p>
    <w:p w:rsidR="00976189" w:rsidRDefault="008A77B9" w:rsidP="00645856">
      <w:pPr>
        <w:autoSpaceDE w:val="0"/>
        <w:autoSpaceDN w:val="0"/>
        <w:adjustRightInd w:val="0"/>
        <w:ind w:left="720" w:right="720"/>
      </w:pPr>
      <w:r>
        <w:t xml:space="preserve">2. </w:t>
      </w:r>
      <w:r w:rsidR="00F569E0" w:rsidRPr="00F569E0">
        <w:t>Revise the ammonia criteria to ensure protection of Oregon’s designated aquatic life uses. Also supply a sound scientific rationale to explain why the alternative ammonia criteria are protective of Oregon’s designated aquatic life uses, taking into account any data on freshwater mussels and snails. Finally, to the extent that the adopted chronic aquatic life criterion for ammonia is less stringent than that specified by the National Marine Fisheries Services (“NMFS”) to avoid jeopardy to listed species (i.e., less stringent than the value specified as a “Reasonable and Prudent Alternative”</w:t>
      </w:r>
      <w:r w:rsidR="00467053">
        <w:t xml:space="preserve"> </w:t>
      </w:r>
      <w:r w:rsidR="00F569E0" w:rsidRPr="00F569E0">
        <w:t>in the NMFS’s August 14, 2012 biological opinion), provide additional sound scientific rationale to establish that the alternative chronic aquatic life criterion for ammonia is protective of Oregon’s designated aquatic life uses, given NMFS’s opinion of the effect of ammo</w:t>
      </w:r>
      <w:r w:rsidR="00467053">
        <w:t>nia on Oregon’s listed species.”</w:t>
      </w:r>
    </w:p>
    <w:p w:rsidR="00C108B5" w:rsidRDefault="00C108B5" w:rsidP="004D65A8"/>
    <w:p w:rsidR="00C108B5" w:rsidRPr="00D14952" w:rsidRDefault="005D2CF3" w:rsidP="004D65A8">
      <w:r>
        <w:t>DEQ proposes rules to revise criteria that most closely align with remedy 2 above</w:t>
      </w:r>
      <w:r w:rsidR="00E10C15">
        <w:t xml:space="preserve"> and</w:t>
      </w:r>
      <w:r>
        <w:t xml:space="preserve"> </w:t>
      </w:r>
      <w:r w:rsidR="00E81B51">
        <w:t xml:space="preserve">to </w:t>
      </w:r>
      <w:r>
        <w:t>base</w:t>
      </w:r>
      <w:r w:rsidR="00E10C15">
        <w:t xml:space="preserve"> the criteria </w:t>
      </w:r>
      <w:r>
        <w:t xml:space="preserve">on the </w:t>
      </w:r>
      <w:r w:rsidR="00E10C15">
        <w:t>most recent scientific information</w:t>
      </w:r>
      <w:r w:rsidR="00E81B51">
        <w:t xml:space="preserve"> on ammonia toxicity</w:t>
      </w:r>
      <w:r w:rsidR="00E10C15">
        <w:t xml:space="preserve"> in the </w:t>
      </w:r>
      <w:r>
        <w:t>2013 EPA</w:t>
      </w:r>
      <w:r w:rsidR="00E10C15">
        <w:t xml:space="preserve"> recommendations.</w:t>
      </w:r>
      <w:r>
        <w:t xml:space="preserve"> </w:t>
      </w:r>
      <w:r w:rsidR="005153F8">
        <w:t xml:space="preserve">Although states have the discretion </w:t>
      </w:r>
      <w:r w:rsidR="00E10C15">
        <w:t xml:space="preserve">to </w:t>
      </w:r>
      <w:r w:rsidR="005153F8">
        <w:t xml:space="preserve">adopt criteria different from EPA’s national recommendations, </w:t>
      </w:r>
      <w:r w:rsidR="004B5911">
        <w:t>DEQ does not believe there is a</w:t>
      </w:r>
      <w:r w:rsidR="00E10C15">
        <w:t xml:space="preserve"> </w:t>
      </w:r>
      <w:r w:rsidR="005153F8">
        <w:t xml:space="preserve">benefit </w:t>
      </w:r>
      <w:r w:rsidR="004B5911">
        <w:t>in</w:t>
      </w:r>
      <w:r w:rsidR="00E10C15">
        <w:t xml:space="preserve"> </w:t>
      </w:r>
      <w:r w:rsidR="005153F8">
        <w:t xml:space="preserve">conducting additional toxicity studies or re-evaluating the toxicity studies supporting the updated </w:t>
      </w:r>
      <w:r w:rsidR="00E81B51">
        <w:t xml:space="preserve">EPA </w:t>
      </w:r>
      <w:r w:rsidR="005153F8">
        <w:t xml:space="preserve">criteria to derive alternate criteria. </w:t>
      </w:r>
      <w:r w:rsidR="00D14952">
        <w:t>As stated earlier, EP</w:t>
      </w:r>
      <w:r w:rsidR="005153F8">
        <w:t>A and NMFS are evaluating</w:t>
      </w:r>
      <w:r w:rsidR="00D14952">
        <w:t xml:space="preserve"> how EPA’s latest </w:t>
      </w:r>
      <w:r w:rsidR="004F7E79">
        <w:t xml:space="preserve">2013 </w:t>
      </w:r>
      <w:r w:rsidR="00D14952">
        <w:t xml:space="preserve">recommendations </w:t>
      </w:r>
      <w:r w:rsidR="00950ECA">
        <w:t xml:space="preserve">are consistent with </w:t>
      </w:r>
      <w:r w:rsidR="005153F8">
        <w:t xml:space="preserve">the </w:t>
      </w:r>
      <w:r w:rsidR="004F7E79">
        <w:t>“</w:t>
      </w:r>
      <w:r w:rsidR="005153F8">
        <w:t>specific process</w:t>
      </w:r>
      <w:r w:rsidR="004F7E79">
        <w:t>”</w:t>
      </w:r>
      <w:r w:rsidR="00950ECA">
        <w:t xml:space="preserve"> </w:t>
      </w:r>
      <w:r w:rsidR="00667028">
        <w:t xml:space="preserve">(see section II.A) described </w:t>
      </w:r>
      <w:r w:rsidR="00950ECA">
        <w:t xml:space="preserve">in the Reasonable and Prudent Alternatives </w:t>
      </w:r>
      <w:r w:rsidR="005153F8">
        <w:t>in</w:t>
      </w:r>
      <w:r w:rsidR="00D14952">
        <w:t xml:space="preserve"> NMFS’s jeopardy </w:t>
      </w:r>
      <w:r w:rsidR="009F0C85">
        <w:t>opinion</w:t>
      </w:r>
      <w:r w:rsidR="00D14952">
        <w:t>.</w:t>
      </w:r>
      <w:r w:rsidR="005D19CB">
        <w:t xml:space="preserve"> </w:t>
      </w:r>
      <w:r w:rsidR="003A420F">
        <w:t>If NMFS determines</w:t>
      </w:r>
      <w:r w:rsidR="00D47EF2">
        <w:t xml:space="preserve"> that EPA</w:t>
      </w:r>
      <w:r w:rsidR="00834881">
        <w:t>’s criteria derivation method</w:t>
      </w:r>
      <w:r w:rsidR="00D47EF2">
        <w:t xml:space="preserve"> generally</w:t>
      </w:r>
      <w:r w:rsidR="00667028">
        <w:t xml:space="preserve"> followed </w:t>
      </w:r>
      <w:r w:rsidR="004B5911">
        <w:t xml:space="preserve">the </w:t>
      </w:r>
      <w:r w:rsidR="00667028">
        <w:t>Reasonable and Prudent Alternatives</w:t>
      </w:r>
      <w:r w:rsidR="00D47EF2">
        <w:t xml:space="preserve">, then NMFS can conclude that EPA’s 2013 ammonia criteria protect threatened and endangered species in Oregon, thus satisfying ESA consultation requirements. </w:t>
      </w:r>
      <w:r w:rsidR="003A420F">
        <w:t xml:space="preserve">A </w:t>
      </w:r>
      <w:r w:rsidR="00D47EF2">
        <w:t>“no jeopardy” decision</w:t>
      </w:r>
      <w:r w:rsidR="003A420F">
        <w:t xml:space="preserve"> from NMFS</w:t>
      </w:r>
      <w:r w:rsidR="00D47EF2">
        <w:t xml:space="preserve"> would likely lead to EPA approval of Oregon’s proposed ammonia criteria.</w:t>
      </w:r>
    </w:p>
    <w:p w:rsidR="002039E2" w:rsidRPr="00907D03" w:rsidRDefault="009E4F59" w:rsidP="004D65A8">
      <w:pPr>
        <w:pStyle w:val="Heading2"/>
        <w:rPr>
          <w:rFonts w:asciiTheme="minorHAnsi" w:hAnsiTheme="minorHAnsi" w:cstheme="majorHAnsi"/>
          <w:b/>
          <w:color w:val="auto"/>
          <w:sz w:val="22"/>
          <w:szCs w:val="22"/>
        </w:rPr>
      </w:pPr>
      <w:bookmarkStart w:id="7" w:name="_Toc395516150"/>
      <w:r w:rsidRPr="00907D03">
        <w:rPr>
          <w:rFonts w:asciiTheme="minorHAnsi" w:hAnsiTheme="minorHAnsi"/>
        </w:rPr>
        <w:t>I</w:t>
      </w:r>
      <w:r w:rsidR="00C2034F" w:rsidRPr="00907D03">
        <w:rPr>
          <w:rFonts w:asciiTheme="minorHAnsi" w:hAnsiTheme="minorHAnsi"/>
        </w:rPr>
        <w:t>I</w:t>
      </w:r>
      <w:r w:rsidRPr="00907D03">
        <w:rPr>
          <w:rFonts w:asciiTheme="minorHAnsi" w:hAnsiTheme="minorHAnsi"/>
        </w:rPr>
        <w:t>.C</w:t>
      </w:r>
      <w:r w:rsidR="006A2A5F" w:rsidRPr="00907D03">
        <w:rPr>
          <w:rFonts w:asciiTheme="minorHAnsi" w:hAnsiTheme="minorHAnsi"/>
        </w:rPr>
        <w:t>.</w:t>
      </w:r>
      <w:r w:rsidRPr="00907D03">
        <w:rPr>
          <w:rFonts w:asciiTheme="minorHAnsi" w:hAnsiTheme="minorHAnsi"/>
        </w:rPr>
        <w:t xml:space="preserve"> </w:t>
      </w:r>
      <w:r w:rsidR="00C108B5" w:rsidRPr="00907D03">
        <w:rPr>
          <w:rFonts w:asciiTheme="minorHAnsi" w:hAnsiTheme="minorHAnsi"/>
        </w:rPr>
        <w:t>Stakeholder Discussions</w:t>
      </w:r>
      <w:bookmarkEnd w:id="7"/>
    </w:p>
    <w:p w:rsidR="00685A21" w:rsidRDefault="004B5911" w:rsidP="00203F0E">
      <w:r>
        <w:rPr>
          <w:rFonts w:cstheme="minorHAnsi"/>
          <w:iCs/>
          <w:color w:val="000000" w:themeColor="text1"/>
        </w:rPr>
        <w:t xml:space="preserve">Prior to initiating rulemaking, DEQ sent an invitation to Oregon tribes and to a wide range of stakeholders to discuss and </w:t>
      </w:r>
      <w:r w:rsidRPr="00B0501B">
        <w:rPr>
          <w:rFonts w:cstheme="minorHAnsi"/>
        </w:rPr>
        <w:t xml:space="preserve">provide input to DEQ on rulemaking priorities to address EPA disapproved criteria for aluminum, ammonia, cadmium (acute) and copper. </w:t>
      </w:r>
      <w:r w:rsidR="00203F0E">
        <w:rPr>
          <w:rFonts w:cstheme="minorHAnsi"/>
        </w:rPr>
        <w:t>DEQ staff and stakeholders (Table 1) met in</w:t>
      </w:r>
      <w:r w:rsidR="00203F0E" w:rsidRPr="00203F0E">
        <w:t xml:space="preserve"> </w:t>
      </w:r>
      <w:r w:rsidR="00203F0E" w:rsidRPr="002039E2">
        <w:t>January and February of 2014</w:t>
      </w:r>
      <w:r w:rsidR="00203F0E">
        <w:t>.</w:t>
      </w:r>
      <w:r w:rsidR="00203F0E">
        <w:rPr>
          <w:rFonts w:cstheme="minorHAnsi"/>
        </w:rPr>
        <w:t xml:space="preserve"> </w:t>
      </w:r>
      <w:r w:rsidRPr="00B0501B">
        <w:rPr>
          <w:rFonts w:cstheme="minorHAnsi"/>
        </w:rPr>
        <w:t xml:space="preserve">During these meetings, DEQ </w:t>
      </w:r>
      <w:r>
        <w:rPr>
          <w:rFonts w:cstheme="minorHAnsi"/>
        </w:rPr>
        <w:t xml:space="preserve">also </w:t>
      </w:r>
      <w:r w:rsidRPr="00B0501B">
        <w:rPr>
          <w:rFonts w:cstheme="minorHAnsi"/>
        </w:rPr>
        <w:t>shared information about EPA’s updated criteria for freshwater copper and ammonia.</w:t>
      </w:r>
    </w:p>
    <w:p w:rsidR="00203F0E" w:rsidRPr="00203F0E" w:rsidRDefault="00203F0E" w:rsidP="00203F0E"/>
    <w:p w:rsidR="00ED52FB" w:rsidRPr="00291257" w:rsidRDefault="00C11796">
      <w:pPr>
        <w:pStyle w:val="Caption"/>
        <w:rPr>
          <w:rFonts w:asciiTheme="minorHAnsi" w:hAnsiTheme="minorHAnsi" w:cs="Arial"/>
          <w:noProof/>
        </w:rPr>
      </w:pPr>
      <w:r w:rsidRPr="00291257">
        <w:rPr>
          <w:rFonts w:asciiTheme="minorHAnsi" w:hAnsiTheme="minorHAnsi" w:cs="Arial"/>
        </w:rPr>
        <w:t xml:space="preserve">Table </w:t>
      </w:r>
      <w:r w:rsidR="00822E83" w:rsidRPr="00291257">
        <w:rPr>
          <w:rFonts w:asciiTheme="minorHAnsi" w:hAnsiTheme="minorHAnsi" w:cs="Arial"/>
        </w:rPr>
        <w:fldChar w:fldCharType="begin"/>
      </w:r>
      <w:r w:rsidR="00885673" w:rsidRPr="00291257">
        <w:rPr>
          <w:rFonts w:asciiTheme="minorHAnsi" w:hAnsiTheme="minorHAnsi" w:cs="Arial"/>
        </w:rPr>
        <w:instrText xml:space="preserve"> SEQ Table \* ARABIC </w:instrText>
      </w:r>
      <w:r w:rsidR="00822E83" w:rsidRPr="00291257">
        <w:rPr>
          <w:rFonts w:asciiTheme="minorHAnsi" w:hAnsiTheme="minorHAnsi" w:cs="Arial"/>
        </w:rPr>
        <w:fldChar w:fldCharType="separate"/>
      </w:r>
      <w:r w:rsidR="000B1BBC" w:rsidRPr="00291257">
        <w:rPr>
          <w:rFonts w:asciiTheme="minorHAnsi" w:hAnsiTheme="minorHAnsi" w:cs="Arial"/>
          <w:noProof/>
        </w:rPr>
        <w:t>1</w:t>
      </w:r>
      <w:r w:rsidR="00822E83" w:rsidRPr="00291257">
        <w:rPr>
          <w:rFonts w:asciiTheme="minorHAnsi" w:hAnsiTheme="minorHAnsi" w:cs="Arial"/>
        </w:rPr>
        <w:fldChar w:fldCharType="end"/>
      </w:r>
      <w:r w:rsidR="007951D7">
        <w:rPr>
          <w:rFonts w:asciiTheme="minorHAnsi" w:hAnsiTheme="minorHAnsi" w:cs="Arial"/>
          <w:noProof/>
        </w:rPr>
        <w:t xml:space="preserve">: </w:t>
      </w:r>
      <w:r w:rsidRPr="00291257">
        <w:rPr>
          <w:rFonts w:asciiTheme="minorHAnsi" w:hAnsiTheme="minorHAnsi" w:cs="Arial"/>
          <w:noProof/>
        </w:rPr>
        <w:t>Stakeholder</w:t>
      </w:r>
      <w:r w:rsidR="00936FE7" w:rsidRPr="00291257">
        <w:rPr>
          <w:rFonts w:asciiTheme="minorHAnsi" w:hAnsiTheme="minorHAnsi" w:cs="Arial"/>
          <w:noProof/>
        </w:rPr>
        <w:t xml:space="preserve"> List</w:t>
      </w:r>
      <w:r w:rsidRPr="00291257">
        <w:rPr>
          <w:rFonts w:asciiTheme="minorHAnsi" w:hAnsiTheme="minorHAnsi" w:cs="Arial"/>
          <w:noProof/>
        </w:rPr>
        <w:t xml:space="preserve"> </w:t>
      </w:r>
    </w:p>
    <w:p w:rsidR="003F3E5D" w:rsidRDefault="003F3E5D"/>
    <w:tbl>
      <w:tblPr>
        <w:tblStyle w:val="LightGrid-Accent6"/>
        <w:tblW w:w="0" w:type="auto"/>
        <w:tblInd w:w="1278" w:type="dxa"/>
        <w:tblLook w:val="04A0"/>
      </w:tblPr>
      <w:tblGrid>
        <w:gridCol w:w="5760"/>
        <w:gridCol w:w="1710"/>
      </w:tblGrid>
      <w:tr w:rsidR="002039E2" w:rsidRPr="002039E2" w:rsidTr="007951D7">
        <w:trPr>
          <w:cnfStyle w:val="100000000000"/>
          <w:trHeight w:val="376"/>
        </w:trPr>
        <w:tc>
          <w:tcPr>
            <w:cnfStyle w:val="001000000000"/>
            <w:tcW w:w="5760" w:type="dxa"/>
            <w:tcBorders>
              <w:bottom w:val="single" w:sz="8" w:space="0" w:color="70AD47" w:themeColor="accent6"/>
            </w:tcBorders>
            <w:shd w:val="clear" w:color="auto" w:fill="008272"/>
            <w:vAlign w:val="center"/>
          </w:tcPr>
          <w:p w:rsidR="002039E2" w:rsidRPr="007951D7" w:rsidRDefault="0080765A" w:rsidP="00685A21">
            <w:pPr>
              <w:spacing w:line="276" w:lineRule="auto"/>
              <w:rPr>
                <w:rFonts w:asciiTheme="minorHAnsi" w:hAnsiTheme="minorHAnsi"/>
                <w:color w:val="FFFFFF" w:themeColor="background1"/>
              </w:rPr>
            </w:pPr>
            <w:r w:rsidRPr="007951D7">
              <w:rPr>
                <w:rFonts w:asciiTheme="minorHAnsi" w:hAnsiTheme="minorHAnsi"/>
                <w:color w:val="FFFFFF" w:themeColor="background1"/>
              </w:rPr>
              <w:t>Stakeholder Group</w:t>
            </w:r>
          </w:p>
        </w:tc>
        <w:tc>
          <w:tcPr>
            <w:tcW w:w="1710" w:type="dxa"/>
            <w:tcBorders>
              <w:bottom w:val="single" w:sz="8" w:space="0" w:color="70AD47" w:themeColor="accent6"/>
            </w:tcBorders>
            <w:shd w:val="clear" w:color="auto" w:fill="008272"/>
            <w:vAlign w:val="center"/>
          </w:tcPr>
          <w:p w:rsidR="003F3E5D" w:rsidRPr="007951D7" w:rsidRDefault="0080765A">
            <w:pPr>
              <w:cnfStyle w:val="100000000000"/>
              <w:rPr>
                <w:rFonts w:asciiTheme="minorHAnsi" w:hAnsiTheme="minorHAnsi"/>
                <w:color w:val="FFFFFF" w:themeColor="background1"/>
              </w:rPr>
            </w:pPr>
            <w:r w:rsidRPr="007951D7">
              <w:rPr>
                <w:rFonts w:asciiTheme="minorHAnsi" w:hAnsiTheme="minorHAnsi"/>
                <w:color w:val="FFFFFF" w:themeColor="background1"/>
              </w:rPr>
              <w:t>Date</w:t>
            </w:r>
          </w:p>
        </w:tc>
      </w:tr>
      <w:tr w:rsidR="002039E2" w:rsidRPr="002039E2" w:rsidTr="007951D7">
        <w:trPr>
          <w:cnfStyle w:val="000000100000"/>
        </w:trPr>
        <w:tc>
          <w:tcPr>
            <w:cnfStyle w:val="001000000000"/>
            <w:tcW w:w="5760" w:type="dxa"/>
            <w:shd w:val="clear" w:color="auto" w:fill="E7E6E6" w:themeFill="background2"/>
          </w:tcPr>
          <w:p w:rsidR="003F3E5D" w:rsidRPr="007951D7" w:rsidRDefault="0080765A">
            <w:pPr>
              <w:tabs>
                <w:tab w:val="left" w:pos="355"/>
              </w:tabs>
              <w:spacing w:line="276" w:lineRule="auto"/>
              <w:rPr>
                <w:rFonts w:asciiTheme="minorHAnsi" w:hAnsiTheme="minorHAnsi"/>
                <w:b w:val="0"/>
              </w:rPr>
            </w:pPr>
            <w:r w:rsidRPr="007951D7">
              <w:rPr>
                <w:rFonts w:asciiTheme="minorHAnsi" w:hAnsiTheme="minorHAnsi"/>
                <w:b w:val="0"/>
              </w:rPr>
              <w:t>1</w:t>
            </w:r>
            <w:r w:rsidR="007951D7" w:rsidRPr="007951D7">
              <w:rPr>
                <w:rFonts w:asciiTheme="minorHAnsi" w:hAnsiTheme="minorHAnsi"/>
                <w:b w:val="0"/>
              </w:rPr>
              <w:t>.</w:t>
            </w:r>
            <w:r w:rsidR="000F7459" w:rsidRPr="007951D7">
              <w:rPr>
                <w:rFonts w:asciiTheme="minorHAnsi" w:hAnsiTheme="minorHAnsi"/>
                <w:b w:val="0"/>
              </w:rPr>
              <w:tab/>
            </w:r>
            <w:r w:rsidRPr="007951D7">
              <w:rPr>
                <w:rFonts w:asciiTheme="minorHAnsi" w:hAnsiTheme="minorHAnsi"/>
                <w:b w:val="0"/>
              </w:rPr>
              <w:t>DEQ water quality staff webinar</w:t>
            </w:r>
          </w:p>
        </w:tc>
        <w:tc>
          <w:tcPr>
            <w:tcW w:w="1710" w:type="dxa"/>
            <w:shd w:val="clear" w:color="auto" w:fill="E7E6E6" w:themeFill="background2"/>
          </w:tcPr>
          <w:p w:rsidR="003F3E5D" w:rsidRPr="007951D7" w:rsidRDefault="002039E2" w:rsidP="007951D7">
            <w:pPr>
              <w:cnfStyle w:val="000000100000"/>
              <w:rPr>
                <w:rFonts w:asciiTheme="minorHAnsi" w:eastAsiaTheme="minorEastAsia" w:hAnsiTheme="minorHAnsi"/>
                <w:sz w:val="22"/>
                <w:szCs w:val="22"/>
                <w:lang w:eastAsia="ja-JP"/>
              </w:rPr>
            </w:pPr>
            <w:r w:rsidRPr="007951D7">
              <w:rPr>
                <w:rFonts w:asciiTheme="minorHAnsi" w:hAnsiTheme="minorHAnsi"/>
              </w:rPr>
              <w:t>Jan. 23, 2014</w:t>
            </w:r>
          </w:p>
        </w:tc>
      </w:tr>
      <w:tr w:rsidR="002039E2" w:rsidRPr="002039E2" w:rsidTr="007951D7">
        <w:trPr>
          <w:cnfStyle w:val="000000010000"/>
        </w:trPr>
        <w:tc>
          <w:tcPr>
            <w:cnfStyle w:val="001000000000"/>
            <w:tcW w:w="5760" w:type="dxa"/>
          </w:tcPr>
          <w:p w:rsidR="003F3E5D" w:rsidRPr="007951D7" w:rsidRDefault="0080765A">
            <w:pPr>
              <w:tabs>
                <w:tab w:val="left" w:pos="355"/>
              </w:tabs>
              <w:spacing w:line="276" w:lineRule="auto"/>
              <w:rPr>
                <w:rFonts w:asciiTheme="minorHAnsi" w:hAnsiTheme="minorHAnsi"/>
                <w:b w:val="0"/>
              </w:rPr>
            </w:pPr>
            <w:r w:rsidRPr="007951D7">
              <w:rPr>
                <w:rFonts w:asciiTheme="minorHAnsi" w:hAnsiTheme="minorHAnsi"/>
                <w:b w:val="0"/>
              </w:rPr>
              <w:t>2</w:t>
            </w:r>
            <w:r w:rsidR="007951D7" w:rsidRPr="007951D7">
              <w:rPr>
                <w:rFonts w:asciiTheme="minorHAnsi" w:hAnsiTheme="minorHAnsi"/>
                <w:b w:val="0"/>
              </w:rPr>
              <w:t>.</w:t>
            </w:r>
            <w:r w:rsidR="000F7459" w:rsidRPr="007951D7">
              <w:rPr>
                <w:rFonts w:asciiTheme="minorHAnsi" w:hAnsiTheme="minorHAnsi"/>
                <w:b w:val="0"/>
              </w:rPr>
              <w:tab/>
            </w:r>
            <w:r w:rsidRPr="007951D7">
              <w:rPr>
                <w:rFonts w:asciiTheme="minorHAnsi" w:hAnsiTheme="minorHAnsi"/>
                <w:b w:val="0"/>
              </w:rPr>
              <w:t>Confederated Tribes of Coos, Lower Umpqua, and Siuslaw Indians</w:t>
            </w:r>
          </w:p>
        </w:tc>
        <w:tc>
          <w:tcPr>
            <w:tcW w:w="1710" w:type="dxa"/>
          </w:tcPr>
          <w:p w:rsidR="003F3E5D" w:rsidRPr="007951D7" w:rsidRDefault="002039E2" w:rsidP="007951D7">
            <w:pPr>
              <w:cnfStyle w:val="000000010000"/>
              <w:rPr>
                <w:rFonts w:asciiTheme="minorHAnsi" w:eastAsiaTheme="minorEastAsia" w:hAnsiTheme="minorHAnsi"/>
                <w:sz w:val="22"/>
                <w:szCs w:val="22"/>
                <w:lang w:eastAsia="ja-JP"/>
              </w:rPr>
            </w:pPr>
            <w:r w:rsidRPr="007951D7">
              <w:rPr>
                <w:rFonts w:asciiTheme="minorHAnsi" w:hAnsiTheme="minorHAnsi"/>
              </w:rPr>
              <w:t>Jan. 30, 2014</w:t>
            </w:r>
          </w:p>
        </w:tc>
      </w:tr>
      <w:tr w:rsidR="002039E2" w:rsidRPr="002039E2" w:rsidTr="007951D7">
        <w:trPr>
          <w:cnfStyle w:val="000000100000"/>
        </w:trPr>
        <w:tc>
          <w:tcPr>
            <w:cnfStyle w:val="001000000000"/>
            <w:tcW w:w="5760" w:type="dxa"/>
            <w:shd w:val="clear" w:color="auto" w:fill="E7E6E6" w:themeFill="background2"/>
          </w:tcPr>
          <w:p w:rsidR="003F3E5D" w:rsidRPr="007951D7" w:rsidRDefault="0080765A">
            <w:pPr>
              <w:tabs>
                <w:tab w:val="left" w:pos="355"/>
              </w:tabs>
              <w:spacing w:line="276" w:lineRule="auto"/>
              <w:rPr>
                <w:rFonts w:asciiTheme="minorHAnsi" w:hAnsiTheme="minorHAnsi"/>
                <w:b w:val="0"/>
              </w:rPr>
            </w:pPr>
            <w:r w:rsidRPr="007951D7">
              <w:rPr>
                <w:rFonts w:asciiTheme="minorHAnsi" w:hAnsiTheme="minorHAnsi"/>
                <w:b w:val="0"/>
              </w:rPr>
              <w:t>3</w:t>
            </w:r>
            <w:r w:rsidR="007951D7" w:rsidRPr="007951D7">
              <w:rPr>
                <w:rFonts w:asciiTheme="minorHAnsi" w:hAnsiTheme="minorHAnsi"/>
                <w:b w:val="0"/>
              </w:rPr>
              <w:t>.</w:t>
            </w:r>
            <w:r w:rsidR="000F7459" w:rsidRPr="007951D7">
              <w:rPr>
                <w:rFonts w:asciiTheme="minorHAnsi" w:hAnsiTheme="minorHAnsi"/>
                <w:b w:val="0"/>
              </w:rPr>
              <w:tab/>
            </w:r>
            <w:r w:rsidRPr="007951D7">
              <w:rPr>
                <w:rFonts w:asciiTheme="minorHAnsi" w:hAnsiTheme="minorHAnsi"/>
                <w:b w:val="0"/>
              </w:rPr>
              <w:t>Cow Creek Band of Umpqua Tribe of Indians</w:t>
            </w:r>
          </w:p>
        </w:tc>
        <w:tc>
          <w:tcPr>
            <w:tcW w:w="1710" w:type="dxa"/>
            <w:shd w:val="clear" w:color="auto" w:fill="E7E6E6" w:themeFill="background2"/>
          </w:tcPr>
          <w:p w:rsidR="003F3E5D" w:rsidRPr="007951D7" w:rsidRDefault="002039E2" w:rsidP="007951D7">
            <w:pPr>
              <w:cnfStyle w:val="000000100000"/>
              <w:rPr>
                <w:rFonts w:asciiTheme="minorHAnsi" w:eastAsiaTheme="minorEastAsia" w:hAnsiTheme="minorHAnsi"/>
                <w:sz w:val="22"/>
                <w:szCs w:val="22"/>
                <w:lang w:eastAsia="ja-JP"/>
              </w:rPr>
            </w:pPr>
            <w:r w:rsidRPr="007951D7">
              <w:rPr>
                <w:rFonts w:asciiTheme="minorHAnsi" w:hAnsiTheme="minorHAnsi"/>
              </w:rPr>
              <w:t>Jan. 30, 2014</w:t>
            </w:r>
          </w:p>
        </w:tc>
      </w:tr>
      <w:tr w:rsidR="002039E2" w:rsidRPr="002039E2" w:rsidTr="007951D7">
        <w:trPr>
          <w:cnfStyle w:val="000000010000"/>
        </w:trPr>
        <w:tc>
          <w:tcPr>
            <w:cnfStyle w:val="001000000000"/>
            <w:tcW w:w="5760" w:type="dxa"/>
          </w:tcPr>
          <w:p w:rsidR="003F3E5D" w:rsidRPr="007951D7" w:rsidRDefault="0080765A">
            <w:pPr>
              <w:tabs>
                <w:tab w:val="left" w:pos="355"/>
              </w:tabs>
              <w:spacing w:line="276" w:lineRule="auto"/>
              <w:rPr>
                <w:rFonts w:asciiTheme="minorHAnsi" w:hAnsiTheme="minorHAnsi"/>
                <w:b w:val="0"/>
              </w:rPr>
            </w:pPr>
            <w:r w:rsidRPr="007951D7">
              <w:rPr>
                <w:rFonts w:asciiTheme="minorHAnsi" w:hAnsiTheme="minorHAnsi"/>
                <w:b w:val="0"/>
              </w:rPr>
              <w:t>4</w:t>
            </w:r>
            <w:r w:rsidR="007951D7" w:rsidRPr="007951D7">
              <w:rPr>
                <w:rFonts w:asciiTheme="minorHAnsi" w:hAnsiTheme="minorHAnsi"/>
                <w:b w:val="0"/>
              </w:rPr>
              <w:t>.</w:t>
            </w:r>
            <w:r w:rsidR="000F7459" w:rsidRPr="007951D7">
              <w:rPr>
                <w:rFonts w:asciiTheme="minorHAnsi" w:hAnsiTheme="minorHAnsi"/>
                <w:b w:val="0"/>
              </w:rPr>
              <w:tab/>
            </w:r>
            <w:r w:rsidRPr="007951D7">
              <w:rPr>
                <w:rFonts w:asciiTheme="minorHAnsi" w:hAnsiTheme="minorHAnsi"/>
                <w:b w:val="0"/>
              </w:rPr>
              <w:t xml:space="preserve">Pesticide Management Team (select members) </w:t>
            </w:r>
          </w:p>
        </w:tc>
        <w:tc>
          <w:tcPr>
            <w:tcW w:w="1710" w:type="dxa"/>
          </w:tcPr>
          <w:p w:rsidR="003F3E5D" w:rsidRPr="007951D7" w:rsidRDefault="002039E2" w:rsidP="007951D7">
            <w:pPr>
              <w:cnfStyle w:val="000000010000"/>
              <w:rPr>
                <w:rFonts w:asciiTheme="minorHAnsi" w:eastAsiaTheme="minorEastAsia" w:hAnsiTheme="minorHAnsi"/>
                <w:sz w:val="22"/>
                <w:szCs w:val="22"/>
                <w:lang w:eastAsia="ja-JP"/>
              </w:rPr>
            </w:pPr>
            <w:r w:rsidRPr="007951D7">
              <w:rPr>
                <w:rFonts w:asciiTheme="minorHAnsi" w:hAnsiTheme="minorHAnsi"/>
              </w:rPr>
              <w:t>Jan. 30, 2014</w:t>
            </w:r>
          </w:p>
        </w:tc>
      </w:tr>
      <w:tr w:rsidR="002039E2" w:rsidRPr="002039E2" w:rsidTr="007951D7">
        <w:trPr>
          <w:cnfStyle w:val="000000100000"/>
        </w:trPr>
        <w:tc>
          <w:tcPr>
            <w:cnfStyle w:val="001000000000"/>
            <w:tcW w:w="5760" w:type="dxa"/>
            <w:shd w:val="clear" w:color="auto" w:fill="E7E6E6" w:themeFill="background2"/>
          </w:tcPr>
          <w:p w:rsidR="003F3E5D" w:rsidRPr="007951D7" w:rsidRDefault="0080765A">
            <w:pPr>
              <w:tabs>
                <w:tab w:val="left" w:pos="355"/>
              </w:tabs>
              <w:spacing w:line="276" w:lineRule="auto"/>
              <w:rPr>
                <w:rFonts w:asciiTheme="minorHAnsi" w:hAnsiTheme="minorHAnsi"/>
                <w:b w:val="0"/>
              </w:rPr>
            </w:pPr>
            <w:r w:rsidRPr="007951D7">
              <w:rPr>
                <w:rFonts w:asciiTheme="minorHAnsi" w:hAnsiTheme="minorHAnsi"/>
                <w:b w:val="0"/>
              </w:rPr>
              <w:t>5</w:t>
            </w:r>
            <w:r w:rsidR="007951D7" w:rsidRPr="007951D7">
              <w:rPr>
                <w:rFonts w:asciiTheme="minorHAnsi" w:hAnsiTheme="minorHAnsi"/>
                <w:b w:val="0"/>
              </w:rPr>
              <w:t>.</w:t>
            </w:r>
            <w:r w:rsidR="000F7459" w:rsidRPr="007951D7">
              <w:rPr>
                <w:rFonts w:asciiTheme="minorHAnsi" w:hAnsiTheme="minorHAnsi"/>
                <w:b w:val="0"/>
              </w:rPr>
              <w:tab/>
            </w:r>
            <w:r w:rsidRPr="007951D7">
              <w:rPr>
                <w:rFonts w:asciiTheme="minorHAnsi" w:hAnsiTheme="minorHAnsi"/>
                <w:b w:val="0"/>
              </w:rPr>
              <w:t>Industrial Stormwater Dischargers</w:t>
            </w:r>
          </w:p>
        </w:tc>
        <w:tc>
          <w:tcPr>
            <w:tcW w:w="1710" w:type="dxa"/>
            <w:shd w:val="clear" w:color="auto" w:fill="E7E6E6" w:themeFill="background2"/>
          </w:tcPr>
          <w:p w:rsidR="003F3E5D" w:rsidRPr="007951D7" w:rsidRDefault="002039E2" w:rsidP="007951D7">
            <w:pPr>
              <w:cnfStyle w:val="000000100000"/>
              <w:rPr>
                <w:rFonts w:asciiTheme="minorHAnsi" w:eastAsiaTheme="minorEastAsia" w:hAnsiTheme="minorHAnsi"/>
                <w:sz w:val="22"/>
                <w:szCs w:val="22"/>
                <w:lang w:eastAsia="ja-JP"/>
              </w:rPr>
            </w:pPr>
            <w:r w:rsidRPr="007951D7">
              <w:rPr>
                <w:rFonts w:asciiTheme="minorHAnsi" w:hAnsiTheme="minorHAnsi"/>
              </w:rPr>
              <w:t>Jan. 31, 2014</w:t>
            </w:r>
          </w:p>
        </w:tc>
      </w:tr>
      <w:tr w:rsidR="002039E2" w:rsidRPr="002039E2" w:rsidTr="007951D7">
        <w:trPr>
          <w:cnfStyle w:val="000000010000"/>
        </w:trPr>
        <w:tc>
          <w:tcPr>
            <w:cnfStyle w:val="001000000000"/>
            <w:tcW w:w="5760" w:type="dxa"/>
          </w:tcPr>
          <w:p w:rsidR="003F3E5D" w:rsidRPr="007951D7" w:rsidRDefault="0080765A">
            <w:pPr>
              <w:tabs>
                <w:tab w:val="left" w:pos="355"/>
              </w:tabs>
              <w:spacing w:line="276" w:lineRule="auto"/>
              <w:rPr>
                <w:rFonts w:asciiTheme="minorHAnsi" w:hAnsiTheme="minorHAnsi"/>
                <w:b w:val="0"/>
              </w:rPr>
            </w:pPr>
            <w:r w:rsidRPr="007951D7">
              <w:rPr>
                <w:rFonts w:asciiTheme="minorHAnsi" w:hAnsiTheme="minorHAnsi"/>
                <w:b w:val="0"/>
              </w:rPr>
              <w:t>6</w:t>
            </w:r>
            <w:r w:rsidR="007951D7" w:rsidRPr="007951D7">
              <w:rPr>
                <w:rFonts w:asciiTheme="minorHAnsi" w:hAnsiTheme="minorHAnsi"/>
                <w:b w:val="0"/>
              </w:rPr>
              <w:t>.</w:t>
            </w:r>
            <w:r w:rsidR="000F7459" w:rsidRPr="007951D7">
              <w:rPr>
                <w:rFonts w:asciiTheme="minorHAnsi" w:hAnsiTheme="minorHAnsi"/>
                <w:b w:val="0"/>
              </w:rPr>
              <w:tab/>
            </w:r>
            <w:r w:rsidRPr="007951D7">
              <w:rPr>
                <w:rFonts w:asciiTheme="minorHAnsi" w:hAnsiTheme="minorHAnsi"/>
                <w:b w:val="0"/>
              </w:rPr>
              <w:t>Conservation/Fisheries Groups</w:t>
            </w:r>
          </w:p>
        </w:tc>
        <w:tc>
          <w:tcPr>
            <w:tcW w:w="1710" w:type="dxa"/>
          </w:tcPr>
          <w:p w:rsidR="003F3E5D" w:rsidRPr="007951D7" w:rsidRDefault="002039E2" w:rsidP="007951D7">
            <w:pPr>
              <w:cnfStyle w:val="000000010000"/>
              <w:rPr>
                <w:rFonts w:asciiTheme="minorHAnsi" w:eastAsiaTheme="minorEastAsia" w:hAnsiTheme="minorHAnsi"/>
                <w:sz w:val="22"/>
                <w:szCs w:val="22"/>
                <w:lang w:eastAsia="ja-JP"/>
              </w:rPr>
            </w:pPr>
            <w:r w:rsidRPr="007951D7">
              <w:rPr>
                <w:rFonts w:asciiTheme="minorHAnsi" w:hAnsiTheme="minorHAnsi"/>
              </w:rPr>
              <w:t>Feb. 5, 2014</w:t>
            </w:r>
          </w:p>
        </w:tc>
      </w:tr>
      <w:tr w:rsidR="002039E2" w:rsidRPr="002039E2" w:rsidTr="007951D7">
        <w:trPr>
          <w:cnfStyle w:val="000000100000"/>
        </w:trPr>
        <w:tc>
          <w:tcPr>
            <w:cnfStyle w:val="001000000000"/>
            <w:tcW w:w="5760" w:type="dxa"/>
            <w:shd w:val="clear" w:color="auto" w:fill="E7E6E6" w:themeFill="background2"/>
          </w:tcPr>
          <w:p w:rsidR="003F3E5D" w:rsidRPr="007951D7" w:rsidRDefault="0080765A">
            <w:pPr>
              <w:tabs>
                <w:tab w:val="left" w:pos="355"/>
              </w:tabs>
              <w:spacing w:line="276" w:lineRule="auto"/>
              <w:rPr>
                <w:rFonts w:asciiTheme="minorHAnsi" w:hAnsiTheme="minorHAnsi"/>
                <w:b w:val="0"/>
              </w:rPr>
            </w:pPr>
            <w:r w:rsidRPr="007951D7">
              <w:rPr>
                <w:rFonts w:asciiTheme="minorHAnsi" w:hAnsiTheme="minorHAnsi"/>
                <w:b w:val="0"/>
              </w:rPr>
              <w:t>7</w:t>
            </w:r>
            <w:r w:rsidR="007951D7" w:rsidRPr="007951D7">
              <w:rPr>
                <w:rFonts w:asciiTheme="minorHAnsi" w:hAnsiTheme="minorHAnsi"/>
                <w:b w:val="0"/>
              </w:rPr>
              <w:t>.</w:t>
            </w:r>
            <w:r w:rsidR="000F7459" w:rsidRPr="007951D7">
              <w:rPr>
                <w:rFonts w:asciiTheme="minorHAnsi" w:hAnsiTheme="minorHAnsi"/>
                <w:b w:val="0"/>
              </w:rPr>
              <w:tab/>
            </w:r>
            <w:r w:rsidRPr="007951D7">
              <w:rPr>
                <w:rFonts w:asciiTheme="minorHAnsi" w:hAnsiTheme="minorHAnsi"/>
                <w:b w:val="0"/>
              </w:rPr>
              <w:t>Association of Clean Water Agencies</w:t>
            </w:r>
          </w:p>
        </w:tc>
        <w:tc>
          <w:tcPr>
            <w:tcW w:w="1710" w:type="dxa"/>
            <w:shd w:val="clear" w:color="auto" w:fill="E7E6E6" w:themeFill="background2"/>
          </w:tcPr>
          <w:p w:rsidR="003F3E5D" w:rsidRPr="007951D7" w:rsidRDefault="002039E2" w:rsidP="007951D7">
            <w:pPr>
              <w:cnfStyle w:val="000000100000"/>
              <w:rPr>
                <w:rFonts w:asciiTheme="minorHAnsi" w:eastAsiaTheme="minorEastAsia" w:hAnsiTheme="minorHAnsi"/>
                <w:sz w:val="22"/>
                <w:szCs w:val="22"/>
                <w:lang w:eastAsia="ja-JP"/>
              </w:rPr>
            </w:pPr>
            <w:r w:rsidRPr="007951D7">
              <w:rPr>
                <w:rFonts w:asciiTheme="minorHAnsi" w:hAnsiTheme="minorHAnsi"/>
              </w:rPr>
              <w:t>Feb. 18, 2014</w:t>
            </w:r>
          </w:p>
        </w:tc>
      </w:tr>
      <w:tr w:rsidR="002039E2" w:rsidRPr="002039E2" w:rsidTr="007951D7">
        <w:trPr>
          <w:cnfStyle w:val="000000010000"/>
        </w:trPr>
        <w:tc>
          <w:tcPr>
            <w:cnfStyle w:val="001000000000"/>
            <w:tcW w:w="5760" w:type="dxa"/>
          </w:tcPr>
          <w:p w:rsidR="003F3E5D" w:rsidRPr="007951D7" w:rsidRDefault="0080765A">
            <w:pPr>
              <w:tabs>
                <w:tab w:val="left" w:pos="355"/>
              </w:tabs>
              <w:spacing w:line="276" w:lineRule="auto"/>
              <w:rPr>
                <w:rFonts w:asciiTheme="minorHAnsi" w:hAnsiTheme="minorHAnsi"/>
                <w:b w:val="0"/>
              </w:rPr>
            </w:pPr>
            <w:r w:rsidRPr="007951D7">
              <w:rPr>
                <w:rFonts w:asciiTheme="minorHAnsi" w:hAnsiTheme="minorHAnsi"/>
                <w:b w:val="0"/>
              </w:rPr>
              <w:t>8</w:t>
            </w:r>
            <w:r w:rsidR="007951D7" w:rsidRPr="007951D7">
              <w:rPr>
                <w:rFonts w:asciiTheme="minorHAnsi" w:hAnsiTheme="minorHAnsi"/>
                <w:b w:val="0"/>
              </w:rPr>
              <w:t>.</w:t>
            </w:r>
            <w:r w:rsidR="000F7459" w:rsidRPr="007951D7">
              <w:rPr>
                <w:rFonts w:asciiTheme="minorHAnsi" w:hAnsiTheme="minorHAnsi"/>
                <w:b w:val="0"/>
              </w:rPr>
              <w:tab/>
            </w:r>
            <w:r w:rsidRPr="007951D7">
              <w:rPr>
                <w:rFonts w:asciiTheme="minorHAnsi" w:hAnsiTheme="minorHAnsi"/>
                <w:b w:val="0"/>
              </w:rPr>
              <w:t xml:space="preserve"> Associated Oregon Industries</w:t>
            </w:r>
          </w:p>
        </w:tc>
        <w:tc>
          <w:tcPr>
            <w:tcW w:w="1710" w:type="dxa"/>
          </w:tcPr>
          <w:p w:rsidR="003F3E5D" w:rsidRPr="007951D7" w:rsidRDefault="002039E2" w:rsidP="007951D7">
            <w:pPr>
              <w:cnfStyle w:val="000000010000"/>
              <w:rPr>
                <w:rFonts w:asciiTheme="minorHAnsi" w:eastAsiaTheme="minorEastAsia" w:hAnsiTheme="minorHAnsi"/>
                <w:sz w:val="22"/>
                <w:szCs w:val="22"/>
                <w:lang w:eastAsia="ja-JP"/>
              </w:rPr>
            </w:pPr>
            <w:r w:rsidRPr="007951D7">
              <w:rPr>
                <w:rFonts w:asciiTheme="minorHAnsi" w:hAnsiTheme="minorHAnsi"/>
              </w:rPr>
              <w:t>Feb. 21, 2014</w:t>
            </w:r>
          </w:p>
        </w:tc>
      </w:tr>
      <w:tr w:rsidR="002039E2" w:rsidRPr="002039E2" w:rsidTr="007951D7">
        <w:trPr>
          <w:cnfStyle w:val="000000100000"/>
        </w:trPr>
        <w:tc>
          <w:tcPr>
            <w:cnfStyle w:val="001000000000"/>
            <w:tcW w:w="5760" w:type="dxa"/>
            <w:shd w:val="clear" w:color="auto" w:fill="E7E6E6" w:themeFill="background2"/>
          </w:tcPr>
          <w:p w:rsidR="003F3E5D" w:rsidRPr="007951D7" w:rsidRDefault="0080765A">
            <w:pPr>
              <w:tabs>
                <w:tab w:val="left" w:pos="355"/>
              </w:tabs>
              <w:spacing w:line="276" w:lineRule="auto"/>
              <w:rPr>
                <w:rFonts w:asciiTheme="minorHAnsi" w:hAnsiTheme="minorHAnsi"/>
                <w:b w:val="0"/>
              </w:rPr>
            </w:pPr>
            <w:r w:rsidRPr="007951D7">
              <w:rPr>
                <w:rFonts w:asciiTheme="minorHAnsi" w:hAnsiTheme="minorHAnsi"/>
                <w:b w:val="0"/>
              </w:rPr>
              <w:t>9</w:t>
            </w:r>
            <w:r w:rsidR="007951D7" w:rsidRPr="007951D7">
              <w:rPr>
                <w:rFonts w:asciiTheme="minorHAnsi" w:hAnsiTheme="minorHAnsi"/>
                <w:b w:val="0"/>
              </w:rPr>
              <w:t>.</w:t>
            </w:r>
            <w:r w:rsidR="000F7459" w:rsidRPr="007951D7">
              <w:rPr>
                <w:rFonts w:asciiTheme="minorHAnsi" w:hAnsiTheme="minorHAnsi"/>
                <w:b w:val="0"/>
              </w:rPr>
              <w:tab/>
            </w:r>
            <w:r w:rsidRPr="007951D7">
              <w:rPr>
                <w:rFonts w:asciiTheme="minorHAnsi" w:hAnsiTheme="minorHAnsi"/>
                <w:b w:val="0"/>
              </w:rPr>
              <w:t>EPA</w:t>
            </w:r>
          </w:p>
        </w:tc>
        <w:tc>
          <w:tcPr>
            <w:tcW w:w="1710" w:type="dxa"/>
            <w:shd w:val="clear" w:color="auto" w:fill="E7E6E6" w:themeFill="background2"/>
          </w:tcPr>
          <w:p w:rsidR="003F3E5D" w:rsidRPr="007951D7" w:rsidRDefault="002039E2" w:rsidP="007951D7">
            <w:pPr>
              <w:cnfStyle w:val="000000100000"/>
              <w:rPr>
                <w:rFonts w:asciiTheme="minorHAnsi" w:eastAsiaTheme="minorEastAsia" w:hAnsiTheme="minorHAnsi"/>
                <w:sz w:val="22"/>
                <w:szCs w:val="22"/>
                <w:lang w:eastAsia="ja-JP"/>
              </w:rPr>
            </w:pPr>
            <w:r w:rsidRPr="007951D7">
              <w:rPr>
                <w:rFonts w:asciiTheme="minorHAnsi" w:hAnsiTheme="minorHAnsi"/>
              </w:rPr>
              <w:t>Feb. 28, 2014</w:t>
            </w:r>
          </w:p>
        </w:tc>
      </w:tr>
    </w:tbl>
    <w:p w:rsidR="002039E2" w:rsidRPr="002039E2" w:rsidRDefault="002039E2" w:rsidP="004D65A8"/>
    <w:p w:rsidR="002039E2" w:rsidRPr="002039E2" w:rsidRDefault="002039E2" w:rsidP="004D65A8"/>
    <w:p w:rsidR="00AD472E" w:rsidRDefault="002039E2" w:rsidP="004D65A8">
      <w:r w:rsidRPr="002039E2">
        <w:t xml:space="preserve">Generally, </w:t>
      </w:r>
      <w:r w:rsidR="00E532C6">
        <w:t>staff and stakeholders</w:t>
      </w:r>
      <w:r w:rsidRPr="002039E2">
        <w:t xml:space="preserve"> </w:t>
      </w:r>
      <w:r w:rsidR="003B7946">
        <w:t xml:space="preserve">support </w:t>
      </w:r>
      <w:r w:rsidR="005036A5">
        <w:t>adopt</w:t>
      </w:r>
      <w:r w:rsidR="00E532C6">
        <w:t>in</w:t>
      </w:r>
      <w:r w:rsidR="003B7946">
        <w:t>g</w:t>
      </w:r>
      <w:r w:rsidR="005036A5">
        <w:t xml:space="preserve"> </w:t>
      </w:r>
      <w:r w:rsidRPr="002039E2">
        <w:t>the new EPA ammonia</w:t>
      </w:r>
      <w:r w:rsidR="005036A5">
        <w:t xml:space="preserve"> criteria recommendations as quickly as possible</w:t>
      </w:r>
      <w:r w:rsidRPr="002039E2">
        <w:t>.</w:t>
      </w:r>
      <w:r w:rsidR="005036A5">
        <w:t xml:space="preserve"> </w:t>
      </w:r>
      <w:r w:rsidR="00AD472E">
        <w:t>Dischargers indicated that h</w:t>
      </w:r>
      <w:r w:rsidR="005036A5" w:rsidRPr="005036A5">
        <w:t xml:space="preserve">aving up-to-date approvable criteria </w:t>
      </w:r>
      <w:r w:rsidR="00AD472E">
        <w:t>would resolve uncertainty</w:t>
      </w:r>
      <w:r w:rsidR="008675E1">
        <w:t xml:space="preserve"> about which </w:t>
      </w:r>
      <w:r w:rsidR="007951D7">
        <w:t xml:space="preserve">ammonia criteria </w:t>
      </w:r>
      <w:r w:rsidR="008675E1">
        <w:t>Oregon and EPA would ultimately recommend.</w:t>
      </w:r>
      <w:r w:rsidR="007951D7">
        <w:t xml:space="preserve"> </w:t>
      </w:r>
      <w:r w:rsidR="003B7946">
        <w:t xml:space="preserve">These uncertainties have existed </w:t>
      </w:r>
      <w:r w:rsidR="005036A5" w:rsidRPr="005036A5">
        <w:t>since 2004, particular</w:t>
      </w:r>
      <w:r w:rsidR="00AD472E">
        <w:t>ly in issuing NPDES permits</w:t>
      </w:r>
      <w:r w:rsidR="005036A5" w:rsidRPr="005036A5">
        <w:t xml:space="preserve">. </w:t>
      </w:r>
    </w:p>
    <w:p w:rsidR="00203F0E" w:rsidRDefault="00203F0E" w:rsidP="004D65A8"/>
    <w:p w:rsidR="008675E1" w:rsidRDefault="00AD472E" w:rsidP="008675E1">
      <w:r>
        <w:t>EPA supports Oregon</w:t>
      </w:r>
      <w:r w:rsidR="003B7946">
        <w:t xml:space="preserve">’s </w:t>
      </w:r>
      <w:r>
        <w:t>revisi</w:t>
      </w:r>
      <w:r w:rsidR="003B7946">
        <w:t>ons</w:t>
      </w:r>
      <w:r w:rsidR="000F7459">
        <w:t xml:space="preserve"> </w:t>
      </w:r>
      <w:r w:rsidR="003B7946">
        <w:t>to</w:t>
      </w:r>
      <w:r>
        <w:t xml:space="preserve"> its ammonia criteria as soon as possible. </w:t>
      </w:r>
      <w:r w:rsidR="005D19CB">
        <w:t>On May 16, 2014, EPA Region 10 sent correspondence to Wendy Wiles, Administrator, Environmental Solutions Division</w:t>
      </w:r>
      <w:r w:rsidR="000F7459">
        <w:t xml:space="preserve">. </w:t>
      </w:r>
      <w:r w:rsidR="000F7459">
        <w:lastRenderedPageBreak/>
        <w:t xml:space="preserve">The correspondence </w:t>
      </w:r>
      <w:r w:rsidR="005D19CB">
        <w:t>urge</w:t>
      </w:r>
      <w:r w:rsidR="000F7459">
        <w:t>s</w:t>
      </w:r>
      <w:r w:rsidR="005D19CB">
        <w:t xml:space="preserve"> Oregon</w:t>
      </w:r>
      <w:r w:rsidR="00E77EAD">
        <w:t xml:space="preserve"> to evaluate EPA’s latest 2013 ammoni</w:t>
      </w:r>
      <w:r w:rsidR="004F7E79">
        <w:t>a recommendations as part of DEQ’s</w:t>
      </w:r>
      <w:r w:rsidR="00E77EAD">
        <w:t xml:space="preserve"> next triennial review</w:t>
      </w:r>
      <w:r w:rsidR="003B7946">
        <w:t>.</w:t>
      </w:r>
      <w:r w:rsidR="00421932">
        <w:t xml:space="preserve"> </w:t>
      </w:r>
      <w:r w:rsidR="003B7946">
        <w:t>S</w:t>
      </w:r>
      <w:r w:rsidR="0099600D">
        <w:t>ee Appendix A</w:t>
      </w:r>
      <w:r w:rsidR="00E77EAD">
        <w:t>.</w:t>
      </w:r>
    </w:p>
    <w:p w:rsidR="003F3E5D" w:rsidRPr="00907D03" w:rsidRDefault="008675E1" w:rsidP="008675E1">
      <w:pPr>
        <w:pStyle w:val="Heading1"/>
        <w:rPr>
          <w:rFonts w:asciiTheme="minorHAnsi" w:hAnsiTheme="minorHAnsi"/>
        </w:rPr>
      </w:pPr>
      <w:r w:rsidRPr="00907D03">
        <w:rPr>
          <w:rFonts w:asciiTheme="minorHAnsi" w:hAnsiTheme="minorHAnsi"/>
        </w:rPr>
        <w:t xml:space="preserve"> </w:t>
      </w:r>
      <w:bookmarkStart w:id="8" w:name="_Toc395516151"/>
      <w:r w:rsidR="00227440" w:rsidRPr="00907D03">
        <w:rPr>
          <w:rFonts w:asciiTheme="minorHAnsi" w:hAnsiTheme="minorHAnsi"/>
        </w:rPr>
        <w:t>ii</w:t>
      </w:r>
      <w:r w:rsidR="00C2034F" w:rsidRPr="00907D03">
        <w:rPr>
          <w:rFonts w:asciiTheme="minorHAnsi" w:hAnsiTheme="minorHAnsi"/>
        </w:rPr>
        <w:t>i</w:t>
      </w:r>
      <w:r w:rsidR="009E4F59" w:rsidRPr="00907D03">
        <w:rPr>
          <w:rFonts w:asciiTheme="minorHAnsi" w:hAnsiTheme="minorHAnsi"/>
        </w:rPr>
        <w:t xml:space="preserve">. </w:t>
      </w:r>
      <w:r w:rsidR="00AB6DAC" w:rsidRPr="00907D03">
        <w:rPr>
          <w:rFonts w:asciiTheme="minorHAnsi" w:hAnsiTheme="minorHAnsi"/>
        </w:rPr>
        <w:t>technical basis for updating freshwater a</w:t>
      </w:r>
      <w:r w:rsidR="00C108B5" w:rsidRPr="00907D03">
        <w:rPr>
          <w:rFonts w:asciiTheme="minorHAnsi" w:hAnsiTheme="minorHAnsi"/>
        </w:rPr>
        <w:t>mmo</w:t>
      </w:r>
      <w:r w:rsidR="00AB6DAC" w:rsidRPr="00907D03">
        <w:rPr>
          <w:rFonts w:asciiTheme="minorHAnsi" w:hAnsiTheme="minorHAnsi"/>
        </w:rPr>
        <w:t>nia c</w:t>
      </w:r>
      <w:r w:rsidR="00C108B5" w:rsidRPr="00907D03">
        <w:rPr>
          <w:rFonts w:asciiTheme="minorHAnsi" w:hAnsiTheme="minorHAnsi"/>
        </w:rPr>
        <w:t>riteria</w:t>
      </w:r>
      <w:bookmarkEnd w:id="8"/>
      <w:r w:rsidR="00F064CF" w:rsidRPr="00907D03">
        <w:rPr>
          <w:rFonts w:asciiTheme="minorHAnsi" w:hAnsiTheme="minorHAnsi"/>
        </w:rPr>
        <w:t xml:space="preserve"> </w:t>
      </w:r>
    </w:p>
    <w:p w:rsidR="00725DEB" w:rsidRPr="00907D03" w:rsidRDefault="00227440" w:rsidP="004D65A8">
      <w:pPr>
        <w:pStyle w:val="Heading2"/>
        <w:rPr>
          <w:rFonts w:asciiTheme="minorHAnsi" w:hAnsiTheme="minorHAnsi"/>
        </w:rPr>
      </w:pPr>
      <w:bookmarkStart w:id="9" w:name="_Toc395516152"/>
      <w:r w:rsidRPr="00907D03">
        <w:rPr>
          <w:rFonts w:asciiTheme="minorHAnsi" w:hAnsiTheme="minorHAnsi"/>
        </w:rPr>
        <w:t>II</w:t>
      </w:r>
      <w:r w:rsidR="007E5A61" w:rsidRPr="00907D03">
        <w:rPr>
          <w:rFonts w:asciiTheme="minorHAnsi" w:hAnsiTheme="minorHAnsi"/>
        </w:rPr>
        <w:t>I</w:t>
      </w:r>
      <w:r w:rsidRPr="00907D03">
        <w:rPr>
          <w:rFonts w:asciiTheme="minorHAnsi" w:hAnsiTheme="minorHAnsi"/>
        </w:rPr>
        <w:t>.A</w:t>
      </w:r>
      <w:r w:rsidR="006A2A5F" w:rsidRPr="00907D03">
        <w:rPr>
          <w:rFonts w:asciiTheme="minorHAnsi" w:hAnsiTheme="minorHAnsi"/>
        </w:rPr>
        <w:t>.</w:t>
      </w:r>
      <w:r w:rsidRPr="00907D03">
        <w:rPr>
          <w:rFonts w:asciiTheme="minorHAnsi" w:hAnsiTheme="minorHAnsi"/>
        </w:rPr>
        <w:t xml:space="preserve"> </w:t>
      </w:r>
      <w:r w:rsidR="006552CF" w:rsidRPr="00907D03">
        <w:rPr>
          <w:rFonts w:asciiTheme="minorHAnsi" w:hAnsiTheme="minorHAnsi"/>
        </w:rPr>
        <w:t>General Overview</w:t>
      </w:r>
      <w:r w:rsidR="009E4F59" w:rsidRPr="00907D03">
        <w:rPr>
          <w:rFonts w:asciiTheme="minorHAnsi" w:hAnsiTheme="minorHAnsi"/>
        </w:rPr>
        <w:t xml:space="preserve"> of EPA 2013 Recommendations</w:t>
      </w:r>
      <w:bookmarkEnd w:id="9"/>
    </w:p>
    <w:p w:rsidR="003F3E5D" w:rsidRDefault="00FB4D80">
      <w:pPr>
        <w:spacing w:after="120" w:line="240" w:lineRule="auto"/>
      </w:pPr>
      <w:r>
        <w:t>This section summarizes information</w:t>
      </w:r>
      <w:r w:rsidRPr="00F15C85">
        <w:t xml:space="preserve"> </w:t>
      </w:r>
      <w:r>
        <w:t>from</w:t>
      </w:r>
      <w:r w:rsidR="008675E1">
        <w:t xml:space="preserve"> EPA’s 2013 ammonia recommendations</w:t>
      </w:r>
      <w:r>
        <w:t>:</w:t>
      </w:r>
    </w:p>
    <w:p w:rsidR="003F3E5D" w:rsidRDefault="00FB4D80">
      <w:pPr>
        <w:pStyle w:val="ListParagraph"/>
        <w:numPr>
          <w:ilvl w:val="0"/>
          <w:numId w:val="50"/>
        </w:numPr>
        <w:spacing w:after="120" w:line="240" w:lineRule="auto"/>
        <w:contextualSpacing w:val="0"/>
      </w:pPr>
      <w:r w:rsidRPr="009C6852">
        <w:rPr>
          <w:i/>
        </w:rPr>
        <w:t>F</w:t>
      </w:r>
      <w:r w:rsidR="00355A4B" w:rsidRPr="009C6852">
        <w:rPr>
          <w:i/>
        </w:rPr>
        <w:t xml:space="preserve">inal </w:t>
      </w:r>
      <w:r w:rsidR="009C6852" w:rsidRPr="009C6852">
        <w:rPr>
          <w:i/>
        </w:rPr>
        <w:t>Aquatic Life Ambient Water Quality Criteria For Ammonia—Freshwater 2013</w:t>
      </w:r>
      <w:r w:rsidR="009C6852">
        <w:t xml:space="preserve"> </w:t>
      </w:r>
      <w:r w:rsidR="00355A4B">
        <w:t>in the Federal Register</w:t>
      </w:r>
      <w:r w:rsidRPr="00F15C85">
        <w:rPr>
          <w:rStyle w:val="FootnoteReference"/>
          <w:rFonts w:asciiTheme="majorHAnsi" w:hAnsiTheme="majorHAnsi"/>
        </w:rPr>
        <w:footnoteReference w:id="9"/>
      </w:r>
      <w:r w:rsidRPr="00F15C85">
        <w:t xml:space="preserve"> </w:t>
      </w:r>
      <w:r>
        <w:t xml:space="preserve">dated </w:t>
      </w:r>
      <w:r w:rsidRPr="00F15C85">
        <w:t>Aug</w:t>
      </w:r>
      <w:r>
        <w:t>.</w:t>
      </w:r>
      <w:r w:rsidRPr="00F15C85">
        <w:t xml:space="preserve"> 22, 2013</w:t>
      </w:r>
      <w:r w:rsidR="00565DA7">
        <w:t xml:space="preserve">. </w:t>
      </w:r>
    </w:p>
    <w:p w:rsidR="003F3E5D" w:rsidRDefault="00565DA7">
      <w:pPr>
        <w:pStyle w:val="ListParagraph"/>
        <w:numPr>
          <w:ilvl w:val="0"/>
          <w:numId w:val="50"/>
        </w:numPr>
      </w:pPr>
      <w:r w:rsidRPr="00FB4D80">
        <w:rPr>
          <w:i/>
        </w:rPr>
        <w:t>Aquatic Life Ambient Water Quality Criteria for Ammonia – Freshwater 2013</w:t>
      </w:r>
      <w:r>
        <w:rPr>
          <w:rStyle w:val="FootnoteReference"/>
          <w:rFonts w:asciiTheme="majorHAnsi" w:hAnsiTheme="majorHAnsi"/>
          <w:i/>
        </w:rPr>
        <w:footnoteReference w:id="10"/>
      </w:r>
      <w:r w:rsidR="00FB4D80">
        <w:rPr>
          <w:i/>
        </w:rPr>
        <w:t>.</w:t>
      </w:r>
      <w:r w:rsidR="009C6852">
        <w:rPr>
          <w:i/>
        </w:rPr>
        <w:t xml:space="preserve"> </w:t>
      </w:r>
      <w:r w:rsidR="00FB4D80">
        <w:t xml:space="preserve">This publication, </w:t>
      </w:r>
      <w:r w:rsidR="008675E1">
        <w:t xml:space="preserve">hereafter </w:t>
      </w:r>
      <w:r w:rsidR="00FB4D80">
        <w:t xml:space="preserve">called </w:t>
      </w:r>
      <w:r w:rsidR="009B754E">
        <w:t>“</w:t>
      </w:r>
      <w:r w:rsidR="00FB4D80">
        <w:t>EPA 2013 Criteria Document,</w:t>
      </w:r>
      <w:r w:rsidR="009B754E">
        <w:t xml:space="preserve">” </w:t>
      </w:r>
      <w:r>
        <w:t>provides detailed information about the derivation of the revised criteria.</w:t>
      </w:r>
    </w:p>
    <w:p w:rsidR="00421932" w:rsidRDefault="00421932" w:rsidP="004D65A8"/>
    <w:p w:rsidR="005153F8" w:rsidRPr="00932A0F" w:rsidRDefault="00565DA7" w:rsidP="004D65A8">
      <w:r>
        <w:t>The</w:t>
      </w:r>
      <w:r w:rsidR="002628CD">
        <w:t xml:space="preserve"> two </w:t>
      </w:r>
      <w:r>
        <w:t xml:space="preserve">documents </w:t>
      </w:r>
      <w:r w:rsidR="002628CD">
        <w:t xml:space="preserve">above </w:t>
      </w:r>
      <w:r w:rsidR="00421932">
        <w:t>and</w:t>
      </w:r>
      <w:r>
        <w:t xml:space="preserve"> other implementation documents </w:t>
      </w:r>
      <w:r w:rsidR="00421932">
        <w:t>are</w:t>
      </w:r>
      <w:r>
        <w:t xml:space="preserve"> </w:t>
      </w:r>
      <w:r w:rsidR="00302F32">
        <w:t>on EPA’s website</w:t>
      </w:r>
      <w:r w:rsidR="00FB4D80">
        <w:t xml:space="preserve"> at</w:t>
      </w:r>
      <w:r w:rsidR="00302F32">
        <w:t xml:space="preserve"> </w:t>
      </w:r>
      <w:hyperlink r:id="rId16" w:history="1">
        <w:r w:rsidR="00302F32" w:rsidRPr="00932A0F">
          <w:rPr>
            <w:rStyle w:val="Hyperlink"/>
          </w:rPr>
          <w:t>http://water.epa.gov/scitech/swguidance/standards/criteria/aqlife/ammonia/index.cfm</w:t>
        </w:r>
      </w:hyperlink>
      <w:r w:rsidR="00302F32" w:rsidRPr="00932A0F">
        <w:t>.</w:t>
      </w:r>
      <w:r w:rsidR="00E77196" w:rsidRPr="00932A0F">
        <w:t xml:space="preserve"> </w:t>
      </w:r>
    </w:p>
    <w:p w:rsidR="00565DA7" w:rsidRDefault="00565DA7" w:rsidP="004D65A8"/>
    <w:p w:rsidR="00E272F0" w:rsidRDefault="00C9509F" w:rsidP="004D65A8">
      <w:r>
        <w:t>EPA’s methodology for assessing toxicity data</w:t>
      </w:r>
      <w:r w:rsidR="008A7A55">
        <w:t xml:space="preserve"> in deriving</w:t>
      </w:r>
      <w:r w:rsidR="00302F32">
        <w:t xml:space="preserve"> updated ammonia criteria</w:t>
      </w:r>
      <w:r>
        <w:t xml:space="preserve"> followed </w:t>
      </w:r>
      <w:r w:rsidRPr="00C9509F">
        <w:t>EPA’s “</w:t>
      </w:r>
      <w:r w:rsidRPr="00C9509F">
        <w:rPr>
          <w:i/>
          <w:iCs/>
        </w:rPr>
        <w:t>Guidelines for Deriving Numerical National Water Quality Criteria for the Protection of Aquatic Organisms and Their Uses</w:t>
      </w:r>
      <w:r w:rsidRPr="00C9509F">
        <w:t>” (Stephan et al. 1985</w:t>
      </w:r>
      <w:r w:rsidR="00FB4D80">
        <w:t>.</w:t>
      </w:r>
      <w:r w:rsidRPr="00C9509F">
        <w:t>)</w:t>
      </w:r>
      <w:r>
        <w:t xml:space="preserve"> </w:t>
      </w:r>
      <w:r w:rsidR="00FB4D80">
        <w:t xml:space="preserve">This </w:t>
      </w:r>
      <w:r w:rsidR="0099600D">
        <w:t>is EPA’s current</w:t>
      </w:r>
      <w:r w:rsidR="00E272F0">
        <w:t xml:space="preserve"> guideline</w:t>
      </w:r>
      <w:r>
        <w:t xml:space="preserve"> for deriving aquatic life toxics criteria.</w:t>
      </w:r>
      <w:r w:rsidR="00C11796">
        <w:t xml:space="preserve"> </w:t>
      </w:r>
    </w:p>
    <w:p w:rsidR="007A445D" w:rsidRDefault="007A445D" w:rsidP="004D65A8"/>
    <w:p w:rsidR="0099600D" w:rsidRDefault="00E272F0" w:rsidP="004D65A8">
      <w:r>
        <w:t xml:space="preserve">The </w:t>
      </w:r>
      <w:r w:rsidR="00B410DD">
        <w:t xml:space="preserve">updated </w:t>
      </w:r>
      <w:r>
        <w:t>ammonia criteria</w:t>
      </w:r>
      <w:r w:rsidR="00FB4D80">
        <w:t>,</w:t>
      </w:r>
      <w:r>
        <w:t xml:space="preserve"> </w:t>
      </w:r>
      <w:r w:rsidR="00B410DD">
        <w:t>expressed as Total Ammonia Nitrogen</w:t>
      </w:r>
      <w:r w:rsidR="009C6852">
        <w:t>,</w:t>
      </w:r>
      <w:r w:rsidR="00B410DD">
        <w:t xml:space="preserve"> </w:t>
      </w:r>
      <w:r w:rsidR="00FB4D80">
        <w:t>include</w:t>
      </w:r>
      <w:r w:rsidR="00B410DD">
        <w:t xml:space="preserve"> ammonium (NH</w:t>
      </w:r>
      <w:r w:rsidR="00B410DD" w:rsidRPr="00B410DD">
        <w:rPr>
          <w:vertAlign w:val="subscript"/>
        </w:rPr>
        <w:t>4</w:t>
      </w:r>
      <w:r w:rsidR="00B410DD">
        <w:t>) and unionized ammonia (NH</w:t>
      </w:r>
      <w:r w:rsidR="00B410DD" w:rsidRPr="00B410DD">
        <w:rPr>
          <w:vertAlign w:val="subscript"/>
        </w:rPr>
        <w:t>3</w:t>
      </w:r>
      <w:r w:rsidR="00B410DD">
        <w:t xml:space="preserve">). </w:t>
      </w:r>
      <w:r w:rsidR="002628CD">
        <w:t xml:space="preserve">Starting with its 1999 recommendation, </w:t>
      </w:r>
      <w:r w:rsidR="009B2D54">
        <w:t xml:space="preserve">EPA recommended a TAN expression of </w:t>
      </w:r>
      <w:r w:rsidR="0099600D">
        <w:t xml:space="preserve">the ammonia criteria. EPA’s </w:t>
      </w:r>
      <w:r w:rsidR="004B509A">
        <w:t xml:space="preserve">2013 </w:t>
      </w:r>
      <w:r w:rsidR="004919AA">
        <w:t>Criteria D</w:t>
      </w:r>
      <w:r w:rsidR="00F947FD">
        <w:t xml:space="preserve">ocument states that because permit limits and compliance are usually expressed in terms of TAN given the toxicity of both forms of ammonia, expressing the criterion in terms of TAN eliminates the need to convert to and from unionized ammonia. </w:t>
      </w:r>
    </w:p>
    <w:p w:rsidR="0099600D" w:rsidRDefault="0099600D" w:rsidP="004D65A8"/>
    <w:p w:rsidR="00E272F0" w:rsidRDefault="000F7459" w:rsidP="004D65A8">
      <w:r>
        <w:t>Both pH and temperature affect t</w:t>
      </w:r>
      <w:r w:rsidR="004C28FE">
        <w:t>he t</w:t>
      </w:r>
      <w:r w:rsidR="00B410DD">
        <w:t>oxicity of ammonia. Generally, as pH and temperature increase, the amount of unionized ammonia</w:t>
      </w:r>
      <w:r w:rsidR="0075014F">
        <w:t xml:space="preserve">, the more toxic form of ammonia, </w:t>
      </w:r>
      <w:r w:rsidR="00B410DD">
        <w:t xml:space="preserve">predominates. </w:t>
      </w:r>
      <w:r w:rsidR="0075014F">
        <w:t>Therefore</w:t>
      </w:r>
      <w:r w:rsidR="00B410DD">
        <w:t>, the criteria are more strin</w:t>
      </w:r>
      <w:r w:rsidR="0075014F">
        <w:t>gent as pH and temperature rise</w:t>
      </w:r>
      <w:r w:rsidR="00B410DD">
        <w:t>.</w:t>
      </w:r>
      <w:r w:rsidR="00B72216">
        <w:t xml:space="preserve"> Oregon</w:t>
      </w:r>
      <w:r w:rsidR="00DD4EEB">
        <w:t xml:space="preserve"> expresses it</w:t>
      </w:r>
      <w:r w:rsidR="00B72216">
        <w:t>s current ammonia criteria</w:t>
      </w:r>
      <w:r w:rsidR="00DD4EEB">
        <w:t>,</w:t>
      </w:r>
      <w:r w:rsidR="00B72216">
        <w:t xml:space="preserve"> based on EPA’s 1985 recommendations</w:t>
      </w:r>
      <w:r w:rsidR="00DD4EEB">
        <w:t>,</w:t>
      </w:r>
      <w:r w:rsidR="00B72216">
        <w:t xml:space="preserve"> as unionized ammonia</w:t>
      </w:r>
      <w:r w:rsidR="00DD4EEB">
        <w:t xml:space="preserve">. This </w:t>
      </w:r>
      <w:r w:rsidR="009B2D54">
        <w:t>requires specific calculations to adjust for temperature</w:t>
      </w:r>
      <w:r w:rsidR="00085634">
        <w:t xml:space="preserve"> and pH,</w:t>
      </w:r>
      <w:r w:rsidR="0030327E">
        <w:t xml:space="preserve"> and </w:t>
      </w:r>
      <w:r w:rsidR="0075014F">
        <w:t>then converting</w:t>
      </w:r>
      <w:r w:rsidR="0030327E">
        <w:t xml:space="preserve"> to TAN</w:t>
      </w:r>
      <w:r w:rsidR="00B72216">
        <w:t>.</w:t>
      </w:r>
      <w:r w:rsidR="00F947FD">
        <w:t xml:space="preserve"> </w:t>
      </w:r>
    </w:p>
    <w:p w:rsidR="00F947FD" w:rsidRDefault="00F947FD" w:rsidP="004D65A8"/>
    <w:p w:rsidR="0031086F" w:rsidRDefault="009B754E" w:rsidP="004D65A8">
      <w:r>
        <w:lastRenderedPageBreak/>
        <w:t>EPA bases t</w:t>
      </w:r>
      <w:r w:rsidR="005A6DE3">
        <w:t xml:space="preserve">he updated ammonia criteria on additional data showing </w:t>
      </w:r>
      <w:r w:rsidR="004C28FE">
        <w:t xml:space="preserve">the </w:t>
      </w:r>
      <w:r w:rsidR="005A6DE3">
        <w:t xml:space="preserve">toxicity of ammonia to freshwater mussels in the family Unionidae and to gill-bearing </w:t>
      </w:r>
      <w:r w:rsidR="0075014F">
        <w:t xml:space="preserve">(non-pulmonate) </w:t>
      </w:r>
      <w:r w:rsidR="005A6DE3">
        <w:t>snails. Because unionid mussels and gill-bearing snails</w:t>
      </w:r>
      <w:r>
        <w:t xml:space="preserve"> are</w:t>
      </w:r>
      <w:r w:rsidR="005A6DE3">
        <w:t xml:space="preserve"> in many freshwater systems throughout the United States, EPA recommended applying the acute a</w:t>
      </w:r>
      <w:r w:rsidR="00D023E3">
        <w:t>nd chronic criteria based on the</w:t>
      </w:r>
      <w:r w:rsidR="005A6DE3">
        <w:t xml:space="preserve"> assumption that these sensitive species are present</w:t>
      </w:r>
      <w:r w:rsidR="0075014F">
        <w:t xml:space="preserve"> in waterbodies throughout the country</w:t>
      </w:r>
      <w:r w:rsidR="005A6DE3">
        <w:t xml:space="preserve">. This is in contrast to the 2009 draft </w:t>
      </w:r>
      <w:r>
        <w:t>recommendations that</w:t>
      </w:r>
      <w:r w:rsidR="005A6DE3">
        <w:t xml:space="preserve"> proposed a bifurcated approach—</w:t>
      </w:r>
      <w:r w:rsidR="00D023E3">
        <w:t xml:space="preserve">separate criteria based on </w:t>
      </w:r>
      <w:r w:rsidR="005A6DE3">
        <w:t xml:space="preserve">mussels present or absent. </w:t>
      </w:r>
      <w:r>
        <w:t>DEQ may develop s</w:t>
      </w:r>
      <w:r w:rsidR="005A6DE3">
        <w:t xml:space="preserve">ite-specific criteria </w:t>
      </w:r>
      <w:r w:rsidR="003676FC">
        <w:t xml:space="preserve">based on </w:t>
      </w:r>
      <w:r w:rsidR="00203F0E">
        <w:t xml:space="preserve">the absence of mussels </w:t>
      </w:r>
      <w:r w:rsidR="005A6DE3">
        <w:t>if a defensible mussel survey indicates mussels are not present</w:t>
      </w:r>
      <w:r w:rsidR="003676FC">
        <w:t>. For more information about site-specific criteria, see</w:t>
      </w:r>
      <w:r w:rsidR="004B509A">
        <w:t xml:space="preserve"> </w:t>
      </w:r>
      <w:r w:rsidR="00EF6EC3">
        <w:t>Section IV</w:t>
      </w:r>
      <w:r w:rsidR="003676FC" w:rsidRPr="00F81452">
        <w:t>.</w:t>
      </w:r>
      <w:r w:rsidR="005A6DE3">
        <w:t xml:space="preserve"> </w:t>
      </w:r>
      <w:r w:rsidR="0030327E">
        <w:t>EPA removed six i</w:t>
      </w:r>
      <w:r w:rsidR="00085634">
        <w:t>nvasive/non-native species</w:t>
      </w:r>
      <w:r w:rsidR="005B34FF">
        <w:t xml:space="preserve">, </w:t>
      </w:r>
      <w:r w:rsidR="00085634">
        <w:t>such as</w:t>
      </w:r>
      <w:r w:rsidR="0030327E">
        <w:t xml:space="preserve"> Asiatic clam</w:t>
      </w:r>
      <w:r w:rsidR="00085634">
        <w:t>s</w:t>
      </w:r>
      <w:r w:rsidR="005B34FF">
        <w:t>,</w:t>
      </w:r>
      <w:r w:rsidR="0030327E">
        <w:t xml:space="preserve"> from the national dataset based on comments received in response to the draft 2009 ammonia recommendations.</w:t>
      </w:r>
      <w:r w:rsidR="004C28FE">
        <w:t xml:space="preserve"> Therefore</w:t>
      </w:r>
      <w:r w:rsidR="00A76DF3">
        <w:t>, the proposed criteria protect</w:t>
      </w:r>
      <w:r w:rsidR="004C28FE">
        <w:t xml:space="preserve"> species native to the United States.</w:t>
      </w:r>
      <w:r w:rsidR="0031086F">
        <w:t xml:space="preserve"> </w:t>
      </w:r>
    </w:p>
    <w:p w:rsidR="0031086F" w:rsidRDefault="0031086F" w:rsidP="004D65A8"/>
    <w:p w:rsidR="00F947FD" w:rsidRDefault="0031086F" w:rsidP="004D65A8">
      <w:r>
        <w:t>EPA also renormalized the data based on a pH of 7 and a temperature of 20˚C to be more representative of freshwater systems. EPA does not recommend extrapolating criteria values outside the pH ranges shown in the ammonia criteria tables</w:t>
      </w:r>
      <w:r w:rsidR="00C61C94">
        <w:t xml:space="preserve"> in Appendix D</w:t>
      </w:r>
      <w:r>
        <w:t xml:space="preserve"> (i.e. 6.5 </w:t>
      </w:r>
      <w:r w:rsidR="009B07C5">
        <w:t>–</w:t>
      </w:r>
      <w:r>
        <w:t xml:space="preserve"> </w:t>
      </w:r>
      <w:r w:rsidR="009B07C5">
        <w:t>9.0) which represent the normal range of freshwaters.</w:t>
      </w:r>
    </w:p>
    <w:p w:rsidR="00C11796" w:rsidRDefault="00C11796" w:rsidP="004D65A8"/>
    <w:p w:rsidR="00C11796" w:rsidRPr="00C9509F" w:rsidRDefault="0031086F" w:rsidP="004D65A8">
      <w:r>
        <w:t xml:space="preserve">EPA’s acute criteria also consider </w:t>
      </w:r>
      <w:r w:rsidR="00C11796">
        <w:t>presence or absence</w:t>
      </w:r>
      <w:r>
        <w:t xml:space="preserve"> of salmonids</w:t>
      </w:r>
      <w:r w:rsidR="00C11796">
        <w:t xml:space="preserve">. </w:t>
      </w:r>
      <w:r w:rsidR="005E785E">
        <w:t xml:space="preserve">The presence of early life stages of fish in applying the chronic criteria is not applicable because the chronic dataset shows that mussels are more sensitive than any other early life fish species tested. </w:t>
      </w:r>
      <w:r w:rsidR="00C11796">
        <w:t>Table 2 below</w:t>
      </w:r>
      <w:r w:rsidR="005E785E">
        <w:t xml:space="preserve"> contains summary information on how </w:t>
      </w:r>
      <w:r w:rsidR="00A76DF3">
        <w:t>EPA applies the criteria</w:t>
      </w:r>
      <w:r w:rsidR="004B509A">
        <w:t>,</w:t>
      </w:r>
      <w:r w:rsidR="005E785E">
        <w:t xml:space="preserve"> as well as </w:t>
      </w:r>
      <w:r w:rsidR="004B509A">
        <w:t xml:space="preserve">the associated </w:t>
      </w:r>
      <w:r w:rsidR="002C1F8E">
        <w:t xml:space="preserve">table reference for </w:t>
      </w:r>
      <w:r w:rsidR="005E785E">
        <w:t>where the criteria</w:t>
      </w:r>
      <w:r>
        <w:t xml:space="preserve"> and associated formulas</w:t>
      </w:r>
      <w:r w:rsidR="005E785E">
        <w:t xml:space="preserve"> </w:t>
      </w:r>
      <w:r w:rsidR="00A76DF3">
        <w:t xml:space="preserve">are found </w:t>
      </w:r>
      <w:r w:rsidR="004B509A">
        <w:t xml:space="preserve">in </w:t>
      </w:r>
      <w:r w:rsidR="004B509A" w:rsidRPr="00F81452">
        <w:t>Appendix D</w:t>
      </w:r>
      <w:r w:rsidR="005E785E">
        <w:t xml:space="preserve">. </w:t>
      </w:r>
      <w:r w:rsidR="00C11796">
        <w:t xml:space="preserve"> </w:t>
      </w:r>
    </w:p>
    <w:p w:rsidR="00355A4B" w:rsidRDefault="00355A4B" w:rsidP="00F1402D">
      <w:pPr>
        <w:spacing w:line="240" w:lineRule="auto"/>
      </w:pPr>
    </w:p>
    <w:p w:rsidR="00F1402D" w:rsidRDefault="00F1402D" w:rsidP="00F1402D">
      <w:pPr>
        <w:spacing w:line="240" w:lineRule="auto"/>
      </w:pPr>
    </w:p>
    <w:p w:rsidR="00ED52FB" w:rsidRPr="00A76DF3" w:rsidRDefault="001C0907" w:rsidP="001C0907">
      <w:pPr>
        <w:pStyle w:val="Caption"/>
        <w:tabs>
          <w:tab w:val="center" w:pos="4050"/>
        </w:tabs>
        <w:jc w:val="left"/>
        <w:rPr>
          <w:rFonts w:asciiTheme="minorHAnsi" w:hAnsiTheme="minorHAnsi"/>
          <w:noProof/>
        </w:rPr>
      </w:pPr>
      <w:r>
        <w:tab/>
      </w:r>
      <w:r w:rsidR="00C11796" w:rsidRPr="00A76DF3">
        <w:rPr>
          <w:rFonts w:asciiTheme="minorHAnsi" w:hAnsiTheme="minorHAnsi"/>
        </w:rPr>
        <w:t xml:space="preserve">Table </w:t>
      </w:r>
      <w:r w:rsidR="00822E83" w:rsidRPr="00A76DF3">
        <w:rPr>
          <w:rFonts w:asciiTheme="minorHAnsi" w:hAnsiTheme="minorHAnsi"/>
        </w:rPr>
        <w:fldChar w:fldCharType="begin"/>
      </w:r>
      <w:r w:rsidR="0080765A" w:rsidRPr="00A76DF3">
        <w:rPr>
          <w:rFonts w:asciiTheme="minorHAnsi" w:hAnsiTheme="minorHAnsi"/>
        </w:rPr>
        <w:instrText xml:space="preserve"> SEQ Table \* ARABIC </w:instrText>
      </w:r>
      <w:r w:rsidR="00822E83" w:rsidRPr="00A76DF3">
        <w:rPr>
          <w:rFonts w:asciiTheme="minorHAnsi" w:hAnsiTheme="minorHAnsi"/>
        </w:rPr>
        <w:fldChar w:fldCharType="separate"/>
      </w:r>
      <w:r w:rsidR="000B1BBC" w:rsidRPr="00A76DF3">
        <w:rPr>
          <w:rFonts w:asciiTheme="minorHAnsi" w:hAnsiTheme="minorHAnsi"/>
          <w:noProof/>
        </w:rPr>
        <w:t>2</w:t>
      </w:r>
      <w:r w:rsidR="00822E83" w:rsidRPr="00A76DF3">
        <w:rPr>
          <w:rFonts w:asciiTheme="minorHAnsi" w:hAnsiTheme="minorHAnsi"/>
        </w:rPr>
        <w:fldChar w:fldCharType="end"/>
      </w:r>
      <w:r w:rsidR="00C11796" w:rsidRPr="00A76DF3">
        <w:rPr>
          <w:rFonts w:asciiTheme="minorHAnsi" w:hAnsiTheme="minorHAnsi"/>
        </w:rPr>
        <w:t>:</w:t>
      </w:r>
      <w:r w:rsidR="00C11796" w:rsidRPr="00A76DF3">
        <w:rPr>
          <w:rFonts w:asciiTheme="minorHAnsi" w:hAnsiTheme="minorHAnsi"/>
          <w:noProof/>
        </w:rPr>
        <w:t xml:space="preserve"> Criteria Application Summary</w:t>
      </w:r>
    </w:p>
    <w:p w:rsidR="003F3E5D" w:rsidRDefault="003F3E5D"/>
    <w:tbl>
      <w:tblPr>
        <w:tblStyle w:val="LightGrid-Accent6"/>
        <w:tblW w:w="0" w:type="auto"/>
        <w:tblInd w:w="368" w:type="dxa"/>
        <w:tblCellMar>
          <w:left w:w="72" w:type="dxa"/>
          <w:right w:w="72" w:type="dxa"/>
        </w:tblCellMar>
        <w:tblLook w:val="04A0"/>
      </w:tblPr>
      <w:tblGrid>
        <w:gridCol w:w="1054"/>
        <w:gridCol w:w="1703"/>
        <w:gridCol w:w="1332"/>
        <w:gridCol w:w="2925"/>
        <w:gridCol w:w="1485"/>
      </w:tblGrid>
      <w:tr w:rsidR="00085634" w:rsidRPr="007C66F9" w:rsidTr="00F1402D">
        <w:trPr>
          <w:cnfStyle w:val="100000000000"/>
          <w:trHeight w:val="288"/>
        </w:trPr>
        <w:tc>
          <w:tcPr>
            <w:cnfStyle w:val="001000000000"/>
            <w:tcW w:w="1054" w:type="dxa"/>
            <w:tcBorders>
              <w:bottom w:val="single" w:sz="8" w:space="0" w:color="70AD47" w:themeColor="accent6"/>
            </w:tcBorders>
            <w:shd w:val="clear" w:color="auto" w:fill="008272"/>
            <w:vAlign w:val="center"/>
          </w:tcPr>
          <w:p w:rsidR="003F3E5D" w:rsidRPr="00A76DF3" w:rsidRDefault="00085634">
            <w:pPr>
              <w:jc w:val="center"/>
              <w:rPr>
                <w:rFonts w:asciiTheme="minorHAnsi" w:eastAsiaTheme="minorEastAsia" w:hAnsiTheme="minorHAnsi"/>
                <w:b w:val="0"/>
                <w:bCs w:val="0"/>
                <w:color w:val="FFFFFF" w:themeColor="background1"/>
                <w:sz w:val="22"/>
                <w:szCs w:val="22"/>
                <w:lang w:eastAsia="ja-JP"/>
              </w:rPr>
            </w:pPr>
            <w:r w:rsidRPr="00A76DF3">
              <w:rPr>
                <w:rFonts w:asciiTheme="minorHAnsi" w:hAnsiTheme="minorHAnsi"/>
                <w:color w:val="FFFFFF" w:themeColor="background1"/>
              </w:rPr>
              <w:t>Criterion</w:t>
            </w:r>
          </w:p>
        </w:tc>
        <w:tc>
          <w:tcPr>
            <w:tcW w:w="1548" w:type="dxa"/>
            <w:tcBorders>
              <w:bottom w:val="single" w:sz="8" w:space="0" w:color="70AD47" w:themeColor="accent6"/>
            </w:tcBorders>
            <w:shd w:val="clear" w:color="auto" w:fill="008272"/>
            <w:vAlign w:val="center"/>
          </w:tcPr>
          <w:p w:rsidR="00F1402D" w:rsidRPr="00A76DF3" w:rsidRDefault="00085634" w:rsidP="00F1402D">
            <w:pPr>
              <w:jc w:val="center"/>
              <w:cnfStyle w:val="100000000000"/>
              <w:rPr>
                <w:rFonts w:asciiTheme="minorHAnsi" w:eastAsiaTheme="minorEastAsia" w:hAnsiTheme="minorHAnsi"/>
                <w:b w:val="0"/>
                <w:bCs w:val="0"/>
                <w:color w:val="FFFFFF" w:themeColor="background1"/>
                <w:sz w:val="22"/>
                <w:szCs w:val="22"/>
                <w:lang w:eastAsia="ja-JP"/>
              </w:rPr>
            </w:pPr>
            <w:r w:rsidRPr="00A76DF3">
              <w:rPr>
                <w:rFonts w:asciiTheme="minorHAnsi" w:hAnsiTheme="minorHAnsi"/>
                <w:color w:val="FFFFFF" w:themeColor="background1"/>
              </w:rPr>
              <w:t>Fish Presence?</w:t>
            </w:r>
            <w:r w:rsidR="00F1402D" w:rsidRPr="00A76DF3" w:rsidDel="00F1402D">
              <w:rPr>
                <w:rFonts w:asciiTheme="minorHAnsi" w:eastAsiaTheme="minorEastAsia" w:hAnsiTheme="minorHAnsi"/>
                <w:b w:val="0"/>
                <w:bCs w:val="0"/>
                <w:color w:val="FFFFFF" w:themeColor="background1"/>
                <w:sz w:val="22"/>
                <w:szCs w:val="22"/>
                <w:lang w:eastAsia="ja-JP"/>
              </w:rPr>
              <w:t xml:space="preserve"> </w:t>
            </w:r>
          </w:p>
        </w:tc>
        <w:tc>
          <w:tcPr>
            <w:tcW w:w="1332" w:type="dxa"/>
            <w:tcBorders>
              <w:bottom w:val="single" w:sz="8" w:space="0" w:color="70AD47" w:themeColor="accent6"/>
            </w:tcBorders>
            <w:shd w:val="clear" w:color="auto" w:fill="008272"/>
            <w:vAlign w:val="center"/>
          </w:tcPr>
          <w:p w:rsidR="003F3E5D" w:rsidRPr="00A76DF3" w:rsidRDefault="00085634">
            <w:pPr>
              <w:jc w:val="center"/>
              <w:cnfStyle w:val="100000000000"/>
              <w:rPr>
                <w:rFonts w:asciiTheme="minorHAnsi" w:eastAsiaTheme="minorEastAsia" w:hAnsiTheme="minorHAnsi"/>
                <w:b w:val="0"/>
                <w:bCs w:val="0"/>
                <w:color w:val="FFFFFF" w:themeColor="background1"/>
                <w:sz w:val="22"/>
                <w:szCs w:val="22"/>
                <w:lang w:eastAsia="ja-JP"/>
              </w:rPr>
            </w:pPr>
            <w:r w:rsidRPr="00A76DF3">
              <w:rPr>
                <w:rFonts w:asciiTheme="minorHAnsi" w:hAnsiTheme="minorHAnsi"/>
                <w:color w:val="FFFFFF" w:themeColor="background1"/>
              </w:rPr>
              <w:t>Duration</w:t>
            </w:r>
          </w:p>
        </w:tc>
        <w:tc>
          <w:tcPr>
            <w:tcW w:w="2925" w:type="dxa"/>
            <w:tcBorders>
              <w:bottom w:val="single" w:sz="8" w:space="0" w:color="70AD47" w:themeColor="accent6"/>
            </w:tcBorders>
            <w:shd w:val="clear" w:color="auto" w:fill="008272"/>
            <w:vAlign w:val="center"/>
          </w:tcPr>
          <w:p w:rsidR="003F3E5D" w:rsidRPr="00A76DF3" w:rsidRDefault="00085634">
            <w:pPr>
              <w:jc w:val="center"/>
              <w:cnfStyle w:val="100000000000"/>
              <w:rPr>
                <w:rFonts w:asciiTheme="minorHAnsi" w:eastAsiaTheme="minorEastAsia" w:hAnsiTheme="minorHAnsi"/>
                <w:b w:val="0"/>
                <w:bCs w:val="0"/>
                <w:color w:val="FFFFFF" w:themeColor="background1"/>
                <w:sz w:val="22"/>
                <w:szCs w:val="22"/>
                <w:lang w:eastAsia="ja-JP"/>
              </w:rPr>
            </w:pPr>
            <w:r w:rsidRPr="00A76DF3">
              <w:rPr>
                <w:rFonts w:asciiTheme="minorHAnsi" w:hAnsiTheme="minorHAnsi"/>
                <w:color w:val="FFFFFF" w:themeColor="background1"/>
              </w:rPr>
              <w:t>Frequency</w:t>
            </w:r>
          </w:p>
        </w:tc>
        <w:tc>
          <w:tcPr>
            <w:tcW w:w="1485" w:type="dxa"/>
            <w:tcBorders>
              <w:bottom w:val="single" w:sz="8" w:space="0" w:color="70AD47" w:themeColor="accent6"/>
            </w:tcBorders>
            <w:shd w:val="clear" w:color="auto" w:fill="008272"/>
            <w:vAlign w:val="center"/>
          </w:tcPr>
          <w:p w:rsidR="003F3E5D" w:rsidRPr="00A76DF3" w:rsidRDefault="00085634">
            <w:pPr>
              <w:jc w:val="center"/>
              <w:cnfStyle w:val="100000000000"/>
              <w:rPr>
                <w:rFonts w:asciiTheme="minorHAnsi" w:eastAsiaTheme="minorEastAsia" w:hAnsiTheme="minorHAnsi"/>
                <w:b w:val="0"/>
                <w:bCs w:val="0"/>
                <w:color w:val="FFFFFF" w:themeColor="background1"/>
                <w:sz w:val="22"/>
                <w:szCs w:val="22"/>
                <w:lang w:eastAsia="ja-JP"/>
              </w:rPr>
            </w:pPr>
            <w:r w:rsidRPr="00A76DF3">
              <w:rPr>
                <w:rFonts w:asciiTheme="minorHAnsi" w:hAnsiTheme="minorHAnsi"/>
                <w:color w:val="FFFFFF" w:themeColor="background1"/>
              </w:rPr>
              <w:t>Table</w:t>
            </w:r>
          </w:p>
          <w:p w:rsidR="003F3E5D" w:rsidRPr="00A76DF3" w:rsidRDefault="00085634">
            <w:pPr>
              <w:jc w:val="center"/>
              <w:cnfStyle w:val="100000000000"/>
              <w:rPr>
                <w:rFonts w:asciiTheme="minorHAnsi" w:eastAsiaTheme="minorEastAsia" w:hAnsiTheme="minorHAnsi"/>
                <w:b w:val="0"/>
                <w:bCs w:val="0"/>
                <w:color w:val="FFFFFF" w:themeColor="background1"/>
                <w:sz w:val="22"/>
                <w:szCs w:val="22"/>
                <w:lang w:eastAsia="ja-JP"/>
              </w:rPr>
            </w:pPr>
            <w:r w:rsidRPr="00A76DF3">
              <w:rPr>
                <w:rFonts w:asciiTheme="minorHAnsi" w:hAnsiTheme="minorHAnsi"/>
                <w:color w:val="FFFFFF" w:themeColor="background1"/>
              </w:rPr>
              <w:t>(App</w:t>
            </w:r>
            <w:r w:rsidR="00C61C94" w:rsidRPr="00A76DF3">
              <w:rPr>
                <w:rFonts w:asciiTheme="minorHAnsi" w:hAnsiTheme="minorHAnsi"/>
                <w:color w:val="FFFFFF" w:themeColor="background1"/>
              </w:rPr>
              <w:t>.</w:t>
            </w:r>
            <w:r w:rsidRPr="00A76DF3">
              <w:rPr>
                <w:rFonts w:asciiTheme="minorHAnsi" w:hAnsiTheme="minorHAnsi"/>
                <w:color w:val="FFFFFF" w:themeColor="background1"/>
              </w:rPr>
              <w:t xml:space="preserve"> D)</w:t>
            </w:r>
          </w:p>
          <w:p w:rsidR="003F3E5D" w:rsidRPr="00A76DF3" w:rsidRDefault="003F3E5D">
            <w:pPr>
              <w:jc w:val="center"/>
              <w:cnfStyle w:val="100000000000"/>
              <w:rPr>
                <w:rFonts w:asciiTheme="minorHAnsi" w:eastAsiaTheme="minorEastAsia" w:hAnsiTheme="minorHAnsi"/>
                <w:b w:val="0"/>
                <w:bCs w:val="0"/>
                <w:color w:val="FFFFFF" w:themeColor="background1"/>
                <w:sz w:val="22"/>
                <w:szCs w:val="22"/>
                <w:lang w:eastAsia="ja-JP"/>
              </w:rPr>
            </w:pPr>
          </w:p>
        </w:tc>
      </w:tr>
      <w:tr w:rsidR="00085634" w:rsidRPr="007C66F9" w:rsidTr="00F1402D">
        <w:trPr>
          <w:cnfStyle w:val="000000100000"/>
        </w:trPr>
        <w:tc>
          <w:tcPr>
            <w:cnfStyle w:val="001000000000"/>
            <w:tcW w:w="1054" w:type="dxa"/>
            <w:shd w:val="clear" w:color="auto" w:fill="FFFFFF" w:themeFill="background1"/>
          </w:tcPr>
          <w:p w:rsidR="00085634" w:rsidRPr="00A76DF3" w:rsidRDefault="00085634" w:rsidP="004D65A8">
            <w:pPr>
              <w:rPr>
                <w:rFonts w:asciiTheme="minorHAnsi" w:hAnsiTheme="minorHAnsi"/>
              </w:rPr>
            </w:pPr>
            <w:r w:rsidRPr="00A76DF3">
              <w:rPr>
                <w:rFonts w:asciiTheme="minorHAnsi" w:hAnsiTheme="minorHAnsi"/>
              </w:rPr>
              <w:t xml:space="preserve">Acute </w:t>
            </w:r>
          </w:p>
        </w:tc>
        <w:tc>
          <w:tcPr>
            <w:tcW w:w="1548" w:type="dxa"/>
            <w:shd w:val="clear" w:color="auto" w:fill="FFFFFF" w:themeFill="background1"/>
          </w:tcPr>
          <w:p w:rsidR="003F3E5D" w:rsidRPr="00A76DF3" w:rsidRDefault="00085634">
            <w:pPr>
              <w:cnfStyle w:val="000000100000"/>
              <w:rPr>
                <w:rFonts w:asciiTheme="minorHAnsi" w:eastAsiaTheme="minorEastAsia" w:hAnsiTheme="minorHAnsi"/>
                <w:sz w:val="22"/>
                <w:szCs w:val="22"/>
                <w:lang w:eastAsia="ja-JP"/>
              </w:rPr>
            </w:pPr>
            <w:r w:rsidRPr="00A76DF3">
              <w:rPr>
                <w:rFonts w:asciiTheme="minorHAnsi" w:hAnsiTheme="minorHAnsi"/>
              </w:rPr>
              <w:t>salmonids present</w:t>
            </w:r>
          </w:p>
        </w:tc>
        <w:tc>
          <w:tcPr>
            <w:tcW w:w="1332" w:type="dxa"/>
            <w:shd w:val="clear" w:color="auto" w:fill="FFFFFF" w:themeFill="background1"/>
          </w:tcPr>
          <w:p w:rsidR="003F3E5D" w:rsidRPr="00A76DF3" w:rsidRDefault="00085634">
            <w:pPr>
              <w:cnfStyle w:val="000000100000"/>
              <w:rPr>
                <w:rFonts w:asciiTheme="minorHAnsi" w:eastAsiaTheme="minorEastAsia" w:hAnsiTheme="minorHAnsi"/>
                <w:sz w:val="22"/>
                <w:szCs w:val="22"/>
                <w:lang w:eastAsia="ja-JP"/>
              </w:rPr>
            </w:pPr>
            <w:r w:rsidRPr="00A76DF3">
              <w:rPr>
                <w:rFonts w:asciiTheme="minorHAnsi" w:hAnsiTheme="minorHAnsi"/>
              </w:rPr>
              <w:t>1-hour</w:t>
            </w:r>
          </w:p>
        </w:tc>
        <w:tc>
          <w:tcPr>
            <w:tcW w:w="2925" w:type="dxa"/>
            <w:shd w:val="clear" w:color="auto" w:fill="FFFFFF" w:themeFill="background1"/>
          </w:tcPr>
          <w:p w:rsidR="00085634" w:rsidRPr="00A76DF3" w:rsidRDefault="00085634" w:rsidP="004D65A8">
            <w:pPr>
              <w:cnfStyle w:val="000000100000"/>
              <w:rPr>
                <w:rFonts w:asciiTheme="minorHAnsi" w:hAnsiTheme="minorHAnsi"/>
              </w:rPr>
            </w:pPr>
            <w:r w:rsidRPr="00A76DF3">
              <w:rPr>
                <w:rFonts w:asciiTheme="minorHAnsi" w:hAnsiTheme="minorHAnsi"/>
              </w:rPr>
              <w:t>not to be exceeded more than once every 3 years</w:t>
            </w:r>
          </w:p>
        </w:tc>
        <w:tc>
          <w:tcPr>
            <w:tcW w:w="1485" w:type="dxa"/>
            <w:shd w:val="clear" w:color="auto" w:fill="FFFFFF" w:themeFill="background1"/>
          </w:tcPr>
          <w:p w:rsidR="003F3E5D" w:rsidRPr="00A76DF3" w:rsidRDefault="00085634">
            <w:pPr>
              <w:cnfStyle w:val="000000100000"/>
              <w:rPr>
                <w:rFonts w:asciiTheme="minorHAnsi" w:eastAsiaTheme="minorEastAsia" w:hAnsiTheme="minorHAnsi"/>
                <w:sz w:val="22"/>
                <w:szCs w:val="22"/>
                <w:lang w:eastAsia="ja-JP"/>
              </w:rPr>
            </w:pPr>
            <w:r w:rsidRPr="00A76DF3">
              <w:rPr>
                <w:rFonts w:asciiTheme="minorHAnsi" w:hAnsiTheme="minorHAnsi"/>
              </w:rPr>
              <w:t>1</w:t>
            </w:r>
          </w:p>
        </w:tc>
      </w:tr>
      <w:tr w:rsidR="00085634" w:rsidRPr="007C66F9" w:rsidTr="00F1402D">
        <w:trPr>
          <w:cnfStyle w:val="000000010000"/>
        </w:trPr>
        <w:tc>
          <w:tcPr>
            <w:cnfStyle w:val="001000000000"/>
            <w:tcW w:w="1054" w:type="dxa"/>
          </w:tcPr>
          <w:p w:rsidR="00085634" w:rsidRPr="00A76DF3" w:rsidRDefault="00085634" w:rsidP="004D65A8">
            <w:pPr>
              <w:rPr>
                <w:rFonts w:asciiTheme="minorHAnsi" w:hAnsiTheme="minorHAnsi"/>
              </w:rPr>
            </w:pPr>
            <w:r w:rsidRPr="00A76DF3">
              <w:rPr>
                <w:rFonts w:asciiTheme="minorHAnsi" w:hAnsiTheme="minorHAnsi"/>
              </w:rPr>
              <w:t>Acute</w:t>
            </w:r>
          </w:p>
        </w:tc>
        <w:tc>
          <w:tcPr>
            <w:tcW w:w="1548" w:type="dxa"/>
          </w:tcPr>
          <w:p w:rsidR="003F3E5D" w:rsidRPr="00A76DF3" w:rsidRDefault="00085634">
            <w:pPr>
              <w:cnfStyle w:val="000000010000"/>
              <w:rPr>
                <w:rFonts w:asciiTheme="minorHAnsi" w:eastAsiaTheme="minorEastAsia" w:hAnsiTheme="minorHAnsi"/>
                <w:sz w:val="22"/>
                <w:szCs w:val="22"/>
                <w:lang w:eastAsia="ja-JP"/>
              </w:rPr>
            </w:pPr>
            <w:r w:rsidRPr="00A76DF3">
              <w:rPr>
                <w:rFonts w:asciiTheme="minorHAnsi" w:hAnsiTheme="minorHAnsi"/>
              </w:rPr>
              <w:t>salmonids absent</w:t>
            </w:r>
          </w:p>
        </w:tc>
        <w:tc>
          <w:tcPr>
            <w:tcW w:w="1332" w:type="dxa"/>
          </w:tcPr>
          <w:p w:rsidR="003F3E5D" w:rsidRPr="00A76DF3" w:rsidRDefault="00085634">
            <w:pPr>
              <w:cnfStyle w:val="000000010000"/>
              <w:rPr>
                <w:rFonts w:asciiTheme="minorHAnsi" w:eastAsiaTheme="minorEastAsia" w:hAnsiTheme="minorHAnsi"/>
                <w:sz w:val="22"/>
                <w:szCs w:val="22"/>
                <w:lang w:eastAsia="ja-JP"/>
              </w:rPr>
            </w:pPr>
            <w:r w:rsidRPr="00A76DF3">
              <w:rPr>
                <w:rFonts w:asciiTheme="minorHAnsi" w:hAnsiTheme="minorHAnsi"/>
              </w:rPr>
              <w:t>1-hour</w:t>
            </w:r>
          </w:p>
        </w:tc>
        <w:tc>
          <w:tcPr>
            <w:tcW w:w="2925" w:type="dxa"/>
          </w:tcPr>
          <w:p w:rsidR="00085634" w:rsidRPr="00A76DF3" w:rsidRDefault="00085634" w:rsidP="004D65A8">
            <w:pPr>
              <w:cnfStyle w:val="000000010000"/>
              <w:rPr>
                <w:rFonts w:asciiTheme="minorHAnsi" w:hAnsiTheme="minorHAnsi"/>
              </w:rPr>
            </w:pPr>
            <w:r w:rsidRPr="00A76DF3">
              <w:rPr>
                <w:rFonts w:asciiTheme="minorHAnsi" w:hAnsiTheme="minorHAnsi"/>
              </w:rPr>
              <w:t>not to be exceeded more than once every 3 years</w:t>
            </w:r>
          </w:p>
        </w:tc>
        <w:tc>
          <w:tcPr>
            <w:tcW w:w="1485" w:type="dxa"/>
          </w:tcPr>
          <w:p w:rsidR="003F3E5D" w:rsidRPr="00A76DF3" w:rsidRDefault="00085634">
            <w:pPr>
              <w:cnfStyle w:val="000000010000"/>
              <w:rPr>
                <w:rFonts w:asciiTheme="minorHAnsi" w:eastAsiaTheme="minorEastAsia" w:hAnsiTheme="minorHAnsi"/>
                <w:sz w:val="22"/>
                <w:szCs w:val="22"/>
                <w:lang w:eastAsia="ja-JP"/>
              </w:rPr>
            </w:pPr>
            <w:r w:rsidRPr="00A76DF3">
              <w:rPr>
                <w:rFonts w:asciiTheme="minorHAnsi" w:hAnsiTheme="minorHAnsi"/>
              </w:rPr>
              <w:t>2</w:t>
            </w:r>
          </w:p>
        </w:tc>
      </w:tr>
      <w:tr w:rsidR="00085634" w:rsidRPr="007C66F9" w:rsidTr="00F1402D">
        <w:trPr>
          <w:cnfStyle w:val="000000100000"/>
        </w:trPr>
        <w:tc>
          <w:tcPr>
            <w:cnfStyle w:val="001000000000"/>
            <w:tcW w:w="1054" w:type="dxa"/>
            <w:shd w:val="clear" w:color="auto" w:fill="E7E6E6" w:themeFill="background2"/>
          </w:tcPr>
          <w:p w:rsidR="00085634" w:rsidRPr="00A76DF3" w:rsidRDefault="00085634" w:rsidP="004D65A8">
            <w:pPr>
              <w:rPr>
                <w:rFonts w:asciiTheme="minorHAnsi" w:hAnsiTheme="minorHAnsi"/>
              </w:rPr>
            </w:pPr>
            <w:r w:rsidRPr="00A76DF3">
              <w:rPr>
                <w:rFonts w:asciiTheme="minorHAnsi" w:hAnsiTheme="minorHAnsi"/>
              </w:rPr>
              <w:t>Chronic</w:t>
            </w:r>
          </w:p>
        </w:tc>
        <w:tc>
          <w:tcPr>
            <w:tcW w:w="1548" w:type="dxa"/>
            <w:shd w:val="clear" w:color="auto" w:fill="E7E6E6" w:themeFill="background2"/>
          </w:tcPr>
          <w:p w:rsidR="003F3E5D" w:rsidRPr="00A76DF3" w:rsidRDefault="00A76DF3">
            <w:pPr>
              <w:cnfStyle w:val="000000100000"/>
              <w:rPr>
                <w:rFonts w:asciiTheme="minorHAnsi" w:eastAsiaTheme="minorEastAsia" w:hAnsiTheme="minorHAnsi"/>
                <w:sz w:val="22"/>
                <w:szCs w:val="22"/>
                <w:lang w:eastAsia="ja-JP"/>
              </w:rPr>
            </w:pPr>
            <w:r>
              <w:rPr>
                <w:rFonts w:asciiTheme="minorHAnsi" w:hAnsiTheme="minorHAnsi"/>
              </w:rPr>
              <w:t>salmonids</w:t>
            </w:r>
            <w:r w:rsidR="00907D03">
              <w:rPr>
                <w:rFonts w:asciiTheme="minorHAnsi" w:hAnsiTheme="minorHAnsi"/>
              </w:rPr>
              <w:t xml:space="preserve"> presence/absence or</w:t>
            </w:r>
            <w:r>
              <w:rPr>
                <w:rFonts w:asciiTheme="minorHAnsi" w:hAnsiTheme="minorHAnsi"/>
              </w:rPr>
              <w:t xml:space="preserve"> e</w:t>
            </w:r>
            <w:r w:rsidR="00085634" w:rsidRPr="00A76DF3">
              <w:rPr>
                <w:rFonts w:asciiTheme="minorHAnsi" w:hAnsiTheme="minorHAnsi"/>
              </w:rPr>
              <w:t xml:space="preserve">arly life stages of fish </w:t>
            </w:r>
            <w:r w:rsidR="00085634" w:rsidRPr="00A76DF3">
              <w:rPr>
                <w:rFonts w:asciiTheme="minorHAnsi" w:hAnsiTheme="minorHAnsi"/>
                <w:u w:val="single"/>
              </w:rPr>
              <w:t xml:space="preserve">not </w:t>
            </w:r>
            <w:r w:rsidR="00085634" w:rsidRPr="00A76DF3">
              <w:rPr>
                <w:rFonts w:asciiTheme="minorHAnsi" w:hAnsiTheme="minorHAnsi"/>
              </w:rPr>
              <w:t>applicable</w:t>
            </w:r>
          </w:p>
        </w:tc>
        <w:tc>
          <w:tcPr>
            <w:tcW w:w="1332" w:type="dxa"/>
            <w:shd w:val="clear" w:color="auto" w:fill="E7E6E6" w:themeFill="background2"/>
          </w:tcPr>
          <w:p w:rsidR="003F3E5D" w:rsidRPr="00A76DF3" w:rsidRDefault="00085634">
            <w:pPr>
              <w:cnfStyle w:val="000000100000"/>
              <w:rPr>
                <w:rFonts w:asciiTheme="minorHAnsi" w:eastAsiaTheme="minorEastAsia" w:hAnsiTheme="minorHAnsi"/>
                <w:sz w:val="22"/>
                <w:szCs w:val="22"/>
                <w:lang w:eastAsia="ja-JP"/>
              </w:rPr>
            </w:pPr>
            <w:r w:rsidRPr="00A76DF3">
              <w:rPr>
                <w:rFonts w:asciiTheme="minorHAnsi" w:hAnsiTheme="minorHAnsi"/>
              </w:rPr>
              <w:t>30-day rolling average*</w:t>
            </w:r>
          </w:p>
        </w:tc>
        <w:tc>
          <w:tcPr>
            <w:tcW w:w="2925" w:type="dxa"/>
            <w:shd w:val="clear" w:color="auto" w:fill="E7E6E6" w:themeFill="background2"/>
          </w:tcPr>
          <w:p w:rsidR="00085634" w:rsidRPr="00A76DF3" w:rsidRDefault="00085634" w:rsidP="004D65A8">
            <w:pPr>
              <w:cnfStyle w:val="000000100000"/>
              <w:rPr>
                <w:rFonts w:asciiTheme="minorHAnsi" w:hAnsiTheme="minorHAnsi"/>
              </w:rPr>
            </w:pPr>
            <w:r w:rsidRPr="00A76DF3">
              <w:rPr>
                <w:rFonts w:asciiTheme="minorHAnsi" w:hAnsiTheme="minorHAnsi"/>
              </w:rPr>
              <w:t>not to be exceeded more than once every 3 years</w:t>
            </w:r>
          </w:p>
        </w:tc>
        <w:tc>
          <w:tcPr>
            <w:tcW w:w="1485" w:type="dxa"/>
            <w:shd w:val="clear" w:color="auto" w:fill="E7E6E6" w:themeFill="background2"/>
          </w:tcPr>
          <w:p w:rsidR="003F3E5D" w:rsidRPr="00A76DF3" w:rsidRDefault="00085634">
            <w:pPr>
              <w:cnfStyle w:val="000000100000"/>
              <w:rPr>
                <w:rFonts w:asciiTheme="minorHAnsi" w:eastAsiaTheme="minorEastAsia" w:hAnsiTheme="minorHAnsi"/>
                <w:sz w:val="22"/>
                <w:szCs w:val="22"/>
                <w:lang w:eastAsia="ja-JP"/>
              </w:rPr>
            </w:pPr>
            <w:r w:rsidRPr="00A76DF3">
              <w:rPr>
                <w:rFonts w:asciiTheme="minorHAnsi" w:hAnsiTheme="minorHAnsi"/>
              </w:rPr>
              <w:t>3</w:t>
            </w:r>
          </w:p>
        </w:tc>
      </w:tr>
    </w:tbl>
    <w:p w:rsidR="003F3E5D" w:rsidRPr="00932A0F" w:rsidRDefault="003676FC" w:rsidP="00907D03">
      <w:pPr>
        <w:spacing w:before="120" w:line="240" w:lineRule="auto"/>
        <w:ind w:left="907" w:right="1627"/>
        <w:rPr>
          <w:sz w:val="20"/>
          <w:szCs w:val="20"/>
        </w:rPr>
      </w:pPr>
      <w:r w:rsidRPr="00932A0F">
        <w:rPr>
          <w:sz w:val="20"/>
          <w:szCs w:val="20"/>
        </w:rPr>
        <w:t>*Highest 4-day average within th</w:t>
      </w:r>
      <w:r w:rsidR="002E0C83">
        <w:rPr>
          <w:sz w:val="20"/>
          <w:szCs w:val="20"/>
        </w:rPr>
        <w:t>e 30-day averaging period must</w:t>
      </w:r>
      <w:r w:rsidRPr="00932A0F">
        <w:rPr>
          <w:sz w:val="20"/>
          <w:szCs w:val="20"/>
        </w:rPr>
        <w:t xml:space="preserve"> not be more than 2.5 times the chronic value</w:t>
      </w:r>
    </w:p>
    <w:p w:rsidR="00AB6DAC" w:rsidRPr="00907D03" w:rsidRDefault="007B6689" w:rsidP="00907D03">
      <w:pPr>
        <w:pStyle w:val="Heading2"/>
        <w:rPr>
          <w:rFonts w:asciiTheme="minorHAnsi" w:hAnsiTheme="minorHAnsi"/>
        </w:rPr>
      </w:pPr>
      <w:bookmarkStart w:id="10" w:name="_Toc395516153"/>
      <w:r w:rsidRPr="00907D03">
        <w:rPr>
          <w:rFonts w:asciiTheme="minorHAnsi" w:hAnsiTheme="minorHAnsi"/>
        </w:rPr>
        <w:t>II</w:t>
      </w:r>
      <w:r w:rsidR="007E5A61" w:rsidRPr="00907D03">
        <w:rPr>
          <w:rFonts w:asciiTheme="minorHAnsi" w:hAnsiTheme="minorHAnsi"/>
        </w:rPr>
        <w:t>I</w:t>
      </w:r>
      <w:r w:rsidRPr="00907D03">
        <w:rPr>
          <w:rFonts w:asciiTheme="minorHAnsi" w:hAnsiTheme="minorHAnsi"/>
        </w:rPr>
        <w:t>.B</w:t>
      </w:r>
      <w:r w:rsidR="006A2A5F" w:rsidRPr="00907D03">
        <w:rPr>
          <w:rFonts w:asciiTheme="minorHAnsi" w:hAnsiTheme="minorHAnsi"/>
        </w:rPr>
        <w:t>.</w:t>
      </w:r>
      <w:r w:rsidRPr="00907D03">
        <w:rPr>
          <w:rFonts w:asciiTheme="minorHAnsi" w:hAnsiTheme="minorHAnsi"/>
        </w:rPr>
        <w:t xml:space="preserve"> Effects to Freshwater Aquatic Life</w:t>
      </w:r>
      <w:bookmarkEnd w:id="10"/>
    </w:p>
    <w:p w:rsidR="003F3E5D" w:rsidRDefault="003F3CCE">
      <w:pPr>
        <w:spacing w:after="120" w:line="240" w:lineRule="auto"/>
      </w:pPr>
      <w:r>
        <w:t>Ammonia is a naturally occurring pollutant commonly found in waste products and fertilizers. Its presence can cause toxicity to aquatic life. Specific sources include:</w:t>
      </w:r>
    </w:p>
    <w:p w:rsidR="003F3E5D" w:rsidRDefault="003F3CCE">
      <w:pPr>
        <w:pStyle w:val="ListParagraph"/>
        <w:numPr>
          <w:ilvl w:val="0"/>
          <w:numId w:val="60"/>
        </w:numPr>
        <w:spacing w:after="120" w:line="240" w:lineRule="auto"/>
        <w:contextualSpacing w:val="0"/>
      </w:pPr>
      <w:r>
        <w:t>Municipal and industrial waste</w:t>
      </w:r>
    </w:p>
    <w:p w:rsidR="003F3E5D" w:rsidRDefault="003F3CCE">
      <w:pPr>
        <w:pStyle w:val="ListParagraph"/>
        <w:numPr>
          <w:ilvl w:val="0"/>
          <w:numId w:val="60"/>
        </w:numPr>
        <w:spacing w:after="120" w:line="240" w:lineRule="auto"/>
        <w:contextualSpacing w:val="0"/>
      </w:pPr>
      <w:r>
        <w:lastRenderedPageBreak/>
        <w:t>Septic system seepage</w:t>
      </w:r>
    </w:p>
    <w:p w:rsidR="003F3E5D" w:rsidRDefault="003F3CCE">
      <w:pPr>
        <w:pStyle w:val="ListParagraph"/>
        <w:numPr>
          <w:ilvl w:val="0"/>
          <w:numId w:val="60"/>
        </w:numPr>
        <w:spacing w:after="120" w:line="240" w:lineRule="auto"/>
        <w:contextualSpacing w:val="0"/>
      </w:pPr>
      <w:r>
        <w:t>Fertilizer runoff from agricultural and urban sources</w:t>
      </w:r>
    </w:p>
    <w:p w:rsidR="003F3E5D" w:rsidRDefault="003F3CCE">
      <w:pPr>
        <w:pStyle w:val="ListParagraph"/>
        <w:numPr>
          <w:ilvl w:val="0"/>
          <w:numId w:val="60"/>
        </w:numPr>
        <w:spacing w:after="120" w:line="240" w:lineRule="auto"/>
        <w:contextualSpacing w:val="0"/>
      </w:pPr>
      <w:r>
        <w:t>Manure application</w:t>
      </w:r>
    </w:p>
    <w:p w:rsidR="003F3E5D" w:rsidRDefault="003F3CCE">
      <w:pPr>
        <w:pStyle w:val="ListParagraph"/>
        <w:numPr>
          <w:ilvl w:val="0"/>
          <w:numId w:val="60"/>
        </w:numPr>
        <w:spacing w:after="120" w:line="240" w:lineRule="auto"/>
        <w:contextualSpacing w:val="0"/>
      </w:pPr>
      <w:r>
        <w:t>Concentrated animal feeding operations</w:t>
      </w:r>
    </w:p>
    <w:p w:rsidR="003F3E5D" w:rsidRDefault="003F3CCE">
      <w:pPr>
        <w:pStyle w:val="ListParagraph"/>
        <w:numPr>
          <w:ilvl w:val="0"/>
          <w:numId w:val="60"/>
        </w:numPr>
        <w:spacing w:after="120" w:line="240" w:lineRule="auto"/>
        <w:contextualSpacing w:val="0"/>
      </w:pPr>
      <w:r>
        <w:t>Aquaculture</w:t>
      </w:r>
    </w:p>
    <w:p w:rsidR="003F3E5D" w:rsidRDefault="003F3CCE">
      <w:pPr>
        <w:pStyle w:val="ListParagraph"/>
        <w:numPr>
          <w:ilvl w:val="0"/>
          <w:numId w:val="60"/>
        </w:numPr>
        <w:spacing w:after="120" w:line="240" w:lineRule="auto"/>
        <w:contextualSpacing w:val="0"/>
      </w:pPr>
      <w:r>
        <w:t>Landfill leachate</w:t>
      </w:r>
    </w:p>
    <w:p w:rsidR="003F3CCE" w:rsidRDefault="003F3CCE" w:rsidP="004D65A8"/>
    <w:p w:rsidR="007A445D" w:rsidRDefault="007A445D" w:rsidP="004D65A8">
      <w:r w:rsidRPr="007A445D">
        <w:t xml:space="preserve">EPA conducted literature reviews from 1985 through October 2012 </w:t>
      </w:r>
      <w:r>
        <w:t xml:space="preserve">on the </w:t>
      </w:r>
      <w:r w:rsidRPr="007A445D">
        <w:t xml:space="preserve">effects of ammonia to aquatic life. </w:t>
      </w:r>
      <w:r>
        <w:t>This search resulted i</w:t>
      </w:r>
      <w:r w:rsidR="00C61C94">
        <w:t>n a large</w:t>
      </w:r>
      <w:r w:rsidR="00F91F52">
        <w:t xml:space="preserve"> dataset </w:t>
      </w:r>
      <w:r w:rsidR="006A75FA">
        <w:t>that</w:t>
      </w:r>
      <w:r w:rsidR="00F91F52">
        <w:t xml:space="preserve"> met EPA’s</w:t>
      </w:r>
      <w:r>
        <w:t xml:space="preserve"> </w:t>
      </w:r>
      <w:r w:rsidRPr="007A445D">
        <w:t>1985 Guidelines minimum data r</w:t>
      </w:r>
      <w:r w:rsidR="00F91F52">
        <w:t xml:space="preserve">equirements for all eight taxa for </w:t>
      </w:r>
      <w:r w:rsidRPr="007A445D">
        <w:t>b</w:t>
      </w:r>
      <w:r w:rsidR="00F91F52">
        <w:t xml:space="preserve">oth acute and chronic datasets. </w:t>
      </w:r>
      <w:r w:rsidR="00D4680B">
        <w:t>For the acute dataset, the four most s</w:t>
      </w:r>
      <w:r w:rsidR="00327469">
        <w:t>ensitive species to ammonia are</w:t>
      </w:r>
      <w:r w:rsidR="00D4680B">
        <w:t xml:space="preserve"> </w:t>
      </w:r>
      <w:r w:rsidR="00327469">
        <w:t>mussels in the Unionidae family. There are</w:t>
      </w:r>
      <w:r w:rsidR="00D4680B">
        <w:t xml:space="preserve"> also several mussel species among the four most sensitive species in the chronic dataset.</w:t>
      </w:r>
      <w:r w:rsidR="004919AA">
        <w:t xml:space="preserve"> </w:t>
      </w:r>
      <w:r w:rsidR="00DD4EEB">
        <w:t>Table 3 below</w:t>
      </w:r>
      <w:r w:rsidR="00932A0F">
        <w:t xml:space="preserve"> is reproduced from EPA’s 2013 Criteria Document and </w:t>
      </w:r>
      <w:r w:rsidR="00DD4EEB">
        <w:t>describes</w:t>
      </w:r>
      <w:r w:rsidR="004919AA">
        <w:t xml:space="preserve"> the effects of ammonia</w:t>
      </w:r>
      <w:r w:rsidR="00C12E5B">
        <w:t xml:space="preserve"> on</w:t>
      </w:r>
      <w:r w:rsidR="004919AA">
        <w:t xml:space="preserve"> fish</w:t>
      </w:r>
      <w:r w:rsidR="00DD4EEB">
        <w:t>,</w:t>
      </w:r>
      <w:r w:rsidR="00932A0F">
        <w:t xml:space="preserve"> invertebrates and bivalves</w:t>
      </w:r>
      <w:r w:rsidR="00DD4EEB">
        <w:t>.</w:t>
      </w:r>
    </w:p>
    <w:p w:rsidR="003F3E5D" w:rsidRDefault="003F3E5D"/>
    <w:p w:rsidR="003F3E5D" w:rsidRPr="00907D03" w:rsidRDefault="004919AA">
      <w:pPr>
        <w:pStyle w:val="Caption"/>
        <w:spacing w:line="240" w:lineRule="auto"/>
        <w:rPr>
          <w:rFonts w:asciiTheme="minorHAnsi" w:hAnsiTheme="minorHAnsi"/>
        </w:rPr>
      </w:pPr>
      <w:r w:rsidRPr="00907D03">
        <w:rPr>
          <w:rFonts w:asciiTheme="minorHAnsi" w:hAnsiTheme="minorHAnsi"/>
        </w:rPr>
        <w:t xml:space="preserve">Table </w:t>
      </w:r>
      <w:r w:rsidR="00822E83" w:rsidRPr="00907D03">
        <w:rPr>
          <w:rFonts w:asciiTheme="minorHAnsi" w:hAnsiTheme="minorHAnsi"/>
        </w:rPr>
        <w:fldChar w:fldCharType="begin"/>
      </w:r>
      <w:r w:rsidR="0080765A" w:rsidRPr="00907D03">
        <w:rPr>
          <w:rFonts w:asciiTheme="minorHAnsi" w:hAnsiTheme="minorHAnsi"/>
        </w:rPr>
        <w:instrText xml:space="preserve"> SEQ Table \* ARABIC </w:instrText>
      </w:r>
      <w:r w:rsidR="00822E83" w:rsidRPr="00907D03">
        <w:rPr>
          <w:rFonts w:asciiTheme="minorHAnsi" w:hAnsiTheme="minorHAnsi"/>
        </w:rPr>
        <w:fldChar w:fldCharType="separate"/>
      </w:r>
      <w:r w:rsidR="000B1BBC" w:rsidRPr="00907D03">
        <w:rPr>
          <w:rFonts w:asciiTheme="minorHAnsi" w:hAnsiTheme="minorHAnsi"/>
          <w:noProof/>
        </w:rPr>
        <w:t>3</w:t>
      </w:r>
      <w:r w:rsidR="00822E83" w:rsidRPr="00907D03">
        <w:rPr>
          <w:rFonts w:asciiTheme="minorHAnsi" w:hAnsiTheme="minorHAnsi"/>
        </w:rPr>
        <w:fldChar w:fldCharType="end"/>
      </w:r>
      <w:r w:rsidR="00B503CC" w:rsidRPr="00907D03">
        <w:rPr>
          <w:rFonts w:asciiTheme="minorHAnsi" w:hAnsiTheme="minorHAnsi"/>
        </w:rPr>
        <w:t>: Effects of Ammonia on</w:t>
      </w:r>
      <w:r w:rsidRPr="00907D03">
        <w:rPr>
          <w:rFonts w:asciiTheme="minorHAnsi" w:hAnsiTheme="minorHAnsi"/>
        </w:rPr>
        <w:t xml:space="preserve"> Fish and Invertebrates</w:t>
      </w:r>
    </w:p>
    <w:p w:rsidR="003F3E5D" w:rsidRDefault="003F3E5D"/>
    <w:tbl>
      <w:tblPr>
        <w:tblStyle w:val="LightGrid-Accent6"/>
        <w:tblW w:w="8298" w:type="dxa"/>
        <w:tblInd w:w="720" w:type="dxa"/>
        <w:tblLook w:val="04A0"/>
      </w:tblPr>
      <w:tblGrid>
        <w:gridCol w:w="4158"/>
        <w:gridCol w:w="4140"/>
      </w:tblGrid>
      <w:tr w:rsidR="004919AA" w:rsidRPr="00B503CC" w:rsidTr="003D2D54">
        <w:trPr>
          <w:cnfStyle w:val="100000000000"/>
          <w:trHeight w:val="313"/>
        </w:trPr>
        <w:tc>
          <w:tcPr>
            <w:cnfStyle w:val="001000000000"/>
            <w:tcW w:w="4158" w:type="dxa"/>
            <w:tcBorders>
              <w:bottom w:val="single" w:sz="8" w:space="0" w:color="70AD47" w:themeColor="accent6"/>
            </w:tcBorders>
            <w:shd w:val="clear" w:color="auto" w:fill="008272"/>
            <w:vAlign w:val="center"/>
          </w:tcPr>
          <w:p w:rsidR="003F3E5D" w:rsidRPr="00907D03" w:rsidRDefault="0080765A">
            <w:pPr>
              <w:jc w:val="center"/>
              <w:rPr>
                <w:rFonts w:asciiTheme="minorHAnsi" w:eastAsiaTheme="minorEastAsia" w:hAnsiTheme="minorHAnsi" w:cs="Arial"/>
                <w:b w:val="0"/>
                <w:bCs w:val="0"/>
                <w:color w:val="FFFFFF" w:themeColor="background1"/>
                <w:sz w:val="22"/>
                <w:szCs w:val="22"/>
                <w:lang w:eastAsia="ja-JP"/>
              </w:rPr>
            </w:pPr>
            <w:r w:rsidRPr="00907D03">
              <w:rPr>
                <w:rFonts w:asciiTheme="minorHAnsi" w:hAnsiTheme="minorHAnsi" w:cs="Arial"/>
                <w:color w:val="FFFFFF" w:themeColor="background1"/>
              </w:rPr>
              <w:t>Fish</w:t>
            </w:r>
          </w:p>
        </w:tc>
        <w:tc>
          <w:tcPr>
            <w:tcW w:w="4140" w:type="dxa"/>
            <w:tcBorders>
              <w:bottom w:val="single" w:sz="8" w:space="0" w:color="70AD47" w:themeColor="accent6"/>
            </w:tcBorders>
            <w:shd w:val="clear" w:color="auto" w:fill="008272"/>
            <w:vAlign w:val="center"/>
          </w:tcPr>
          <w:p w:rsidR="003F3E5D" w:rsidRPr="00907D03" w:rsidRDefault="0080765A">
            <w:pPr>
              <w:jc w:val="center"/>
              <w:cnfStyle w:val="100000000000"/>
              <w:rPr>
                <w:rFonts w:asciiTheme="minorHAnsi" w:eastAsiaTheme="minorEastAsia" w:hAnsiTheme="minorHAnsi" w:cs="Arial"/>
                <w:b w:val="0"/>
                <w:bCs w:val="0"/>
                <w:color w:val="FFFFFF" w:themeColor="background1"/>
                <w:sz w:val="22"/>
                <w:szCs w:val="22"/>
                <w:lang w:eastAsia="ja-JP"/>
              </w:rPr>
            </w:pPr>
            <w:r w:rsidRPr="00907D03">
              <w:rPr>
                <w:rFonts w:asciiTheme="minorHAnsi" w:hAnsiTheme="minorHAnsi" w:cs="Arial"/>
                <w:color w:val="FFFFFF" w:themeColor="background1"/>
              </w:rPr>
              <w:t>Invertebrates and Bivalves</w:t>
            </w:r>
          </w:p>
        </w:tc>
      </w:tr>
      <w:tr w:rsidR="004919AA" w:rsidTr="003D2D54">
        <w:trPr>
          <w:cnfStyle w:val="000000100000"/>
          <w:trHeight w:val="844"/>
        </w:trPr>
        <w:tc>
          <w:tcPr>
            <w:cnfStyle w:val="001000000000"/>
            <w:tcW w:w="4158" w:type="dxa"/>
            <w:shd w:val="clear" w:color="auto" w:fill="E7E6E6" w:themeFill="background2"/>
          </w:tcPr>
          <w:p w:rsidR="003F3E5D" w:rsidRPr="00907D03" w:rsidRDefault="003D2D54">
            <w:pPr>
              <w:pStyle w:val="ListParagraph"/>
              <w:ind w:left="270"/>
              <w:rPr>
                <w:rFonts w:asciiTheme="minorHAnsi" w:eastAsiaTheme="minorEastAsia" w:hAnsiTheme="minorHAnsi"/>
                <w:b w:val="0"/>
                <w:bCs w:val="0"/>
                <w:sz w:val="22"/>
                <w:szCs w:val="22"/>
                <w:lang w:eastAsia="ja-JP"/>
              </w:rPr>
            </w:pPr>
            <w:r w:rsidRPr="00907D03">
              <w:rPr>
                <w:rFonts w:asciiTheme="minorHAnsi" w:hAnsiTheme="minorHAnsi"/>
                <w:b w:val="0"/>
              </w:rPr>
              <w:t xml:space="preserve">Proliferation </w:t>
            </w:r>
            <w:r w:rsidR="004919AA" w:rsidRPr="00907D03">
              <w:rPr>
                <w:rFonts w:asciiTheme="minorHAnsi" w:hAnsiTheme="minorHAnsi"/>
                <w:b w:val="0"/>
              </w:rPr>
              <w:t>in gill tissues, increased ventilation rates and damage to the gill epithelium</w:t>
            </w:r>
          </w:p>
        </w:tc>
        <w:tc>
          <w:tcPr>
            <w:tcW w:w="4140" w:type="dxa"/>
            <w:shd w:val="clear" w:color="auto" w:fill="E7E6E6" w:themeFill="background2"/>
          </w:tcPr>
          <w:p w:rsidR="003F3E5D" w:rsidRPr="00907D03" w:rsidRDefault="003D2D54">
            <w:pPr>
              <w:pStyle w:val="ListParagraph"/>
              <w:ind w:left="342"/>
              <w:cnfStyle w:val="000000100000"/>
              <w:rPr>
                <w:rFonts w:asciiTheme="minorHAnsi" w:eastAsiaTheme="minorEastAsia" w:hAnsiTheme="minorHAnsi"/>
                <w:sz w:val="22"/>
                <w:szCs w:val="22"/>
                <w:lang w:eastAsia="ja-JP"/>
              </w:rPr>
            </w:pPr>
            <w:r w:rsidRPr="00907D03">
              <w:rPr>
                <w:rFonts w:asciiTheme="minorHAnsi" w:hAnsiTheme="minorHAnsi"/>
              </w:rPr>
              <w:t xml:space="preserve">Reduced </w:t>
            </w:r>
            <w:r w:rsidR="004919AA" w:rsidRPr="00907D03">
              <w:rPr>
                <w:rFonts w:asciiTheme="minorHAnsi" w:hAnsiTheme="minorHAnsi"/>
              </w:rPr>
              <w:t>opening of valves for respiration and feeding</w:t>
            </w:r>
          </w:p>
        </w:tc>
      </w:tr>
      <w:tr w:rsidR="004919AA" w:rsidTr="003D2D54">
        <w:trPr>
          <w:cnfStyle w:val="000000010000"/>
          <w:trHeight w:val="610"/>
        </w:trPr>
        <w:tc>
          <w:tcPr>
            <w:cnfStyle w:val="001000000000"/>
            <w:tcW w:w="4158" w:type="dxa"/>
          </w:tcPr>
          <w:p w:rsidR="003F3E5D" w:rsidRPr="00907D03" w:rsidRDefault="003D2D54">
            <w:pPr>
              <w:pStyle w:val="ListParagraph"/>
              <w:ind w:left="270"/>
              <w:rPr>
                <w:rFonts w:asciiTheme="minorHAnsi" w:eastAsiaTheme="minorEastAsia" w:hAnsiTheme="minorHAnsi"/>
                <w:b w:val="0"/>
                <w:bCs w:val="0"/>
                <w:sz w:val="22"/>
                <w:szCs w:val="22"/>
                <w:lang w:eastAsia="ja-JP"/>
              </w:rPr>
            </w:pPr>
            <w:r w:rsidRPr="00907D03">
              <w:rPr>
                <w:rFonts w:asciiTheme="minorHAnsi" w:hAnsiTheme="minorHAnsi"/>
                <w:b w:val="0"/>
              </w:rPr>
              <w:t xml:space="preserve">Reduction </w:t>
            </w:r>
            <w:r w:rsidR="004919AA" w:rsidRPr="00907D03">
              <w:rPr>
                <w:rFonts w:asciiTheme="minorHAnsi" w:hAnsiTheme="minorHAnsi"/>
                <w:b w:val="0"/>
              </w:rPr>
              <w:t>in blood oxygen-carrying capacity due to progressive acidosis</w:t>
            </w:r>
          </w:p>
        </w:tc>
        <w:tc>
          <w:tcPr>
            <w:tcW w:w="4140" w:type="dxa"/>
          </w:tcPr>
          <w:p w:rsidR="003F3E5D" w:rsidRPr="00907D03" w:rsidRDefault="003D2D54">
            <w:pPr>
              <w:pStyle w:val="ListParagraph"/>
              <w:ind w:left="342"/>
              <w:cnfStyle w:val="000000010000"/>
              <w:rPr>
                <w:rFonts w:asciiTheme="minorHAnsi" w:eastAsiaTheme="minorEastAsia" w:hAnsiTheme="minorHAnsi"/>
                <w:sz w:val="22"/>
                <w:szCs w:val="22"/>
                <w:lang w:eastAsia="ja-JP"/>
              </w:rPr>
            </w:pPr>
            <w:r w:rsidRPr="00907D03">
              <w:rPr>
                <w:rFonts w:asciiTheme="minorHAnsi" w:hAnsiTheme="minorHAnsi"/>
              </w:rPr>
              <w:t>I</w:t>
            </w:r>
            <w:r w:rsidR="004919AA" w:rsidRPr="00907D03">
              <w:rPr>
                <w:rFonts w:asciiTheme="minorHAnsi" w:hAnsiTheme="minorHAnsi"/>
              </w:rPr>
              <w:t>mpaired secretion of the byssus, or anchoring threads in bivalves</w:t>
            </w:r>
          </w:p>
        </w:tc>
      </w:tr>
      <w:tr w:rsidR="004919AA" w:rsidTr="003D2D54">
        <w:trPr>
          <w:cnfStyle w:val="000000100000"/>
          <w:trHeight w:val="880"/>
        </w:trPr>
        <w:tc>
          <w:tcPr>
            <w:cnfStyle w:val="001000000000"/>
            <w:tcW w:w="4158" w:type="dxa"/>
            <w:shd w:val="clear" w:color="auto" w:fill="E7E6E6" w:themeFill="background2"/>
          </w:tcPr>
          <w:p w:rsidR="003F3E5D" w:rsidRPr="00907D03" w:rsidRDefault="003D2D54">
            <w:pPr>
              <w:pStyle w:val="ListParagraph"/>
              <w:ind w:left="270"/>
              <w:rPr>
                <w:rFonts w:asciiTheme="minorHAnsi" w:eastAsiaTheme="minorEastAsia" w:hAnsiTheme="minorHAnsi"/>
                <w:b w:val="0"/>
                <w:bCs w:val="0"/>
                <w:sz w:val="22"/>
                <w:szCs w:val="22"/>
                <w:lang w:eastAsia="ja-JP"/>
              </w:rPr>
            </w:pPr>
            <w:r w:rsidRPr="00907D03">
              <w:rPr>
                <w:rFonts w:asciiTheme="minorHAnsi" w:hAnsiTheme="minorHAnsi"/>
                <w:b w:val="0"/>
              </w:rPr>
              <w:t xml:space="preserve">Uncoupling </w:t>
            </w:r>
            <w:r w:rsidR="004919AA" w:rsidRPr="00907D03">
              <w:rPr>
                <w:rFonts w:asciiTheme="minorHAnsi" w:hAnsiTheme="minorHAnsi"/>
                <w:b w:val="0"/>
              </w:rPr>
              <w:t>oxidative phosphorylation causing inhibition of production and depletion of ATP in the brain</w:t>
            </w:r>
          </w:p>
        </w:tc>
        <w:tc>
          <w:tcPr>
            <w:tcW w:w="4140" w:type="dxa"/>
            <w:shd w:val="clear" w:color="auto" w:fill="E7E6E6" w:themeFill="background2"/>
          </w:tcPr>
          <w:p w:rsidR="003F3E5D" w:rsidRPr="00907D03" w:rsidRDefault="003D2D54">
            <w:pPr>
              <w:pStyle w:val="ListParagraph"/>
              <w:ind w:left="342"/>
              <w:cnfStyle w:val="000000100000"/>
              <w:rPr>
                <w:rFonts w:asciiTheme="minorHAnsi" w:eastAsiaTheme="minorEastAsia" w:hAnsiTheme="minorHAnsi"/>
                <w:sz w:val="22"/>
                <w:szCs w:val="22"/>
                <w:lang w:eastAsia="ja-JP"/>
              </w:rPr>
            </w:pPr>
            <w:r w:rsidRPr="00907D03">
              <w:rPr>
                <w:rFonts w:asciiTheme="minorHAnsi" w:hAnsiTheme="minorHAnsi"/>
              </w:rPr>
              <w:t xml:space="preserve">Reduced </w:t>
            </w:r>
            <w:r w:rsidR="004919AA" w:rsidRPr="00907D03">
              <w:rPr>
                <w:rFonts w:asciiTheme="minorHAnsi" w:hAnsiTheme="minorHAnsi"/>
              </w:rPr>
              <w:t>ciliary action in bivalves</w:t>
            </w:r>
          </w:p>
        </w:tc>
      </w:tr>
      <w:tr w:rsidR="004919AA" w:rsidTr="003D2D54">
        <w:trPr>
          <w:cnfStyle w:val="000000010000"/>
        </w:trPr>
        <w:tc>
          <w:tcPr>
            <w:cnfStyle w:val="001000000000"/>
            <w:tcW w:w="4158" w:type="dxa"/>
          </w:tcPr>
          <w:p w:rsidR="003F3E5D" w:rsidRPr="00907D03" w:rsidRDefault="003D2D54">
            <w:pPr>
              <w:pStyle w:val="ListParagraph"/>
              <w:ind w:left="270"/>
              <w:rPr>
                <w:rFonts w:asciiTheme="minorHAnsi" w:eastAsiaTheme="minorEastAsia" w:hAnsiTheme="minorHAnsi"/>
                <w:b w:val="0"/>
                <w:bCs w:val="0"/>
                <w:sz w:val="22"/>
                <w:szCs w:val="22"/>
                <w:lang w:eastAsia="ja-JP"/>
              </w:rPr>
            </w:pPr>
            <w:r w:rsidRPr="00907D03">
              <w:rPr>
                <w:rFonts w:asciiTheme="minorHAnsi" w:hAnsiTheme="minorHAnsi"/>
                <w:b w:val="0"/>
              </w:rPr>
              <w:t>D</w:t>
            </w:r>
            <w:r w:rsidR="004919AA" w:rsidRPr="00907D03">
              <w:rPr>
                <w:rFonts w:asciiTheme="minorHAnsi" w:hAnsiTheme="minorHAnsi"/>
                <w:b w:val="0"/>
              </w:rPr>
              <w:t>isruption of osmoregulatory and circulatory activity disrupting normal metabolic functioning of the liver and kidneys</w:t>
            </w:r>
          </w:p>
        </w:tc>
        <w:tc>
          <w:tcPr>
            <w:tcW w:w="4140" w:type="dxa"/>
          </w:tcPr>
          <w:p w:rsidR="003F3E5D" w:rsidRPr="00907D03" w:rsidRDefault="003D2D54">
            <w:pPr>
              <w:pStyle w:val="ListParagraph"/>
              <w:ind w:left="342"/>
              <w:cnfStyle w:val="000000010000"/>
              <w:rPr>
                <w:rFonts w:asciiTheme="minorHAnsi" w:eastAsiaTheme="minorEastAsia" w:hAnsiTheme="minorHAnsi"/>
                <w:sz w:val="22"/>
                <w:szCs w:val="22"/>
                <w:lang w:eastAsia="ja-JP"/>
              </w:rPr>
            </w:pPr>
            <w:r w:rsidRPr="00907D03">
              <w:rPr>
                <w:rFonts w:asciiTheme="minorHAnsi" w:hAnsiTheme="minorHAnsi"/>
              </w:rPr>
              <w:t xml:space="preserve">Depletion </w:t>
            </w:r>
            <w:r w:rsidR="004919AA" w:rsidRPr="00907D03">
              <w:rPr>
                <w:rFonts w:asciiTheme="minorHAnsi" w:hAnsiTheme="minorHAnsi"/>
              </w:rPr>
              <w:t>of lipid and carbohydrate stores leading to metabolic alteration, as well as mortality</w:t>
            </w:r>
          </w:p>
        </w:tc>
      </w:tr>
    </w:tbl>
    <w:p w:rsidR="003F3E5D" w:rsidRDefault="003F3E5D"/>
    <w:p w:rsidR="00DD4EEB" w:rsidRDefault="00DD4EEB" w:rsidP="00A20EB0"/>
    <w:p w:rsidR="003F3E5D" w:rsidRDefault="00533BC4" w:rsidP="00342720">
      <w:r>
        <w:t xml:space="preserve">The ammonia assessment was EPA’s first explicit analysis of </w:t>
      </w:r>
      <w:r w:rsidR="00932A0F">
        <w:t>ESA-</w:t>
      </w:r>
      <w:r>
        <w:t xml:space="preserve">listed species in a criteria document. </w:t>
      </w:r>
      <w:r w:rsidR="003D2D54">
        <w:t>The national dataset includes f</w:t>
      </w:r>
      <w:r>
        <w:t>ourteen threatened and endangered species</w:t>
      </w:r>
      <w:r w:rsidR="003D2D54">
        <w:t xml:space="preserve"> </w:t>
      </w:r>
      <w:r>
        <w:t xml:space="preserve">including five mussels. </w:t>
      </w:r>
      <w:r w:rsidR="003D398C">
        <w:t>EPA’s</w:t>
      </w:r>
      <w:r w:rsidR="003D2D54">
        <w:t xml:space="preserve"> analysis did not identify any </w:t>
      </w:r>
      <w:r w:rsidR="000362FE">
        <w:t xml:space="preserve">of the listed species </w:t>
      </w:r>
      <w:r w:rsidR="003D2D54">
        <w:t xml:space="preserve">as </w:t>
      </w:r>
      <w:r w:rsidR="000362FE">
        <w:t xml:space="preserve">the most sensitive species. </w:t>
      </w:r>
      <w:r>
        <w:t>However, the inclusion of listed species in deriving nationally recommended criteria does not remove ESA consultation requirements</w:t>
      </w:r>
      <w:r w:rsidR="00977C97">
        <w:t xml:space="preserve"> when</w:t>
      </w:r>
      <w:r>
        <w:t xml:space="preserve"> </w:t>
      </w:r>
      <w:r w:rsidR="00977C97">
        <w:t xml:space="preserve">a </w:t>
      </w:r>
      <w:r>
        <w:t>state submit</w:t>
      </w:r>
      <w:r w:rsidR="00977C97">
        <w:t xml:space="preserve">s its </w:t>
      </w:r>
      <w:r>
        <w:t>revised water quality standards to EPA for approval.</w:t>
      </w:r>
    </w:p>
    <w:p w:rsidR="005D02BC" w:rsidRPr="00977C97" w:rsidRDefault="00227440" w:rsidP="004D65A8">
      <w:pPr>
        <w:pStyle w:val="Heading2"/>
        <w:rPr>
          <w:rFonts w:asciiTheme="minorHAnsi" w:hAnsiTheme="minorHAnsi"/>
        </w:rPr>
      </w:pPr>
      <w:bookmarkStart w:id="11" w:name="_Toc395516154"/>
      <w:r w:rsidRPr="00977C97">
        <w:rPr>
          <w:rFonts w:asciiTheme="minorHAnsi" w:hAnsiTheme="minorHAnsi"/>
        </w:rPr>
        <w:lastRenderedPageBreak/>
        <w:t>II</w:t>
      </w:r>
      <w:r w:rsidR="003F3CCE" w:rsidRPr="00977C97">
        <w:rPr>
          <w:rFonts w:asciiTheme="minorHAnsi" w:hAnsiTheme="minorHAnsi"/>
        </w:rPr>
        <w:t>I</w:t>
      </w:r>
      <w:r w:rsidRPr="00977C97">
        <w:rPr>
          <w:rFonts w:asciiTheme="minorHAnsi" w:hAnsiTheme="minorHAnsi"/>
        </w:rPr>
        <w:t>.C</w:t>
      </w:r>
      <w:r w:rsidR="006A2A5F" w:rsidRPr="00977C97">
        <w:rPr>
          <w:rFonts w:asciiTheme="minorHAnsi" w:hAnsiTheme="minorHAnsi"/>
        </w:rPr>
        <w:t>.</w:t>
      </w:r>
      <w:r w:rsidRPr="00977C97">
        <w:rPr>
          <w:rFonts w:asciiTheme="minorHAnsi" w:hAnsiTheme="minorHAnsi"/>
        </w:rPr>
        <w:t xml:space="preserve"> </w:t>
      </w:r>
      <w:r w:rsidR="005D02BC" w:rsidRPr="00977C97">
        <w:rPr>
          <w:rFonts w:asciiTheme="minorHAnsi" w:hAnsiTheme="minorHAnsi"/>
        </w:rPr>
        <w:t>Mussel and Snail Presence in Oregon</w:t>
      </w:r>
      <w:bookmarkEnd w:id="11"/>
    </w:p>
    <w:p w:rsidR="009F7744" w:rsidRDefault="00C12E5B" w:rsidP="004D65A8">
      <w:r>
        <w:t xml:space="preserve">Mussels and snails are important to food webs, water quality, nutrient cycling and habitat quality in freshwater systems. </w:t>
      </w:r>
      <w:r w:rsidR="00327469">
        <w:t xml:space="preserve">According to </w:t>
      </w:r>
      <w:r w:rsidR="00327469" w:rsidRPr="00327469">
        <w:rPr>
          <w:i/>
        </w:rPr>
        <w:t xml:space="preserve">Freshwater Mussels of the Pacific </w:t>
      </w:r>
      <w:r w:rsidR="009B754E" w:rsidRPr="00327469">
        <w:rPr>
          <w:i/>
        </w:rPr>
        <w:t>Northwest,</w:t>
      </w:r>
      <w:r w:rsidR="00327469">
        <w:rPr>
          <w:rStyle w:val="FootnoteReference"/>
          <w:rFonts w:asciiTheme="majorHAnsi" w:hAnsiTheme="majorHAnsi"/>
          <w:i/>
        </w:rPr>
        <w:footnoteReference w:id="11"/>
      </w:r>
      <w:r w:rsidR="00327469">
        <w:t xml:space="preserve"> f</w:t>
      </w:r>
      <w:r w:rsidR="00976C9A" w:rsidRPr="00485AAC">
        <w:t xml:space="preserve">reshwater mussels are one of the most endangered groups of animals on Earth. Of the nearly 300 North American species, 35 have gone extinct </w:t>
      </w:r>
      <w:r w:rsidR="00977C97">
        <w:t>in the last 100 years.</w:t>
      </w:r>
      <w:r w:rsidR="00EC70CC">
        <w:t xml:space="preserve"> </w:t>
      </w:r>
      <w:r w:rsidR="00A20EB0">
        <w:t xml:space="preserve">ESA </w:t>
      </w:r>
      <w:r w:rsidR="00977C97">
        <w:t xml:space="preserve">also </w:t>
      </w:r>
      <w:r w:rsidR="00A20EB0">
        <w:t xml:space="preserve">lists </w:t>
      </w:r>
      <w:r w:rsidR="00EC70CC">
        <w:t>n</w:t>
      </w:r>
      <w:r w:rsidR="00976C9A" w:rsidRPr="00485AAC">
        <w:t>early 25 percent as endange</w:t>
      </w:r>
      <w:r w:rsidR="00F45AFD">
        <w:t>red or threatened</w:t>
      </w:r>
      <w:r w:rsidR="00976C9A" w:rsidRPr="00485AAC">
        <w:t xml:space="preserve"> and </w:t>
      </w:r>
      <w:r w:rsidR="00A20EB0">
        <w:t xml:space="preserve">individual states list </w:t>
      </w:r>
      <w:r w:rsidR="00976C9A" w:rsidRPr="00485AAC">
        <w:t>75 percent as endangered, threatened or of special concern.</w:t>
      </w:r>
      <w:r w:rsidR="00C61C94">
        <w:t xml:space="preserve"> </w:t>
      </w:r>
      <w:r w:rsidR="00D244B3">
        <w:t>T</w:t>
      </w:r>
      <w:r w:rsidR="004162B4">
        <w:t xml:space="preserve">he western part of the U.S. </w:t>
      </w:r>
      <w:r w:rsidR="004162B4" w:rsidRPr="00485AAC">
        <w:t>has a very low diversity compared to the 290 species that occur in the eastern two-thirds of North America</w:t>
      </w:r>
      <w:r w:rsidR="00D244B3">
        <w:t xml:space="preserve">. </w:t>
      </w:r>
    </w:p>
    <w:p w:rsidR="00A20EB0" w:rsidRDefault="00A20EB0" w:rsidP="004D65A8"/>
    <w:p w:rsidR="003F3E5D" w:rsidRDefault="00D244B3">
      <w:r>
        <w:t xml:space="preserve">Xerces Society </w:t>
      </w:r>
      <w:r w:rsidR="00A20EB0">
        <w:t>data</w:t>
      </w:r>
      <w:r w:rsidR="00C61C94">
        <w:rPr>
          <w:rStyle w:val="FootnoteReference"/>
          <w:rFonts w:asciiTheme="majorHAnsi" w:hAnsiTheme="majorHAnsi"/>
        </w:rPr>
        <w:footnoteReference w:id="12"/>
      </w:r>
      <w:r w:rsidR="00C61C94">
        <w:t xml:space="preserve"> </w:t>
      </w:r>
      <w:r w:rsidR="00925C20">
        <w:t>indicate</w:t>
      </w:r>
      <w:r w:rsidR="00561DCF">
        <w:t>s</w:t>
      </w:r>
      <w:r>
        <w:t xml:space="preserve"> </w:t>
      </w:r>
      <w:r w:rsidR="00561DCF">
        <w:t>there are</w:t>
      </w:r>
      <w:r>
        <w:t xml:space="preserve"> six species of mussels</w:t>
      </w:r>
      <w:r w:rsidR="00565B91">
        <w:t xml:space="preserve"> </w:t>
      </w:r>
      <w:r w:rsidR="00561DCF">
        <w:t xml:space="preserve">in Oregon </w:t>
      </w:r>
      <w:r w:rsidR="00244E5D">
        <w:t xml:space="preserve">and </w:t>
      </w:r>
      <w:r w:rsidR="00565B91">
        <w:t>DEQ data sources ind</w:t>
      </w:r>
      <w:r w:rsidR="00977C97">
        <w:t>icate there are approximately 16</w:t>
      </w:r>
      <w:r w:rsidR="00565B91">
        <w:t xml:space="preserve"> species </w:t>
      </w:r>
      <w:r w:rsidR="00D84C67">
        <w:t xml:space="preserve">or taxa </w:t>
      </w:r>
      <w:r w:rsidR="00565B91">
        <w:t>of snails in Oregon</w:t>
      </w:r>
      <w:r w:rsidR="00561DCF">
        <w:t>.</w:t>
      </w:r>
      <w:r w:rsidR="00565B91">
        <w:t xml:space="preserve"> Table 4</w:t>
      </w:r>
      <w:r w:rsidR="00561DCF">
        <w:t xml:space="preserve"> below lists these species</w:t>
      </w:r>
      <w:r>
        <w:t>.</w:t>
      </w:r>
      <w:r w:rsidR="00561DCF">
        <w:t xml:space="preserve"> Currently, ESA does not </w:t>
      </w:r>
      <w:r w:rsidR="00EC70CC">
        <w:t xml:space="preserve">list </w:t>
      </w:r>
      <w:r w:rsidR="00561DCF">
        <w:t>any of these species</w:t>
      </w:r>
      <w:r w:rsidR="00244E5D">
        <w:t xml:space="preserve"> as threatened or endangered</w:t>
      </w:r>
      <w:r w:rsidR="004162B4">
        <w:t>.</w:t>
      </w:r>
    </w:p>
    <w:p w:rsidR="003F3E5D" w:rsidRDefault="003F3E5D"/>
    <w:p w:rsidR="00ED52FB" w:rsidRPr="00977C97" w:rsidRDefault="006A75FA" w:rsidP="006A75FA">
      <w:pPr>
        <w:pStyle w:val="Caption"/>
        <w:tabs>
          <w:tab w:val="center" w:pos="3870"/>
        </w:tabs>
        <w:spacing w:line="240" w:lineRule="auto"/>
        <w:jc w:val="left"/>
        <w:rPr>
          <w:rFonts w:asciiTheme="minorHAnsi" w:hAnsiTheme="minorHAnsi"/>
        </w:rPr>
      </w:pPr>
      <w:r>
        <w:tab/>
      </w:r>
      <w:r w:rsidR="00CC71BB" w:rsidRPr="00977C97">
        <w:rPr>
          <w:rFonts w:asciiTheme="minorHAnsi" w:hAnsiTheme="minorHAnsi"/>
        </w:rPr>
        <w:t xml:space="preserve">Table </w:t>
      </w:r>
      <w:r w:rsidR="00822E83" w:rsidRPr="00977C97">
        <w:rPr>
          <w:rFonts w:asciiTheme="minorHAnsi" w:hAnsiTheme="minorHAnsi"/>
        </w:rPr>
        <w:fldChar w:fldCharType="begin"/>
      </w:r>
      <w:r w:rsidR="0080765A" w:rsidRPr="00977C97">
        <w:rPr>
          <w:rFonts w:asciiTheme="minorHAnsi" w:hAnsiTheme="minorHAnsi"/>
        </w:rPr>
        <w:instrText xml:space="preserve"> SEQ Table \* ARABIC </w:instrText>
      </w:r>
      <w:r w:rsidR="00822E83" w:rsidRPr="00977C97">
        <w:rPr>
          <w:rFonts w:asciiTheme="minorHAnsi" w:hAnsiTheme="minorHAnsi"/>
        </w:rPr>
        <w:fldChar w:fldCharType="separate"/>
      </w:r>
      <w:r w:rsidR="000B1BBC" w:rsidRPr="00977C97">
        <w:rPr>
          <w:rFonts w:asciiTheme="minorHAnsi" w:hAnsiTheme="minorHAnsi"/>
          <w:noProof/>
        </w:rPr>
        <w:t>4</w:t>
      </w:r>
      <w:r w:rsidR="00822E83" w:rsidRPr="00977C97">
        <w:rPr>
          <w:rFonts w:asciiTheme="minorHAnsi" w:hAnsiTheme="minorHAnsi"/>
        </w:rPr>
        <w:fldChar w:fldCharType="end"/>
      </w:r>
      <w:r w:rsidR="00CC71BB" w:rsidRPr="00977C97">
        <w:rPr>
          <w:rFonts w:asciiTheme="minorHAnsi" w:hAnsiTheme="minorHAnsi"/>
        </w:rPr>
        <w:t>: Mussel and snail species present in Oregon</w:t>
      </w:r>
    </w:p>
    <w:p w:rsidR="006A75FA" w:rsidRPr="00977C97" w:rsidRDefault="006A75FA" w:rsidP="006A75FA">
      <w:pPr>
        <w:rPr>
          <w:lang w:eastAsia="en-US"/>
        </w:rPr>
      </w:pPr>
    </w:p>
    <w:tbl>
      <w:tblPr>
        <w:tblStyle w:val="LightGrid-Accent6"/>
        <w:tblW w:w="0" w:type="auto"/>
        <w:tblInd w:w="108" w:type="dxa"/>
        <w:tblLook w:val="04A0"/>
      </w:tblPr>
      <w:tblGrid>
        <w:gridCol w:w="4770"/>
        <w:gridCol w:w="4050"/>
      </w:tblGrid>
      <w:tr w:rsidR="00685A21" w:rsidRPr="00977C97" w:rsidTr="006A75FA">
        <w:trPr>
          <w:cnfStyle w:val="100000000000"/>
          <w:trHeight w:val="394"/>
        </w:trPr>
        <w:tc>
          <w:tcPr>
            <w:cnfStyle w:val="001000000000"/>
            <w:tcW w:w="4770" w:type="dxa"/>
            <w:tcBorders>
              <w:bottom w:val="single" w:sz="8" w:space="0" w:color="70AD47" w:themeColor="accent6"/>
            </w:tcBorders>
            <w:shd w:val="clear" w:color="auto" w:fill="008272"/>
            <w:vAlign w:val="center"/>
          </w:tcPr>
          <w:p w:rsidR="00685A21" w:rsidRPr="00977C97" w:rsidRDefault="00685A21" w:rsidP="00745C92">
            <w:pPr>
              <w:ind w:left="180"/>
              <w:rPr>
                <w:rFonts w:asciiTheme="minorHAnsi" w:hAnsiTheme="minorHAnsi" w:cs="Arial"/>
                <w:color w:val="FFFFFF" w:themeColor="background1"/>
                <w:sz w:val="22"/>
                <w:szCs w:val="22"/>
              </w:rPr>
            </w:pPr>
            <w:r w:rsidRPr="00977C97">
              <w:rPr>
                <w:rFonts w:asciiTheme="minorHAnsi" w:hAnsiTheme="minorHAnsi" w:cs="Arial"/>
                <w:color w:val="FFFFFF" w:themeColor="background1"/>
                <w:sz w:val="22"/>
                <w:szCs w:val="22"/>
              </w:rPr>
              <w:t>Mussels</w:t>
            </w:r>
          </w:p>
        </w:tc>
        <w:tc>
          <w:tcPr>
            <w:tcW w:w="4050" w:type="dxa"/>
            <w:tcBorders>
              <w:bottom w:val="single" w:sz="8" w:space="0" w:color="70AD47" w:themeColor="accent6"/>
            </w:tcBorders>
            <w:shd w:val="clear" w:color="auto" w:fill="008272"/>
            <w:vAlign w:val="center"/>
          </w:tcPr>
          <w:p w:rsidR="00685A21" w:rsidRPr="00977C97" w:rsidRDefault="00685A21" w:rsidP="00745C92">
            <w:pPr>
              <w:ind w:left="252"/>
              <w:cnfStyle w:val="100000000000"/>
              <w:rPr>
                <w:rFonts w:asciiTheme="minorHAnsi" w:hAnsiTheme="minorHAnsi" w:cs="Arial"/>
                <w:color w:val="FFFFFF" w:themeColor="background1"/>
                <w:sz w:val="22"/>
                <w:szCs w:val="22"/>
              </w:rPr>
            </w:pPr>
            <w:r w:rsidRPr="00977C97">
              <w:rPr>
                <w:rFonts w:asciiTheme="minorHAnsi" w:hAnsiTheme="minorHAnsi" w:cs="Arial"/>
                <w:color w:val="FFFFFF" w:themeColor="background1"/>
                <w:sz w:val="22"/>
                <w:szCs w:val="22"/>
              </w:rPr>
              <w:t>Snails</w:t>
            </w:r>
          </w:p>
        </w:tc>
      </w:tr>
      <w:tr w:rsidR="00685A21" w:rsidRPr="00977C97" w:rsidTr="006A75FA">
        <w:trPr>
          <w:cnfStyle w:val="000000100000"/>
        </w:trPr>
        <w:tc>
          <w:tcPr>
            <w:cnfStyle w:val="001000000000"/>
            <w:tcW w:w="4770" w:type="dxa"/>
            <w:shd w:val="clear" w:color="auto" w:fill="E7E6E6" w:themeFill="background2"/>
          </w:tcPr>
          <w:p w:rsidR="00685A21" w:rsidRPr="00977C97" w:rsidRDefault="006A75FA" w:rsidP="006A75FA">
            <w:pPr>
              <w:tabs>
                <w:tab w:val="right" w:pos="270"/>
                <w:tab w:val="left" w:pos="450"/>
              </w:tabs>
              <w:rPr>
                <w:rFonts w:asciiTheme="minorHAnsi" w:hAnsiTheme="minorHAnsi" w:cs="Times New Roman"/>
                <w:b w:val="0"/>
                <w:sz w:val="22"/>
                <w:szCs w:val="22"/>
              </w:rPr>
            </w:pPr>
            <w:r w:rsidRPr="00977C97">
              <w:rPr>
                <w:rFonts w:asciiTheme="minorHAnsi" w:hAnsiTheme="minorHAnsi" w:cs="Times New Roman"/>
                <w:b w:val="0"/>
                <w:sz w:val="22"/>
                <w:szCs w:val="22"/>
              </w:rPr>
              <w:tab/>
            </w:r>
            <w:r w:rsidR="00685A21" w:rsidRPr="00977C97">
              <w:rPr>
                <w:rFonts w:asciiTheme="minorHAnsi" w:hAnsiTheme="minorHAnsi" w:cs="Times New Roman"/>
                <w:b w:val="0"/>
                <w:sz w:val="22"/>
                <w:szCs w:val="22"/>
              </w:rPr>
              <w:t>1</w:t>
            </w:r>
            <w:r w:rsidR="00977C97" w:rsidRPr="00977C97">
              <w:rPr>
                <w:rFonts w:asciiTheme="minorHAnsi" w:hAnsiTheme="minorHAnsi" w:cs="Times New Roman"/>
                <w:b w:val="0"/>
                <w:sz w:val="22"/>
                <w:szCs w:val="22"/>
              </w:rPr>
              <w:t>.</w:t>
            </w:r>
            <w:r w:rsidRPr="00977C97">
              <w:rPr>
                <w:rFonts w:asciiTheme="minorHAnsi" w:hAnsiTheme="minorHAnsi" w:cs="Times New Roman"/>
                <w:b w:val="0"/>
                <w:sz w:val="22"/>
                <w:szCs w:val="22"/>
              </w:rPr>
              <w:tab/>
            </w:r>
            <w:r w:rsidR="00685A21" w:rsidRPr="00977C97">
              <w:rPr>
                <w:rFonts w:asciiTheme="minorHAnsi" w:hAnsiTheme="minorHAnsi" w:cs="Times New Roman"/>
                <w:b w:val="0"/>
                <w:i/>
                <w:sz w:val="22"/>
                <w:szCs w:val="22"/>
              </w:rPr>
              <w:t>Anodonta kennerlyi</w:t>
            </w:r>
            <w:r w:rsidR="00685A21" w:rsidRPr="00977C97">
              <w:rPr>
                <w:rFonts w:asciiTheme="minorHAnsi" w:hAnsiTheme="minorHAnsi" w:cs="Times New Roman"/>
                <w:b w:val="0"/>
                <w:sz w:val="22"/>
                <w:szCs w:val="22"/>
              </w:rPr>
              <w:t xml:space="preserve"> (Western Floater)</w:t>
            </w:r>
          </w:p>
        </w:tc>
        <w:tc>
          <w:tcPr>
            <w:tcW w:w="4050" w:type="dxa"/>
            <w:shd w:val="clear" w:color="auto" w:fill="E7E6E6" w:themeFill="background2"/>
          </w:tcPr>
          <w:p w:rsidR="00685A21" w:rsidRPr="00977C97" w:rsidRDefault="00685A21" w:rsidP="006A75FA">
            <w:pPr>
              <w:tabs>
                <w:tab w:val="right" w:pos="252"/>
                <w:tab w:val="left" w:pos="432"/>
              </w:tabs>
              <w:cnfStyle w:val="000000100000"/>
              <w:rPr>
                <w:rFonts w:asciiTheme="minorHAnsi" w:hAnsiTheme="minorHAnsi" w:cs="Times New Roman"/>
                <w:sz w:val="22"/>
                <w:szCs w:val="22"/>
              </w:rPr>
            </w:pPr>
            <w:r w:rsidRPr="00977C97">
              <w:rPr>
                <w:rFonts w:asciiTheme="minorHAnsi" w:hAnsiTheme="minorHAnsi" w:cs="Times New Roman"/>
                <w:sz w:val="22"/>
                <w:szCs w:val="22"/>
              </w:rPr>
              <w:tab/>
              <w:t>1</w:t>
            </w:r>
            <w:r w:rsidR="00977C97" w:rsidRPr="00977C97">
              <w:rPr>
                <w:rFonts w:asciiTheme="minorHAnsi" w:hAnsiTheme="minorHAnsi" w:cs="Times New Roman"/>
                <w:sz w:val="22"/>
                <w:szCs w:val="22"/>
              </w:rPr>
              <w:t>.</w:t>
            </w:r>
            <w:r w:rsidRPr="00977C97">
              <w:rPr>
                <w:rFonts w:asciiTheme="minorHAnsi" w:hAnsiTheme="minorHAnsi" w:cs="Times New Roman"/>
                <w:sz w:val="22"/>
                <w:szCs w:val="22"/>
              </w:rPr>
              <w:t xml:space="preserve"> </w:t>
            </w:r>
            <w:r w:rsidRPr="00977C97">
              <w:rPr>
                <w:rFonts w:asciiTheme="minorHAnsi" w:hAnsiTheme="minorHAnsi" w:cs="Times New Roman"/>
                <w:sz w:val="22"/>
                <w:szCs w:val="22"/>
              </w:rPr>
              <w:tab/>
              <w:t xml:space="preserve">Juga </w:t>
            </w:r>
          </w:p>
        </w:tc>
      </w:tr>
      <w:tr w:rsidR="00685A21" w:rsidRPr="00977C97" w:rsidTr="006A75FA">
        <w:trPr>
          <w:cnfStyle w:val="000000010000"/>
        </w:trPr>
        <w:tc>
          <w:tcPr>
            <w:cnfStyle w:val="001000000000"/>
            <w:tcW w:w="4770" w:type="dxa"/>
          </w:tcPr>
          <w:p w:rsidR="00685A21" w:rsidRPr="00977C97" w:rsidRDefault="006A75FA" w:rsidP="006A75FA">
            <w:pPr>
              <w:tabs>
                <w:tab w:val="right" w:pos="270"/>
                <w:tab w:val="left" w:pos="450"/>
              </w:tabs>
              <w:rPr>
                <w:rFonts w:asciiTheme="minorHAnsi" w:hAnsiTheme="minorHAnsi" w:cs="Times New Roman"/>
                <w:b w:val="0"/>
                <w:sz w:val="22"/>
                <w:szCs w:val="22"/>
              </w:rPr>
            </w:pPr>
            <w:r w:rsidRPr="00977C97">
              <w:rPr>
                <w:rFonts w:asciiTheme="minorHAnsi" w:hAnsiTheme="minorHAnsi" w:cs="Times New Roman"/>
                <w:b w:val="0"/>
                <w:sz w:val="22"/>
                <w:szCs w:val="22"/>
              </w:rPr>
              <w:tab/>
            </w:r>
            <w:r w:rsidR="00685A21" w:rsidRPr="00977C97">
              <w:rPr>
                <w:rFonts w:asciiTheme="minorHAnsi" w:hAnsiTheme="minorHAnsi" w:cs="Times New Roman"/>
                <w:b w:val="0"/>
                <w:sz w:val="22"/>
                <w:szCs w:val="22"/>
              </w:rPr>
              <w:t>2</w:t>
            </w:r>
            <w:r w:rsidR="00977C97" w:rsidRPr="00977C97">
              <w:rPr>
                <w:rFonts w:asciiTheme="minorHAnsi" w:hAnsiTheme="minorHAnsi" w:cs="Times New Roman"/>
                <w:b w:val="0"/>
                <w:sz w:val="22"/>
                <w:szCs w:val="22"/>
              </w:rPr>
              <w:t>.</w:t>
            </w:r>
            <w:r w:rsidRPr="00977C97">
              <w:rPr>
                <w:rFonts w:asciiTheme="minorHAnsi" w:hAnsiTheme="minorHAnsi" w:cs="Times New Roman"/>
                <w:b w:val="0"/>
                <w:sz w:val="22"/>
                <w:szCs w:val="22"/>
              </w:rPr>
              <w:tab/>
            </w:r>
            <w:r w:rsidR="00685A21" w:rsidRPr="00977C97">
              <w:rPr>
                <w:rFonts w:asciiTheme="minorHAnsi" w:hAnsiTheme="minorHAnsi" w:cs="Times New Roman"/>
                <w:b w:val="0"/>
                <w:i/>
                <w:sz w:val="22"/>
                <w:szCs w:val="22"/>
              </w:rPr>
              <w:t>Anodonta oregonensis</w:t>
            </w:r>
            <w:r w:rsidR="00685A21" w:rsidRPr="00977C97">
              <w:rPr>
                <w:rFonts w:asciiTheme="minorHAnsi" w:hAnsiTheme="minorHAnsi" w:cs="Times New Roman"/>
                <w:b w:val="0"/>
                <w:sz w:val="22"/>
                <w:szCs w:val="22"/>
              </w:rPr>
              <w:t xml:space="preserve"> (Oregon Floater)</w:t>
            </w:r>
          </w:p>
        </w:tc>
        <w:tc>
          <w:tcPr>
            <w:tcW w:w="4050" w:type="dxa"/>
          </w:tcPr>
          <w:p w:rsidR="00685A21" w:rsidRPr="00977C97" w:rsidRDefault="00685A21" w:rsidP="006A75FA">
            <w:pPr>
              <w:tabs>
                <w:tab w:val="right" w:pos="252"/>
                <w:tab w:val="left" w:pos="432"/>
              </w:tabs>
              <w:cnfStyle w:val="000000010000"/>
              <w:rPr>
                <w:rFonts w:asciiTheme="minorHAnsi" w:hAnsiTheme="minorHAnsi" w:cs="Times New Roman"/>
                <w:sz w:val="22"/>
                <w:szCs w:val="22"/>
              </w:rPr>
            </w:pPr>
            <w:r w:rsidRPr="00977C97">
              <w:rPr>
                <w:rFonts w:asciiTheme="minorHAnsi" w:hAnsiTheme="minorHAnsi" w:cs="Times New Roman"/>
                <w:sz w:val="22"/>
                <w:szCs w:val="22"/>
              </w:rPr>
              <w:tab/>
              <w:t>2</w:t>
            </w:r>
            <w:r w:rsidR="00977C97" w:rsidRPr="00977C97">
              <w:rPr>
                <w:rFonts w:asciiTheme="minorHAnsi" w:hAnsiTheme="minorHAnsi" w:cs="Times New Roman"/>
                <w:sz w:val="22"/>
                <w:szCs w:val="22"/>
              </w:rPr>
              <w:t>.</w:t>
            </w:r>
            <w:r w:rsidRPr="00977C97">
              <w:rPr>
                <w:rFonts w:asciiTheme="minorHAnsi" w:hAnsiTheme="minorHAnsi" w:cs="Times New Roman"/>
                <w:sz w:val="22"/>
                <w:szCs w:val="22"/>
              </w:rPr>
              <w:tab/>
            </w:r>
            <w:r w:rsidRPr="004564B2">
              <w:rPr>
                <w:rFonts w:asciiTheme="minorHAnsi" w:hAnsiTheme="minorHAnsi" w:cs="Times New Roman"/>
                <w:i/>
                <w:sz w:val="22"/>
                <w:szCs w:val="22"/>
              </w:rPr>
              <w:t>Juga hemphilli</w:t>
            </w:r>
            <w:r w:rsidRPr="00977C97">
              <w:rPr>
                <w:rFonts w:asciiTheme="minorHAnsi" w:hAnsiTheme="minorHAnsi" w:cs="Times New Roman"/>
                <w:sz w:val="22"/>
                <w:szCs w:val="22"/>
              </w:rPr>
              <w:t xml:space="preserve"> (Indian Ford Juga)</w:t>
            </w:r>
          </w:p>
        </w:tc>
      </w:tr>
      <w:tr w:rsidR="00685A21" w:rsidRPr="00977C97" w:rsidTr="006A75FA">
        <w:trPr>
          <w:cnfStyle w:val="000000100000"/>
        </w:trPr>
        <w:tc>
          <w:tcPr>
            <w:cnfStyle w:val="001000000000"/>
            <w:tcW w:w="4770" w:type="dxa"/>
            <w:shd w:val="clear" w:color="auto" w:fill="E7E6E6" w:themeFill="background2"/>
          </w:tcPr>
          <w:p w:rsidR="00685A21" w:rsidRPr="00977C97" w:rsidRDefault="006A75FA" w:rsidP="006A75FA">
            <w:pPr>
              <w:tabs>
                <w:tab w:val="right" w:pos="270"/>
                <w:tab w:val="left" w:pos="450"/>
              </w:tabs>
              <w:ind w:left="450" w:hanging="450"/>
              <w:rPr>
                <w:rFonts w:asciiTheme="minorHAnsi" w:hAnsiTheme="minorHAnsi" w:cs="Times New Roman"/>
                <w:b w:val="0"/>
                <w:sz w:val="22"/>
                <w:szCs w:val="22"/>
              </w:rPr>
            </w:pPr>
            <w:r w:rsidRPr="00977C97">
              <w:rPr>
                <w:rFonts w:asciiTheme="minorHAnsi" w:hAnsiTheme="minorHAnsi" w:cs="Times New Roman"/>
                <w:b w:val="0"/>
                <w:sz w:val="22"/>
                <w:szCs w:val="22"/>
              </w:rPr>
              <w:tab/>
            </w:r>
            <w:r w:rsidR="00685A21" w:rsidRPr="00977C97">
              <w:rPr>
                <w:rFonts w:asciiTheme="minorHAnsi" w:hAnsiTheme="minorHAnsi" w:cs="Times New Roman"/>
                <w:b w:val="0"/>
                <w:sz w:val="22"/>
                <w:szCs w:val="22"/>
              </w:rPr>
              <w:t>3</w:t>
            </w:r>
            <w:r w:rsidR="00977C97" w:rsidRPr="00977C97">
              <w:rPr>
                <w:rFonts w:asciiTheme="minorHAnsi" w:hAnsiTheme="minorHAnsi" w:cs="Times New Roman"/>
                <w:b w:val="0"/>
                <w:sz w:val="22"/>
                <w:szCs w:val="22"/>
              </w:rPr>
              <w:t>.</w:t>
            </w:r>
            <w:r w:rsidRPr="00977C97">
              <w:rPr>
                <w:rFonts w:asciiTheme="minorHAnsi" w:hAnsiTheme="minorHAnsi" w:cs="Times New Roman"/>
                <w:b w:val="0"/>
                <w:sz w:val="22"/>
                <w:szCs w:val="22"/>
              </w:rPr>
              <w:tab/>
            </w:r>
            <w:r w:rsidR="00685A21" w:rsidRPr="00977C97">
              <w:rPr>
                <w:rFonts w:asciiTheme="minorHAnsi" w:hAnsiTheme="minorHAnsi" w:cs="Times New Roman"/>
                <w:b w:val="0"/>
                <w:i/>
                <w:sz w:val="22"/>
                <w:szCs w:val="22"/>
              </w:rPr>
              <w:t>Anodonta californiensis</w:t>
            </w:r>
            <w:r w:rsidR="00685A21" w:rsidRPr="00977C97">
              <w:rPr>
                <w:rFonts w:asciiTheme="minorHAnsi" w:hAnsiTheme="minorHAnsi" w:cs="Times New Roman"/>
                <w:b w:val="0"/>
                <w:sz w:val="22"/>
                <w:szCs w:val="22"/>
              </w:rPr>
              <w:t xml:space="preserve"> (California Floater)</w:t>
            </w:r>
          </w:p>
        </w:tc>
        <w:tc>
          <w:tcPr>
            <w:tcW w:w="4050" w:type="dxa"/>
            <w:shd w:val="clear" w:color="auto" w:fill="E7E6E6" w:themeFill="background2"/>
          </w:tcPr>
          <w:p w:rsidR="00685A21" w:rsidRPr="00977C97" w:rsidRDefault="00685A21" w:rsidP="006A75FA">
            <w:pPr>
              <w:tabs>
                <w:tab w:val="right" w:pos="252"/>
                <w:tab w:val="left" w:pos="432"/>
              </w:tabs>
              <w:cnfStyle w:val="000000100000"/>
              <w:rPr>
                <w:rFonts w:asciiTheme="minorHAnsi" w:hAnsiTheme="minorHAnsi" w:cs="Times New Roman"/>
                <w:sz w:val="22"/>
                <w:szCs w:val="22"/>
              </w:rPr>
            </w:pPr>
            <w:r w:rsidRPr="00977C97">
              <w:rPr>
                <w:rFonts w:asciiTheme="minorHAnsi" w:hAnsiTheme="minorHAnsi" w:cs="Times New Roman"/>
                <w:sz w:val="22"/>
                <w:szCs w:val="22"/>
              </w:rPr>
              <w:tab/>
              <w:t>3</w:t>
            </w:r>
            <w:r w:rsidR="00977C97" w:rsidRPr="00977C97">
              <w:rPr>
                <w:rFonts w:asciiTheme="minorHAnsi" w:hAnsiTheme="minorHAnsi" w:cs="Times New Roman"/>
                <w:sz w:val="22"/>
                <w:szCs w:val="22"/>
              </w:rPr>
              <w:t>.</w:t>
            </w:r>
            <w:r w:rsidRPr="00977C97">
              <w:rPr>
                <w:rFonts w:asciiTheme="minorHAnsi" w:hAnsiTheme="minorHAnsi" w:cs="Times New Roman"/>
                <w:sz w:val="22"/>
                <w:szCs w:val="22"/>
              </w:rPr>
              <w:tab/>
            </w:r>
            <w:r w:rsidRPr="004564B2">
              <w:rPr>
                <w:rFonts w:asciiTheme="minorHAnsi" w:hAnsiTheme="minorHAnsi" w:cs="Times New Roman"/>
                <w:i/>
                <w:sz w:val="22"/>
                <w:szCs w:val="22"/>
              </w:rPr>
              <w:t>Juga bulbosa</w:t>
            </w:r>
            <w:r w:rsidRPr="00977C97">
              <w:rPr>
                <w:rFonts w:asciiTheme="minorHAnsi" w:hAnsiTheme="minorHAnsi" w:cs="Times New Roman"/>
                <w:sz w:val="22"/>
                <w:szCs w:val="22"/>
              </w:rPr>
              <w:t xml:space="preserve"> (bulb juga)</w:t>
            </w:r>
          </w:p>
        </w:tc>
      </w:tr>
      <w:tr w:rsidR="00685A21" w:rsidRPr="00977C97" w:rsidTr="006A75FA">
        <w:trPr>
          <w:cnfStyle w:val="000000010000"/>
        </w:trPr>
        <w:tc>
          <w:tcPr>
            <w:cnfStyle w:val="001000000000"/>
            <w:tcW w:w="4770" w:type="dxa"/>
          </w:tcPr>
          <w:p w:rsidR="00685A21" w:rsidRPr="00977C97" w:rsidRDefault="006A75FA" w:rsidP="006A75FA">
            <w:pPr>
              <w:tabs>
                <w:tab w:val="right" w:pos="270"/>
                <w:tab w:val="left" w:pos="450"/>
              </w:tabs>
              <w:rPr>
                <w:rFonts w:asciiTheme="minorHAnsi" w:hAnsiTheme="minorHAnsi" w:cs="Times New Roman"/>
                <w:b w:val="0"/>
                <w:sz w:val="22"/>
                <w:szCs w:val="22"/>
              </w:rPr>
            </w:pPr>
            <w:r w:rsidRPr="00977C97">
              <w:rPr>
                <w:rFonts w:asciiTheme="minorHAnsi" w:hAnsiTheme="minorHAnsi" w:cs="Times New Roman"/>
                <w:b w:val="0"/>
                <w:sz w:val="22"/>
                <w:szCs w:val="22"/>
              </w:rPr>
              <w:tab/>
            </w:r>
            <w:r w:rsidR="00685A21" w:rsidRPr="00977C97">
              <w:rPr>
                <w:rFonts w:asciiTheme="minorHAnsi" w:hAnsiTheme="minorHAnsi" w:cs="Times New Roman"/>
                <w:b w:val="0"/>
                <w:sz w:val="22"/>
                <w:szCs w:val="22"/>
              </w:rPr>
              <w:t>4</w:t>
            </w:r>
            <w:r w:rsidR="00977C97" w:rsidRPr="00977C97">
              <w:rPr>
                <w:rFonts w:asciiTheme="minorHAnsi" w:hAnsiTheme="minorHAnsi" w:cs="Times New Roman"/>
                <w:b w:val="0"/>
                <w:sz w:val="22"/>
                <w:szCs w:val="22"/>
              </w:rPr>
              <w:t>.</w:t>
            </w:r>
            <w:r w:rsidRPr="00977C97">
              <w:rPr>
                <w:rFonts w:asciiTheme="minorHAnsi" w:hAnsiTheme="minorHAnsi" w:cs="Times New Roman"/>
                <w:b w:val="0"/>
                <w:sz w:val="22"/>
                <w:szCs w:val="22"/>
              </w:rPr>
              <w:tab/>
            </w:r>
            <w:r w:rsidR="00685A21" w:rsidRPr="00977C97">
              <w:rPr>
                <w:rFonts w:asciiTheme="minorHAnsi" w:hAnsiTheme="minorHAnsi" w:cs="Times New Roman"/>
                <w:b w:val="0"/>
                <w:i/>
                <w:sz w:val="22"/>
                <w:szCs w:val="22"/>
              </w:rPr>
              <w:t>Anodonta nuttalliana</w:t>
            </w:r>
            <w:r w:rsidR="00685A21" w:rsidRPr="00977C97">
              <w:rPr>
                <w:rFonts w:asciiTheme="minorHAnsi" w:hAnsiTheme="minorHAnsi" w:cs="Times New Roman"/>
                <w:b w:val="0"/>
                <w:sz w:val="22"/>
                <w:szCs w:val="22"/>
              </w:rPr>
              <w:t xml:space="preserve"> (Winged Floater)</w:t>
            </w:r>
          </w:p>
        </w:tc>
        <w:tc>
          <w:tcPr>
            <w:tcW w:w="4050" w:type="dxa"/>
          </w:tcPr>
          <w:p w:rsidR="00685A21" w:rsidRPr="00977C97" w:rsidRDefault="00977C97" w:rsidP="00977C97">
            <w:pPr>
              <w:tabs>
                <w:tab w:val="right" w:pos="252"/>
                <w:tab w:val="left" w:pos="432"/>
              </w:tabs>
              <w:cnfStyle w:val="000000010000"/>
              <w:rPr>
                <w:rFonts w:asciiTheme="minorHAnsi" w:hAnsiTheme="minorHAnsi" w:cs="Times New Roman"/>
                <w:sz w:val="22"/>
                <w:szCs w:val="22"/>
              </w:rPr>
            </w:pPr>
            <w:r w:rsidRPr="00977C97">
              <w:rPr>
                <w:rFonts w:asciiTheme="minorHAnsi" w:hAnsiTheme="minorHAnsi" w:cs="Times New Roman"/>
                <w:sz w:val="22"/>
                <w:szCs w:val="22"/>
              </w:rPr>
              <w:t xml:space="preserve">  4.</w:t>
            </w:r>
            <w:r w:rsidRPr="00977C97">
              <w:rPr>
                <w:rFonts w:asciiTheme="minorHAnsi" w:hAnsiTheme="minorHAnsi" w:cs="Times New Roman"/>
                <w:sz w:val="22"/>
                <w:szCs w:val="22"/>
              </w:rPr>
              <w:tab/>
            </w:r>
            <w:r w:rsidR="00685A21" w:rsidRPr="004564B2">
              <w:rPr>
                <w:rFonts w:asciiTheme="minorHAnsi" w:hAnsiTheme="minorHAnsi" w:cs="Times New Roman"/>
                <w:i/>
                <w:sz w:val="22"/>
                <w:szCs w:val="22"/>
              </w:rPr>
              <w:t>Juga plicifera</w:t>
            </w:r>
            <w:r w:rsidR="00685A21" w:rsidRPr="00977C97">
              <w:rPr>
                <w:rFonts w:asciiTheme="minorHAnsi" w:hAnsiTheme="minorHAnsi" w:cs="Times New Roman"/>
                <w:sz w:val="22"/>
                <w:szCs w:val="22"/>
              </w:rPr>
              <w:t xml:space="preserve"> (pleated juga)</w:t>
            </w:r>
          </w:p>
        </w:tc>
      </w:tr>
      <w:tr w:rsidR="00685A21" w:rsidRPr="00977C97" w:rsidTr="006A75FA">
        <w:trPr>
          <w:cnfStyle w:val="000000100000"/>
        </w:trPr>
        <w:tc>
          <w:tcPr>
            <w:cnfStyle w:val="001000000000"/>
            <w:tcW w:w="4770" w:type="dxa"/>
            <w:shd w:val="clear" w:color="auto" w:fill="E7E6E6" w:themeFill="background2"/>
          </w:tcPr>
          <w:p w:rsidR="00685A21" w:rsidRPr="00977C97" w:rsidRDefault="006A75FA" w:rsidP="006A75FA">
            <w:pPr>
              <w:tabs>
                <w:tab w:val="right" w:pos="270"/>
                <w:tab w:val="left" w:pos="450"/>
              </w:tabs>
              <w:rPr>
                <w:rFonts w:asciiTheme="minorHAnsi" w:hAnsiTheme="minorHAnsi" w:cs="Times New Roman"/>
                <w:b w:val="0"/>
                <w:sz w:val="22"/>
                <w:szCs w:val="22"/>
              </w:rPr>
            </w:pPr>
            <w:r w:rsidRPr="00977C97">
              <w:rPr>
                <w:rFonts w:asciiTheme="minorHAnsi" w:hAnsiTheme="minorHAnsi" w:cs="Times New Roman"/>
                <w:b w:val="0"/>
                <w:sz w:val="22"/>
                <w:szCs w:val="22"/>
              </w:rPr>
              <w:tab/>
            </w:r>
            <w:r w:rsidR="00685A21" w:rsidRPr="00977C97">
              <w:rPr>
                <w:rFonts w:asciiTheme="minorHAnsi" w:hAnsiTheme="minorHAnsi" w:cs="Times New Roman"/>
                <w:b w:val="0"/>
                <w:sz w:val="22"/>
                <w:szCs w:val="22"/>
              </w:rPr>
              <w:t>5</w:t>
            </w:r>
            <w:r w:rsidR="00977C97" w:rsidRPr="00977C97">
              <w:rPr>
                <w:rFonts w:asciiTheme="minorHAnsi" w:hAnsiTheme="minorHAnsi" w:cs="Times New Roman"/>
                <w:b w:val="0"/>
                <w:sz w:val="22"/>
                <w:szCs w:val="22"/>
              </w:rPr>
              <w:t>.</w:t>
            </w:r>
            <w:r w:rsidRPr="00977C97">
              <w:rPr>
                <w:rFonts w:asciiTheme="minorHAnsi" w:hAnsiTheme="minorHAnsi" w:cs="Times New Roman"/>
                <w:b w:val="0"/>
                <w:sz w:val="22"/>
                <w:szCs w:val="22"/>
              </w:rPr>
              <w:tab/>
            </w:r>
            <w:r w:rsidR="00685A21" w:rsidRPr="00977C97">
              <w:rPr>
                <w:rFonts w:asciiTheme="minorHAnsi" w:hAnsiTheme="minorHAnsi" w:cs="Times New Roman"/>
                <w:b w:val="0"/>
                <w:i/>
                <w:sz w:val="22"/>
                <w:szCs w:val="22"/>
              </w:rPr>
              <w:t>Gonidea angulata</w:t>
            </w:r>
            <w:r w:rsidR="00685A21" w:rsidRPr="00977C97">
              <w:rPr>
                <w:rFonts w:asciiTheme="minorHAnsi" w:hAnsiTheme="minorHAnsi" w:cs="Times New Roman"/>
                <w:b w:val="0"/>
                <w:sz w:val="22"/>
                <w:szCs w:val="22"/>
              </w:rPr>
              <w:t xml:space="preserve"> (Western ridged)</w:t>
            </w:r>
          </w:p>
        </w:tc>
        <w:tc>
          <w:tcPr>
            <w:tcW w:w="4050" w:type="dxa"/>
            <w:shd w:val="clear" w:color="auto" w:fill="E7E6E6" w:themeFill="background2"/>
          </w:tcPr>
          <w:p w:rsidR="00685A21" w:rsidRPr="00977C97" w:rsidRDefault="00685A21" w:rsidP="006A75FA">
            <w:pPr>
              <w:tabs>
                <w:tab w:val="right" w:pos="252"/>
                <w:tab w:val="left" w:pos="432"/>
              </w:tabs>
              <w:cnfStyle w:val="000000100000"/>
              <w:rPr>
                <w:rFonts w:asciiTheme="minorHAnsi" w:hAnsiTheme="minorHAnsi" w:cs="Times New Roman"/>
                <w:sz w:val="22"/>
                <w:szCs w:val="22"/>
              </w:rPr>
            </w:pPr>
            <w:r w:rsidRPr="00977C97">
              <w:rPr>
                <w:rFonts w:asciiTheme="minorHAnsi" w:hAnsiTheme="minorHAnsi" w:cs="Times New Roman"/>
                <w:sz w:val="22"/>
                <w:szCs w:val="22"/>
              </w:rPr>
              <w:tab/>
            </w:r>
            <w:r w:rsidR="00977C97" w:rsidRPr="00977C97">
              <w:rPr>
                <w:rFonts w:asciiTheme="minorHAnsi" w:hAnsiTheme="minorHAnsi" w:cs="Times New Roman"/>
                <w:sz w:val="22"/>
                <w:szCs w:val="22"/>
              </w:rPr>
              <w:t>5.</w:t>
            </w:r>
            <w:r w:rsidRPr="00977C97">
              <w:rPr>
                <w:rFonts w:asciiTheme="minorHAnsi" w:hAnsiTheme="minorHAnsi" w:cs="Times New Roman"/>
                <w:sz w:val="22"/>
                <w:szCs w:val="22"/>
              </w:rPr>
              <w:tab/>
            </w:r>
            <w:r w:rsidRPr="004564B2">
              <w:rPr>
                <w:rFonts w:asciiTheme="minorHAnsi" w:hAnsiTheme="minorHAnsi" w:cs="Times New Roman"/>
                <w:i/>
                <w:sz w:val="22"/>
                <w:szCs w:val="22"/>
              </w:rPr>
              <w:t>Juga silicula</w:t>
            </w:r>
            <w:r w:rsidRPr="00977C97">
              <w:rPr>
                <w:rFonts w:asciiTheme="minorHAnsi" w:hAnsiTheme="minorHAnsi" w:cs="Times New Roman"/>
                <w:sz w:val="22"/>
                <w:szCs w:val="22"/>
              </w:rPr>
              <w:t xml:space="preserve"> (Shasta juga)</w:t>
            </w:r>
          </w:p>
        </w:tc>
      </w:tr>
      <w:tr w:rsidR="00685A21" w:rsidRPr="00977C97" w:rsidTr="006A75FA">
        <w:trPr>
          <w:cnfStyle w:val="000000010000"/>
        </w:trPr>
        <w:tc>
          <w:tcPr>
            <w:cnfStyle w:val="001000000000"/>
            <w:tcW w:w="4770" w:type="dxa"/>
          </w:tcPr>
          <w:p w:rsidR="00685A21" w:rsidRPr="00977C97" w:rsidRDefault="006A75FA" w:rsidP="006A75FA">
            <w:pPr>
              <w:tabs>
                <w:tab w:val="right" w:pos="270"/>
                <w:tab w:val="left" w:pos="450"/>
              </w:tabs>
              <w:rPr>
                <w:rFonts w:asciiTheme="minorHAnsi" w:hAnsiTheme="minorHAnsi" w:cs="Times New Roman"/>
                <w:b w:val="0"/>
                <w:sz w:val="22"/>
                <w:szCs w:val="22"/>
              </w:rPr>
            </w:pPr>
            <w:r w:rsidRPr="00977C97">
              <w:rPr>
                <w:rFonts w:asciiTheme="minorHAnsi" w:hAnsiTheme="minorHAnsi" w:cs="Times New Roman"/>
                <w:b w:val="0"/>
                <w:sz w:val="22"/>
                <w:szCs w:val="22"/>
              </w:rPr>
              <w:tab/>
            </w:r>
            <w:r w:rsidR="00685A21" w:rsidRPr="00977C97">
              <w:rPr>
                <w:rFonts w:asciiTheme="minorHAnsi" w:hAnsiTheme="minorHAnsi" w:cs="Times New Roman"/>
                <w:b w:val="0"/>
                <w:sz w:val="22"/>
                <w:szCs w:val="22"/>
              </w:rPr>
              <w:t>6</w:t>
            </w:r>
            <w:r w:rsidR="00977C97" w:rsidRPr="00977C97">
              <w:rPr>
                <w:rFonts w:asciiTheme="minorHAnsi" w:hAnsiTheme="minorHAnsi" w:cs="Times New Roman"/>
                <w:b w:val="0"/>
                <w:sz w:val="22"/>
                <w:szCs w:val="22"/>
              </w:rPr>
              <w:t>.</w:t>
            </w:r>
            <w:r w:rsidRPr="00977C97">
              <w:rPr>
                <w:rFonts w:asciiTheme="minorHAnsi" w:hAnsiTheme="minorHAnsi" w:cs="Times New Roman"/>
                <w:b w:val="0"/>
                <w:sz w:val="22"/>
                <w:szCs w:val="22"/>
              </w:rPr>
              <w:tab/>
            </w:r>
            <w:r w:rsidR="00685A21" w:rsidRPr="00977C97">
              <w:rPr>
                <w:rFonts w:asciiTheme="minorHAnsi" w:hAnsiTheme="minorHAnsi" w:cs="Times New Roman"/>
                <w:b w:val="0"/>
                <w:i/>
                <w:sz w:val="22"/>
                <w:szCs w:val="22"/>
              </w:rPr>
              <w:t>Margaritifera falcata</w:t>
            </w:r>
            <w:r w:rsidR="00685A21" w:rsidRPr="00977C97">
              <w:rPr>
                <w:rFonts w:asciiTheme="minorHAnsi" w:hAnsiTheme="minorHAnsi" w:cs="Times New Roman"/>
                <w:b w:val="0"/>
                <w:sz w:val="22"/>
                <w:szCs w:val="22"/>
              </w:rPr>
              <w:t xml:space="preserve"> (Western pearlshell)</w:t>
            </w:r>
          </w:p>
        </w:tc>
        <w:tc>
          <w:tcPr>
            <w:tcW w:w="4050" w:type="dxa"/>
          </w:tcPr>
          <w:p w:rsidR="00685A21" w:rsidRPr="00977C97" w:rsidRDefault="00685A21" w:rsidP="006A75FA">
            <w:pPr>
              <w:tabs>
                <w:tab w:val="right" w:pos="252"/>
                <w:tab w:val="left" w:pos="432"/>
              </w:tabs>
              <w:cnfStyle w:val="000000010000"/>
              <w:rPr>
                <w:rFonts w:asciiTheme="minorHAnsi" w:hAnsiTheme="minorHAnsi" w:cs="Times New Roman"/>
                <w:sz w:val="22"/>
                <w:szCs w:val="22"/>
              </w:rPr>
            </w:pPr>
            <w:r w:rsidRPr="00977C97">
              <w:rPr>
                <w:rFonts w:asciiTheme="minorHAnsi" w:hAnsiTheme="minorHAnsi" w:cs="Times New Roman"/>
                <w:sz w:val="22"/>
                <w:szCs w:val="22"/>
              </w:rPr>
              <w:tab/>
            </w:r>
            <w:r w:rsidR="00977C97" w:rsidRPr="00977C97">
              <w:rPr>
                <w:rFonts w:asciiTheme="minorHAnsi" w:hAnsiTheme="minorHAnsi" w:cs="Times New Roman"/>
                <w:sz w:val="22"/>
                <w:szCs w:val="22"/>
              </w:rPr>
              <w:t>6.</w:t>
            </w:r>
            <w:r w:rsidRPr="00977C97">
              <w:rPr>
                <w:rFonts w:asciiTheme="minorHAnsi" w:hAnsiTheme="minorHAnsi" w:cs="Times New Roman"/>
                <w:sz w:val="22"/>
                <w:szCs w:val="22"/>
              </w:rPr>
              <w:tab/>
              <w:t>Fluminicola (pebblesnail)</w:t>
            </w:r>
          </w:p>
        </w:tc>
      </w:tr>
      <w:tr w:rsidR="00685A21" w:rsidRPr="00977C97" w:rsidTr="006A75FA">
        <w:trPr>
          <w:cnfStyle w:val="000000100000"/>
        </w:trPr>
        <w:tc>
          <w:tcPr>
            <w:cnfStyle w:val="001000000000"/>
            <w:tcW w:w="4770" w:type="dxa"/>
            <w:shd w:val="clear" w:color="auto" w:fill="E7E6E6" w:themeFill="background2"/>
          </w:tcPr>
          <w:p w:rsidR="00685A21" w:rsidRPr="00977C97" w:rsidRDefault="00685A21" w:rsidP="006A75FA">
            <w:pPr>
              <w:tabs>
                <w:tab w:val="right" w:pos="270"/>
                <w:tab w:val="left" w:pos="450"/>
              </w:tabs>
              <w:rPr>
                <w:rFonts w:asciiTheme="minorHAnsi" w:hAnsiTheme="minorHAnsi" w:cs="Times New Roman"/>
                <w:sz w:val="22"/>
                <w:szCs w:val="22"/>
              </w:rPr>
            </w:pPr>
          </w:p>
        </w:tc>
        <w:tc>
          <w:tcPr>
            <w:tcW w:w="4050" w:type="dxa"/>
            <w:shd w:val="clear" w:color="auto" w:fill="E7E6E6" w:themeFill="background2"/>
          </w:tcPr>
          <w:p w:rsidR="00685A21" w:rsidRPr="00977C97" w:rsidRDefault="00685A21" w:rsidP="006A75FA">
            <w:pPr>
              <w:tabs>
                <w:tab w:val="right" w:pos="252"/>
                <w:tab w:val="left" w:pos="432"/>
              </w:tabs>
              <w:cnfStyle w:val="000000100000"/>
              <w:rPr>
                <w:rFonts w:asciiTheme="minorHAnsi" w:hAnsiTheme="minorHAnsi" w:cs="Times New Roman"/>
                <w:sz w:val="22"/>
                <w:szCs w:val="22"/>
              </w:rPr>
            </w:pPr>
            <w:r w:rsidRPr="00977C97">
              <w:rPr>
                <w:rFonts w:asciiTheme="minorHAnsi" w:hAnsiTheme="minorHAnsi" w:cs="Times New Roman"/>
                <w:sz w:val="22"/>
                <w:szCs w:val="22"/>
              </w:rPr>
              <w:tab/>
            </w:r>
            <w:r w:rsidR="00977C97" w:rsidRPr="00977C97">
              <w:rPr>
                <w:rFonts w:asciiTheme="minorHAnsi" w:hAnsiTheme="minorHAnsi" w:cs="Times New Roman"/>
                <w:sz w:val="22"/>
                <w:szCs w:val="22"/>
              </w:rPr>
              <w:t>7.</w:t>
            </w:r>
            <w:r w:rsidRPr="00977C97">
              <w:rPr>
                <w:rFonts w:asciiTheme="minorHAnsi" w:hAnsiTheme="minorHAnsi" w:cs="Times New Roman"/>
                <w:sz w:val="22"/>
                <w:szCs w:val="22"/>
              </w:rPr>
              <w:tab/>
              <w:t>Hydrobiidae (mud snail)</w:t>
            </w:r>
          </w:p>
        </w:tc>
      </w:tr>
      <w:tr w:rsidR="00685A21" w:rsidRPr="00977C97" w:rsidTr="006A75FA">
        <w:trPr>
          <w:cnfStyle w:val="000000010000"/>
        </w:trPr>
        <w:tc>
          <w:tcPr>
            <w:cnfStyle w:val="001000000000"/>
            <w:tcW w:w="4770" w:type="dxa"/>
          </w:tcPr>
          <w:p w:rsidR="00685A21" w:rsidRPr="00977C97" w:rsidRDefault="00685A21" w:rsidP="006A75FA">
            <w:pPr>
              <w:tabs>
                <w:tab w:val="right" w:pos="270"/>
                <w:tab w:val="left" w:pos="450"/>
              </w:tabs>
              <w:rPr>
                <w:rFonts w:asciiTheme="minorHAnsi" w:hAnsiTheme="minorHAnsi" w:cs="Times New Roman"/>
                <w:sz w:val="22"/>
                <w:szCs w:val="22"/>
              </w:rPr>
            </w:pPr>
          </w:p>
        </w:tc>
        <w:tc>
          <w:tcPr>
            <w:tcW w:w="4050" w:type="dxa"/>
          </w:tcPr>
          <w:p w:rsidR="00685A21" w:rsidRPr="00977C97" w:rsidRDefault="00685A21" w:rsidP="006A75FA">
            <w:pPr>
              <w:tabs>
                <w:tab w:val="right" w:pos="252"/>
                <w:tab w:val="left" w:pos="432"/>
              </w:tabs>
              <w:cnfStyle w:val="000000010000"/>
              <w:rPr>
                <w:rFonts w:asciiTheme="minorHAnsi" w:hAnsiTheme="minorHAnsi" w:cs="Times New Roman"/>
                <w:sz w:val="22"/>
                <w:szCs w:val="22"/>
              </w:rPr>
            </w:pPr>
            <w:r w:rsidRPr="00977C97">
              <w:rPr>
                <w:rFonts w:asciiTheme="minorHAnsi" w:hAnsiTheme="minorHAnsi" w:cs="Times New Roman"/>
                <w:sz w:val="22"/>
                <w:szCs w:val="22"/>
              </w:rPr>
              <w:tab/>
            </w:r>
            <w:r w:rsidR="00977C97" w:rsidRPr="00977C97">
              <w:rPr>
                <w:rFonts w:asciiTheme="minorHAnsi" w:hAnsiTheme="minorHAnsi" w:cs="Times New Roman"/>
                <w:sz w:val="22"/>
                <w:szCs w:val="22"/>
              </w:rPr>
              <w:t>8.</w:t>
            </w:r>
            <w:r w:rsidRPr="00977C97">
              <w:rPr>
                <w:rFonts w:asciiTheme="minorHAnsi" w:hAnsiTheme="minorHAnsi" w:cs="Times New Roman"/>
                <w:sz w:val="22"/>
                <w:szCs w:val="22"/>
              </w:rPr>
              <w:tab/>
              <w:t>Melanoides</w:t>
            </w:r>
          </w:p>
        </w:tc>
      </w:tr>
      <w:tr w:rsidR="00685A21" w:rsidRPr="00977C97" w:rsidTr="006A75FA">
        <w:trPr>
          <w:cnfStyle w:val="000000100000"/>
        </w:trPr>
        <w:tc>
          <w:tcPr>
            <w:cnfStyle w:val="001000000000"/>
            <w:tcW w:w="4770" w:type="dxa"/>
            <w:shd w:val="clear" w:color="auto" w:fill="E7E6E6" w:themeFill="background2"/>
          </w:tcPr>
          <w:p w:rsidR="00685A21" w:rsidRPr="00977C97" w:rsidRDefault="00685A21" w:rsidP="006A75FA">
            <w:pPr>
              <w:tabs>
                <w:tab w:val="right" w:pos="270"/>
                <w:tab w:val="left" w:pos="450"/>
              </w:tabs>
              <w:rPr>
                <w:rFonts w:asciiTheme="minorHAnsi" w:hAnsiTheme="minorHAnsi" w:cs="Times New Roman"/>
                <w:sz w:val="22"/>
                <w:szCs w:val="22"/>
              </w:rPr>
            </w:pPr>
          </w:p>
        </w:tc>
        <w:tc>
          <w:tcPr>
            <w:tcW w:w="4050" w:type="dxa"/>
            <w:shd w:val="clear" w:color="auto" w:fill="E7E6E6" w:themeFill="background2"/>
          </w:tcPr>
          <w:p w:rsidR="00685A21" w:rsidRPr="00977C97" w:rsidRDefault="00685A21" w:rsidP="006A75FA">
            <w:pPr>
              <w:tabs>
                <w:tab w:val="right" w:pos="252"/>
                <w:tab w:val="left" w:pos="432"/>
              </w:tabs>
              <w:cnfStyle w:val="000000100000"/>
              <w:rPr>
                <w:rFonts w:asciiTheme="minorHAnsi" w:hAnsiTheme="minorHAnsi" w:cs="Times New Roman"/>
                <w:sz w:val="22"/>
                <w:szCs w:val="22"/>
              </w:rPr>
            </w:pPr>
            <w:r w:rsidRPr="00977C97">
              <w:rPr>
                <w:rFonts w:asciiTheme="minorHAnsi" w:hAnsiTheme="minorHAnsi" w:cs="Times New Roman"/>
                <w:sz w:val="22"/>
                <w:szCs w:val="22"/>
              </w:rPr>
              <w:tab/>
            </w:r>
            <w:r w:rsidR="00977C97" w:rsidRPr="00977C97">
              <w:rPr>
                <w:rFonts w:asciiTheme="minorHAnsi" w:hAnsiTheme="minorHAnsi" w:cs="Times New Roman"/>
                <w:sz w:val="22"/>
                <w:szCs w:val="22"/>
              </w:rPr>
              <w:t>9.</w:t>
            </w:r>
            <w:r w:rsidRPr="00977C97">
              <w:rPr>
                <w:rFonts w:asciiTheme="minorHAnsi" w:hAnsiTheme="minorHAnsi" w:cs="Times New Roman"/>
                <w:sz w:val="22"/>
                <w:szCs w:val="22"/>
              </w:rPr>
              <w:tab/>
              <w:t>Pleuroceridae</w:t>
            </w:r>
          </w:p>
        </w:tc>
      </w:tr>
      <w:tr w:rsidR="00685A21" w:rsidRPr="00977C97" w:rsidTr="006A75FA">
        <w:trPr>
          <w:cnfStyle w:val="000000010000"/>
        </w:trPr>
        <w:tc>
          <w:tcPr>
            <w:cnfStyle w:val="001000000000"/>
            <w:tcW w:w="4770" w:type="dxa"/>
          </w:tcPr>
          <w:p w:rsidR="00685A21" w:rsidRPr="00977C97" w:rsidRDefault="00685A21" w:rsidP="006A75FA">
            <w:pPr>
              <w:tabs>
                <w:tab w:val="right" w:pos="270"/>
                <w:tab w:val="left" w:pos="450"/>
              </w:tabs>
              <w:rPr>
                <w:rFonts w:asciiTheme="minorHAnsi" w:hAnsiTheme="minorHAnsi" w:cs="Times New Roman"/>
                <w:sz w:val="22"/>
                <w:szCs w:val="22"/>
              </w:rPr>
            </w:pPr>
          </w:p>
        </w:tc>
        <w:tc>
          <w:tcPr>
            <w:tcW w:w="4050" w:type="dxa"/>
          </w:tcPr>
          <w:p w:rsidR="00685A21" w:rsidRPr="00977C97" w:rsidRDefault="00685A21" w:rsidP="006A75FA">
            <w:pPr>
              <w:tabs>
                <w:tab w:val="right" w:pos="252"/>
                <w:tab w:val="left" w:pos="432"/>
              </w:tabs>
              <w:ind w:left="432" w:hanging="432"/>
              <w:cnfStyle w:val="000000010000"/>
              <w:rPr>
                <w:rFonts w:asciiTheme="minorHAnsi" w:hAnsiTheme="minorHAnsi" w:cs="Times New Roman"/>
                <w:sz w:val="22"/>
                <w:szCs w:val="22"/>
              </w:rPr>
            </w:pPr>
            <w:r w:rsidRPr="00977C97">
              <w:rPr>
                <w:rFonts w:asciiTheme="minorHAnsi" w:hAnsiTheme="minorHAnsi" w:cs="Times New Roman"/>
                <w:sz w:val="22"/>
                <w:szCs w:val="22"/>
              </w:rPr>
              <w:tab/>
            </w:r>
            <w:r w:rsidR="00977C97" w:rsidRPr="00977C97">
              <w:rPr>
                <w:rFonts w:asciiTheme="minorHAnsi" w:hAnsiTheme="minorHAnsi" w:cs="Times New Roman"/>
                <w:sz w:val="22"/>
                <w:szCs w:val="22"/>
              </w:rPr>
              <w:t>10.</w:t>
            </w:r>
            <w:r w:rsidRPr="00977C97">
              <w:rPr>
                <w:rFonts w:asciiTheme="minorHAnsi" w:hAnsiTheme="minorHAnsi" w:cs="Times New Roman"/>
                <w:sz w:val="22"/>
                <w:szCs w:val="22"/>
              </w:rPr>
              <w:tab/>
            </w:r>
            <w:r w:rsidRPr="004564B2">
              <w:rPr>
                <w:rFonts w:asciiTheme="minorHAnsi" w:hAnsiTheme="minorHAnsi" w:cs="Times New Roman"/>
                <w:i/>
                <w:sz w:val="22"/>
                <w:szCs w:val="22"/>
              </w:rPr>
              <w:t>Potamopyrgus antipodarum</w:t>
            </w:r>
            <w:r w:rsidRPr="00977C97">
              <w:rPr>
                <w:rFonts w:asciiTheme="minorHAnsi" w:hAnsiTheme="minorHAnsi" w:cs="Times New Roman"/>
                <w:sz w:val="22"/>
                <w:szCs w:val="22"/>
              </w:rPr>
              <w:t xml:space="preserve"> (New Zealand mud snail)</w:t>
            </w:r>
          </w:p>
        </w:tc>
      </w:tr>
      <w:tr w:rsidR="00685A21" w:rsidRPr="00977C97" w:rsidTr="006A75FA">
        <w:trPr>
          <w:cnfStyle w:val="000000100000"/>
        </w:trPr>
        <w:tc>
          <w:tcPr>
            <w:cnfStyle w:val="001000000000"/>
            <w:tcW w:w="4770" w:type="dxa"/>
            <w:shd w:val="clear" w:color="auto" w:fill="E7E6E6" w:themeFill="background2"/>
          </w:tcPr>
          <w:p w:rsidR="00685A21" w:rsidRPr="00977C97" w:rsidRDefault="00685A21" w:rsidP="006A75FA">
            <w:pPr>
              <w:tabs>
                <w:tab w:val="right" w:pos="270"/>
                <w:tab w:val="left" w:pos="450"/>
              </w:tabs>
              <w:rPr>
                <w:rFonts w:asciiTheme="minorHAnsi" w:hAnsiTheme="minorHAnsi" w:cs="Times New Roman"/>
                <w:sz w:val="22"/>
                <w:szCs w:val="22"/>
              </w:rPr>
            </w:pPr>
          </w:p>
        </w:tc>
        <w:tc>
          <w:tcPr>
            <w:tcW w:w="4050" w:type="dxa"/>
            <w:shd w:val="clear" w:color="auto" w:fill="E7E6E6" w:themeFill="background2"/>
          </w:tcPr>
          <w:p w:rsidR="00685A21" w:rsidRPr="00977C97" w:rsidRDefault="00685A21" w:rsidP="006A75FA">
            <w:pPr>
              <w:tabs>
                <w:tab w:val="right" w:pos="252"/>
                <w:tab w:val="left" w:pos="432"/>
              </w:tabs>
              <w:cnfStyle w:val="000000100000"/>
              <w:rPr>
                <w:rFonts w:asciiTheme="minorHAnsi" w:hAnsiTheme="minorHAnsi" w:cs="Times New Roman"/>
                <w:sz w:val="22"/>
                <w:szCs w:val="22"/>
              </w:rPr>
            </w:pPr>
            <w:r w:rsidRPr="00977C97">
              <w:rPr>
                <w:rFonts w:asciiTheme="minorHAnsi" w:hAnsiTheme="minorHAnsi" w:cs="Times New Roman"/>
                <w:sz w:val="22"/>
                <w:szCs w:val="22"/>
              </w:rPr>
              <w:tab/>
            </w:r>
            <w:r w:rsidR="00977C97" w:rsidRPr="00977C97">
              <w:rPr>
                <w:rFonts w:asciiTheme="minorHAnsi" w:hAnsiTheme="minorHAnsi" w:cs="Times New Roman"/>
                <w:sz w:val="22"/>
                <w:szCs w:val="22"/>
              </w:rPr>
              <w:t>11.</w:t>
            </w:r>
            <w:r w:rsidRPr="00977C97">
              <w:rPr>
                <w:rFonts w:asciiTheme="minorHAnsi" w:hAnsiTheme="minorHAnsi" w:cs="Times New Roman"/>
                <w:sz w:val="22"/>
                <w:szCs w:val="22"/>
              </w:rPr>
              <w:tab/>
              <w:t>Pristinicola</w:t>
            </w:r>
          </w:p>
        </w:tc>
      </w:tr>
      <w:tr w:rsidR="00685A21" w:rsidRPr="00977C97" w:rsidTr="006A75FA">
        <w:trPr>
          <w:cnfStyle w:val="000000010000"/>
        </w:trPr>
        <w:tc>
          <w:tcPr>
            <w:cnfStyle w:val="001000000000"/>
            <w:tcW w:w="4770" w:type="dxa"/>
          </w:tcPr>
          <w:p w:rsidR="00685A21" w:rsidRPr="00977C97" w:rsidRDefault="00685A21" w:rsidP="006A75FA">
            <w:pPr>
              <w:tabs>
                <w:tab w:val="right" w:pos="270"/>
                <w:tab w:val="left" w:pos="450"/>
              </w:tabs>
              <w:rPr>
                <w:rFonts w:asciiTheme="minorHAnsi" w:hAnsiTheme="minorHAnsi" w:cs="Times New Roman"/>
                <w:sz w:val="22"/>
                <w:szCs w:val="22"/>
              </w:rPr>
            </w:pPr>
          </w:p>
        </w:tc>
        <w:tc>
          <w:tcPr>
            <w:tcW w:w="4050" w:type="dxa"/>
          </w:tcPr>
          <w:p w:rsidR="00685A21" w:rsidRPr="00977C97" w:rsidRDefault="00685A21" w:rsidP="006A75FA">
            <w:pPr>
              <w:tabs>
                <w:tab w:val="right" w:pos="252"/>
                <w:tab w:val="left" w:pos="432"/>
              </w:tabs>
              <w:ind w:left="432" w:hanging="432"/>
              <w:cnfStyle w:val="000000010000"/>
              <w:rPr>
                <w:rFonts w:asciiTheme="minorHAnsi" w:hAnsiTheme="minorHAnsi" w:cs="Times New Roman"/>
                <w:sz w:val="22"/>
                <w:szCs w:val="22"/>
              </w:rPr>
            </w:pPr>
            <w:r w:rsidRPr="00977C97">
              <w:rPr>
                <w:rFonts w:asciiTheme="minorHAnsi" w:hAnsiTheme="minorHAnsi" w:cs="Times New Roman"/>
                <w:sz w:val="22"/>
                <w:szCs w:val="22"/>
              </w:rPr>
              <w:tab/>
            </w:r>
            <w:r w:rsidR="00977C97" w:rsidRPr="00977C97">
              <w:rPr>
                <w:rFonts w:asciiTheme="minorHAnsi" w:hAnsiTheme="minorHAnsi" w:cs="Times New Roman"/>
                <w:sz w:val="22"/>
                <w:szCs w:val="22"/>
              </w:rPr>
              <w:t>12.</w:t>
            </w:r>
            <w:r w:rsidRPr="00977C97">
              <w:rPr>
                <w:rFonts w:asciiTheme="minorHAnsi" w:hAnsiTheme="minorHAnsi" w:cs="Times New Roman"/>
                <w:sz w:val="22"/>
                <w:szCs w:val="22"/>
              </w:rPr>
              <w:tab/>
            </w:r>
            <w:r w:rsidRPr="004564B2">
              <w:rPr>
                <w:rFonts w:asciiTheme="minorHAnsi" w:hAnsiTheme="minorHAnsi" w:cs="Times New Roman"/>
                <w:i/>
                <w:sz w:val="22"/>
                <w:szCs w:val="22"/>
              </w:rPr>
              <w:t>Pristinicola hemphilli</w:t>
            </w:r>
            <w:r w:rsidRPr="00977C97">
              <w:rPr>
                <w:rFonts w:asciiTheme="minorHAnsi" w:hAnsiTheme="minorHAnsi" w:cs="Times New Roman"/>
                <w:sz w:val="22"/>
                <w:szCs w:val="22"/>
              </w:rPr>
              <w:t xml:space="preserve"> (pristine springsnail)</w:t>
            </w:r>
          </w:p>
        </w:tc>
      </w:tr>
      <w:tr w:rsidR="00685A21" w:rsidRPr="00977C97" w:rsidTr="006A75FA">
        <w:trPr>
          <w:cnfStyle w:val="000000100000"/>
        </w:trPr>
        <w:tc>
          <w:tcPr>
            <w:cnfStyle w:val="001000000000"/>
            <w:tcW w:w="4770" w:type="dxa"/>
            <w:shd w:val="clear" w:color="auto" w:fill="E7E6E6" w:themeFill="background2"/>
          </w:tcPr>
          <w:p w:rsidR="00685A21" w:rsidRPr="00977C97" w:rsidRDefault="00685A21" w:rsidP="006A75FA">
            <w:pPr>
              <w:tabs>
                <w:tab w:val="right" w:pos="270"/>
                <w:tab w:val="left" w:pos="450"/>
              </w:tabs>
              <w:rPr>
                <w:rFonts w:asciiTheme="minorHAnsi" w:hAnsiTheme="minorHAnsi" w:cs="Times New Roman"/>
                <w:sz w:val="22"/>
                <w:szCs w:val="22"/>
              </w:rPr>
            </w:pPr>
          </w:p>
        </w:tc>
        <w:tc>
          <w:tcPr>
            <w:tcW w:w="4050" w:type="dxa"/>
            <w:shd w:val="clear" w:color="auto" w:fill="E7E6E6" w:themeFill="background2"/>
          </w:tcPr>
          <w:p w:rsidR="00685A21" w:rsidRPr="00977C97" w:rsidRDefault="00977C97" w:rsidP="006A75FA">
            <w:pPr>
              <w:tabs>
                <w:tab w:val="right" w:pos="252"/>
                <w:tab w:val="left" w:pos="432"/>
              </w:tabs>
              <w:cnfStyle w:val="000000100000"/>
              <w:rPr>
                <w:rFonts w:asciiTheme="minorHAnsi" w:hAnsiTheme="minorHAnsi" w:cs="Times New Roman"/>
                <w:sz w:val="22"/>
                <w:szCs w:val="22"/>
              </w:rPr>
            </w:pPr>
            <w:r w:rsidRPr="00977C97">
              <w:rPr>
                <w:rFonts w:asciiTheme="minorHAnsi" w:hAnsiTheme="minorHAnsi" w:cs="Times New Roman"/>
                <w:sz w:val="22"/>
                <w:szCs w:val="22"/>
              </w:rPr>
              <w:t>13.</w:t>
            </w:r>
            <w:r w:rsidR="006A75FA" w:rsidRPr="00977C97">
              <w:rPr>
                <w:rFonts w:asciiTheme="minorHAnsi" w:hAnsiTheme="minorHAnsi" w:cs="Times New Roman"/>
                <w:sz w:val="22"/>
                <w:szCs w:val="22"/>
              </w:rPr>
              <w:tab/>
            </w:r>
            <w:r w:rsidR="00685A21" w:rsidRPr="00977C97">
              <w:rPr>
                <w:rFonts w:asciiTheme="minorHAnsi" w:hAnsiTheme="minorHAnsi" w:cs="Times New Roman"/>
                <w:sz w:val="22"/>
                <w:szCs w:val="22"/>
              </w:rPr>
              <w:t>Pyrgulopsis (springsnails)</w:t>
            </w:r>
          </w:p>
        </w:tc>
      </w:tr>
      <w:tr w:rsidR="00685A21" w:rsidRPr="00977C97" w:rsidTr="006A75FA">
        <w:trPr>
          <w:cnfStyle w:val="000000010000"/>
        </w:trPr>
        <w:tc>
          <w:tcPr>
            <w:cnfStyle w:val="001000000000"/>
            <w:tcW w:w="4770" w:type="dxa"/>
          </w:tcPr>
          <w:p w:rsidR="00685A21" w:rsidRPr="00977C97" w:rsidRDefault="00685A21" w:rsidP="006A75FA">
            <w:pPr>
              <w:tabs>
                <w:tab w:val="right" w:pos="270"/>
                <w:tab w:val="left" w:pos="450"/>
              </w:tabs>
              <w:rPr>
                <w:rFonts w:asciiTheme="minorHAnsi" w:hAnsiTheme="minorHAnsi" w:cs="Times New Roman"/>
                <w:sz w:val="22"/>
                <w:szCs w:val="22"/>
              </w:rPr>
            </w:pPr>
          </w:p>
        </w:tc>
        <w:tc>
          <w:tcPr>
            <w:tcW w:w="4050" w:type="dxa"/>
          </w:tcPr>
          <w:p w:rsidR="00685A21" w:rsidRPr="00977C97" w:rsidRDefault="006A75FA" w:rsidP="006A75FA">
            <w:pPr>
              <w:tabs>
                <w:tab w:val="right" w:pos="252"/>
                <w:tab w:val="left" w:pos="432"/>
              </w:tabs>
              <w:cnfStyle w:val="000000010000"/>
              <w:rPr>
                <w:rFonts w:asciiTheme="minorHAnsi" w:hAnsiTheme="minorHAnsi" w:cs="Times New Roman"/>
                <w:sz w:val="22"/>
                <w:szCs w:val="22"/>
              </w:rPr>
            </w:pPr>
            <w:r w:rsidRPr="00977C97">
              <w:rPr>
                <w:rFonts w:asciiTheme="minorHAnsi" w:hAnsiTheme="minorHAnsi" w:cs="Times New Roman"/>
                <w:sz w:val="22"/>
                <w:szCs w:val="22"/>
              </w:rPr>
              <w:tab/>
            </w:r>
            <w:r w:rsidR="00977C97" w:rsidRPr="00977C97">
              <w:rPr>
                <w:rFonts w:asciiTheme="minorHAnsi" w:hAnsiTheme="minorHAnsi" w:cs="Times New Roman"/>
                <w:sz w:val="22"/>
                <w:szCs w:val="22"/>
              </w:rPr>
              <w:t>14.</w:t>
            </w:r>
            <w:r w:rsidRPr="00977C97">
              <w:rPr>
                <w:rFonts w:asciiTheme="minorHAnsi" w:hAnsiTheme="minorHAnsi" w:cs="Times New Roman"/>
                <w:sz w:val="22"/>
                <w:szCs w:val="22"/>
              </w:rPr>
              <w:tab/>
            </w:r>
            <w:r w:rsidR="00685A21" w:rsidRPr="00977C97">
              <w:rPr>
                <w:rFonts w:asciiTheme="minorHAnsi" w:hAnsiTheme="minorHAnsi" w:cs="Times New Roman"/>
                <w:sz w:val="22"/>
                <w:szCs w:val="22"/>
              </w:rPr>
              <w:t>Valvata</w:t>
            </w:r>
          </w:p>
        </w:tc>
      </w:tr>
      <w:tr w:rsidR="00685A21" w:rsidRPr="00977C97" w:rsidTr="006A75FA">
        <w:trPr>
          <w:cnfStyle w:val="000000100000"/>
        </w:trPr>
        <w:tc>
          <w:tcPr>
            <w:cnfStyle w:val="001000000000"/>
            <w:tcW w:w="4770" w:type="dxa"/>
            <w:shd w:val="clear" w:color="auto" w:fill="E7E6E6" w:themeFill="background2"/>
          </w:tcPr>
          <w:p w:rsidR="00685A21" w:rsidRPr="00977C97" w:rsidRDefault="00685A21" w:rsidP="006A75FA">
            <w:pPr>
              <w:tabs>
                <w:tab w:val="right" w:pos="270"/>
                <w:tab w:val="left" w:pos="450"/>
              </w:tabs>
              <w:rPr>
                <w:rFonts w:asciiTheme="minorHAnsi" w:hAnsiTheme="minorHAnsi" w:cs="Times New Roman"/>
                <w:sz w:val="22"/>
                <w:szCs w:val="22"/>
              </w:rPr>
            </w:pPr>
          </w:p>
        </w:tc>
        <w:tc>
          <w:tcPr>
            <w:tcW w:w="4050" w:type="dxa"/>
            <w:shd w:val="clear" w:color="auto" w:fill="E7E6E6" w:themeFill="background2"/>
          </w:tcPr>
          <w:p w:rsidR="00685A21" w:rsidRPr="00977C97" w:rsidRDefault="006A75FA" w:rsidP="006A75FA">
            <w:pPr>
              <w:tabs>
                <w:tab w:val="right" w:pos="252"/>
                <w:tab w:val="left" w:pos="432"/>
              </w:tabs>
              <w:cnfStyle w:val="000000100000"/>
              <w:rPr>
                <w:rFonts w:asciiTheme="minorHAnsi" w:hAnsiTheme="minorHAnsi" w:cs="Times New Roman"/>
                <w:sz w:val="22"/>
                <w:szCs w:val="22"/>
              </w:rPr>
            </w:pPr>
            <w:r w:rsidRPr="00977C97">
              <w:rPr>
                <w:rFonts w:asciiTheme="minorHAnsi" w:hAnsiTheme="minorHAnsi" w:cs="Times New Roman"/>
                <w:sz w:val="22"/>
                <w:szCs w:val="22"/>
              </w:rPr>
              <w:tab/>
            </w:r>
            <w:r w:rsidR="00977C97" w:rsidRPr="00977C97">
              <w:rPr>
                <w:rFonts w:asciiTheme="minorHAnsi" w:hAnsiTheme="minorHAnsi" w:cs="Times New Roman"/>
                <w:sz w:val="22"/>
                <w:szCs w:val="22"/>
              </w:rPr>
              <w:t>15.</w:t>
            </w:r>
            <w:r w:rsidRPr="00977C97">
              <w:rPr>
                <w:rFonts w:asciiTheme="minorHAnsi" w:hAnsiTheme="minorHAnsi" w:cs="Times New Roman"/>
                <w:sz w:val="22"/>
                <w:szCs w:val="22"/>
              </w:rPr>
              <w:tab/>
            </w:r>
            <w:r w:rsidR="00685A21" w:rsidRPr="004564B2">
              <w:rPr>
                <w:rFonts w:asciiTheme="minorHAnsi" w:hAnsiTheme="minorHAnsi" w:cs="Times New Roman"/>
                <w:i/>
                <w:sz w:val="22"/>
                <w:szCs w:val="22"/>
              </w:rPr>
              <w:t>Valvata humeralis</w:t>
            </w:r>
            <w:r w:rsidR="00685A21" w:rsidRPr="00977C97">
              <w:rPr>
                <w:rFonts w:asciiTheme="minorHAnsi" w:hAnsiTheme="minorHAnsi" w:cs="Times New Roman"/>
                <w:sz w:val="22"/>
                <w:szCs w:val="22"/>
              </w:rPr>
              <w:t xml:space="preserve"> (glossy Valvata)</w:t>
            </w:r>
          </w:p>
        </w:tc>
      </w:tr>
      <w:tr w:rsidR="00685A21" w:rsidRPr="00977C97" w:rsidTr="006A75FA">
        <w:trPr>
          <w:cnfStyle w:val="000000010000"/>
        </w:trPr>
        <w:tc>
          <w:tcPr>
            <w:cnfStyle w:val="001000000000"/>
            <w:tcW w:w="4770" w:type="dxa"/>
          </w:tcPr>
          <w:p w:rsidR="00685A21" w:rsidRPr="00977C97" w:rsidRDefault="00685A21" w:rsidP="006A75FA">
            <w:pPr>
              <w:tabs>
                <w:tab w:val="right" w:pos="270"/>
                <w:tab w:val="left" w:pos="450"/>
              </w:tabs>
              <w:rPr>
                <w:rFonts w:asciiTheme="minorHAnsi" w:hAnsiTheme="minorHAnsi" w:cs="Times New Roman"/>
                <w:sz w:val="22"/>
                <w:szCs w:val="22"/>
              </w:rPr>
            </w:pPr>
          </w:p>
        </w:tc>
        <w:tc>
          <w:tcPr>
            <w:tcW w:w="4050" w:type="dxa"/>
          </w:tcPr>
          <w:p w:rsidR="00685A21" w:rsidRPr="00977C97" w:rsidRDefault="006A75FA" w:rsidP="006A75FA">
            <w:pPr>
              <w:tabs>
                <w:tab w:val="right" w:pos="252"/>
                <w:tab w:val="left" w:pos="432"/>
              </w:tabs>
              <w:cnfStyle w:val="000000010000"/>
              <w:rPr>
                <w:rFonts w:asciiTheme="minorHAnsi" w:hAnsiTheme="minorHAnsi" w:cs="Times New Roman"/>
                <w:sz w:val="22"/>
                <w:szCs w:val="22"/>
              </w:rPr>
            </w:pPr>
            <w:r w:rsidRPr="00977C97">
              <w:rPr>
                <w:rFonts w:asciiTheme="minorHAnsi" w:hAnsiTheme="minorHAnsi" w:cs="Times New Roman"/>
                <w:sz w:val="22"/>
                <w:szCs w:val="22"/>
              </w:rPr>
              <w:tab/>
            </w:r>
            <w:r w:rsidR="00977C97" w:rsidRPr="00977C97">
              <w:rPr>
                <w:rFonts w:asciiTheme="minorHAnsi" w:hAnsiTheme="minorHAnsi" w:cs="Times New Roman"/>
                <w:sz w:val="22"/>
                <w:szCs w:val="22"/>
              </w:rPr>
              <w:t>16.</w:t>
            </w:r>
            <w:r w:rsidRPr="00977C97">
              <w:rPr>
                <w:rFonts w:asciiTheme="minorHAnsi" w:hAnsiTheme="minorHAnsi" w:cs="Times New Roman"/>
                <w:sz w:val="22"/>
                <w:szCs w:val="22"/>
              </w:rPr>
              <w:tab/>
            </w:r>
            <w:r w:rsidR="00685A21" w:rsidRPr="00977C97">
              <w:rPr>
                <w:rFonts w:asciiTheme="minorHAnsi" w:hAnsiTheme="minorHAnsi" w:cs="Times New Roman"/>
                <w:sz w:val="22"/>
                <w:szCs w:val="22"/>
              </w:rPr>
              <w:t>Valvatidae</w:t>
            </w:r>
          </w:p>
        </w:tc>
      </w:tr>
    </w:tbl>
    <w:p w:rsidR="00B27744" w:rsidRDefault="00B27744" w:rsidP="004D65A8"/>
    <w:p w:rsidR="00DD5A5B" w:rsidRDefault="003A0E10" w:rsidP="004D65A8">
      <w:r>
        <w:t xml:space="preserve">Although EPA used mussel toxicity data from specific species in the Unionidae family, the </w:t>
      </w:r>
      <w:r w:rsidR="009B754E">
        <w:t xml:space="preserve">intent of the </w:t>
      </w:r>
      <w:r>
        <w:t xml:space="preserve">2013 ammonia criteria </w:t>
      </w:r>
      <w:r w:rsidR="009B754E">
        <w:t xml:space="preserve">is </w:t>
      </w:r>
      <w:r>
        <w:t>to protect the aquatic community as a whole</w:t>
      </w:r>
      <w:r w:rsidR="006D166E">
        <w:t xml:space="preserve"> even if mussels from the Unionidae family are absent, but other non-Unionidae mussels are present at a site</w:t>
      </w:r>
      <w:r>
        <w:t xml:space="preserve">. </w:t>
      </w:r>
      <w:r w:rsidR="005A68D8">
        <w:t>The U</w:t>
      </w:r>
      <w:r w:rsidR="005361C5">
        <w:t xml:space="preserve">nionid species </w:t>
      </w:r>
      <w:r w:rsidR="005361C5" w:rsidRPr="00485AAC">
        <w:t xml:space="preserve">serve as surrogates for freshwater mussels in general </w:t>
      </w:r>
      <w:r w:rsidR="005361C5">
        <w:t xml:space="preserve">and are </w:t>
      </w:r>
      <w:r w:rsidR="005361C5" w:rsidRPr="00485AAC">
        <w:t xml:space="preserve">not just representative of the </w:t>
      </w:r>
      <w:r w:rsidR="005361C5" w:rsidRPr="00485AAC">
        <w:lastRenderedPageBreak/>
        <w:t xml:space="preserve">family Unionidae.  </w:t>
      </w:r>
      <w:r w:rsidR="006D166E">
        <w:t>For example, a</w:t>
      </w:r>
      <w:r>
        <w:t xml:space="preserve">ll the mussels listed above with the exception of </w:t>
      </w:r>
      <w:r w:rsidRPr="003A0E10">
        <w:rPr>
          <w:i/>
        </w:rPr>
        <w:t>Margaritifera falcata</w:t>
      </w:r>
      <w:r w:rsidRPr="00CC71BB">
        <w:rPr>
          <w:b/>
        </w:rPr>
        <w:t xml:space="preserve"> </w:t>
      </w:r>
      <w:r>
        <w:t xml:space="preserve">are in the Unionidae family. </w:t>
      </w:r>
      <w:r w:rsidRPr="003A0E10">
        <w:rPr>
          <w:i/>
        </w:rPr>
        <w:t>Margaritifera falcata</w:t>
      </w:r>
      <w:r w:rsidRPr="00CC71BB">
        <w:rPr>
          <w:b/>
        </w:rPr>
        <w:t xml:space="preserve"> </w:t>
      </w:r>
      <w:r w:rsidRPr="003A0E10">
        <w:t>is in the Margaritiferidae family.</w:t>
      </w:r>
      <w:r w:rsidR="005361C5">
        <w:t xml:space="preserve"> If</w:t>
      </w:r>
      <w:r>
        <w:rPr>
          <w:b/>
        </w:rPr>
        <w:t xml:space="preserve"> </w:t>
      </w:r>
      <w:r w:rsidR="005361C5">
        <w:t xml:space="preserve">there are </w:t>
      </w:r>
      <w:r w:rsidR="009B754E">
        <w:t xml:space="preserve">Oregon </w:t>
      </w:r>
      <w:r w:rsidR="005361C5">
        <w:t xml:space="preserve">locations </w:t>
      </w:r>
      <w:r w:rsidR="005361C5" w:rsidRPr="00485AAC">
        <w:t xml:space="preserve">where there are species from the Margaritiferidae family and not the Unionidae family, the criteria dataset would </w:t>
      </w:r>
      <w:r w:rsidR="005361C5">
        <w:t xml:space="preserve">still </w:t>
      </w:r>
      <w:r w:rsidR="005361C5" w:rsidRPr="00485AAC">
        <w:t xml:space="preserve">need to retain the </w:t>
      </w:r>
      <w:r w:rsidR="005361C5">
        <w:t xml:space="preserve">toxicity </w:t>
      </w:r>
      <w:r w:rsidR="005361C5" w:rsidRPr="00485AAC">
        <w:t>data for the Unionidae mussels to protect all freshwater mussels.</w:t>
      </w:r>
      <w:r w:rsidR="005361C5">
        <w:rPr>
          <w:rStyle w:val="FootnoteReference"/>
          <w:rFonts w:asciiTheme="majorHAnsi" w:hAnsiTheme="majorHAnsi"/>
        </w:rPr>
        <w:footnoteReference w:id="13"/>
      </w:r>
      <w:r w:rsidR="005361C5" w:rsidRPr="00485AAC">
        <w:t> </w:t>
      </w:r>
    </w:p>
    <w:p w:rsidR="00DD5A5B" w:rsidRDefault="00DD5A5B" w:rsidP="004D65A8"/>
    <w:p w:rsidR="005361C5" w:rsidRPr="00485AAC" w:rsidRDefault="005A68D8" w:rsidP="004D65A8">
      <w:r>
        <w:t xml:space="preserve">Maps in </w:t>
      </w:r>
      <w:r w:rsidR="00925C20" w:rsidRPr="00F81452">
        <w:t>Appendix B</w:t>
      </w:r>
      <w:r>
        <w:t xml:space="preserve"> show </w:t>
      </w:r>
      <w:r w:rsidR="00DD5A5B">
        <w:t xml:space="preserve">where mussels and snails occur or where historical information </w:t>
      </w:r>
      <w:r w:rsidR="00D07581">
        <w:t>has</w:t>
      </w:r>
      <w:r w:rsidR="00925C20">
        <w:t xml:space="preserve"> </w:t>
      </w:r>
      <w:r w:rsidR="00DD5A5B">
        <w:t>documented presence in Oregon.</w:t>
      </w:r>
      <w:r w:rsidR="0024053D">
        <w:t xml:space="preserve"> </w:t>
      </w:r>
      <w:r w:rsidR="00DD5A5B">
        <w:t xml:space="preserve"> </w:t>
      </w:r>
      <w:r>
        <w:t>As illustrated by these maps, most watersheds in Oregon contain or historically contained some species of mussel or snail. For this reason, DEQ</w:t>
      </w:r>
      <w:r w:rsidR="00DD5A5B">
        <w:t xml:space="preserve"> </w:t>
      </w:r>
      <w:r w:rsidR="007A395F">
        <w:t>does not see a compelling reason to propose site-specific criteria for waterbodies where mollusks may not be present as part of this rulemaking.</w:t>
      </w:r>
      <w:r w:rsidR="00DD5A5B">
        <w:t xml:space="preserve"> See </w:t>
      </w:r>
      <w:r w:rsidR="00A4667F">
        <w:t>site-specific c</w:t>
      </w:r>
      <w:r w:rsidR="00DD5A5B" w:rsidRPr="00093D4B">
        <w:t xml:space="preserve">riteria development </w:t>
      </w:r>
      <w:r w:rsidR="00093D4B" w:rsidRPr="00093D4B">
        <w:t xml:space="preserve">in </w:t>
      </w:r>
      <w:r w:rsidR="00093D4B" w:rsidRPr="00F81452">
        <w:t>S</w:t>
      </w:r>
      <w:r w:rsidR="00DD5A5B" w:rsidRPr="00F81452">
        <w:t>ection</w:t>
      </w:r>
      <w:r w:rsidR="00A4667F">
        <w:t xml:space="preserve"> IV</w:t>
      </w:r>
      <w:r w:rsidR="00DD5A5B">
        <w:t xml:space="preserve"> f</w:t>
      </w:r>
      <w:r>
        <w:t xml:space="preserve">or </w:t>
      </w:r>
      <w:r w:rsidR="007A395F">
        <w:t xml:space="preserve">more </w:t>
      </w:r>
      <w:r>
        <w:t>information</w:t>
      </w:r>
      <w:r w:rsidR="00DD5A5B">
        <w:t>.</w:t>
      </w:r>
    </w:p>
    <w:p w:rsidR="007A445D" w:rsidRPr="004564B2" w:rsidRDefault="00227440" w:rsidP="004D65A8">
      <w:pPr>
        <w:pStyle w:val="Heading2"/>
        <w:rPr>
          <w:rFonts w:asciiTheme="minorHAnsi" w:hAnsiTheme="minorHAnsi"/>
        </w:rPr>
      </w:pPr>
      <w:bookmarkStart w:id="12" w:name="_Toc395516155"/>
      <w:r w:rsidRPr="004564B2">
        <w:rPr>
          <w:rFonts w:asciiTheme="minorHAnsi" w:hAnsiTheme="minorHAnsi"/>
        </w:rPr>
        <w:t>II</w:t>
      </w:r>
      <w:r w:rsidR="003F3CCE" w:rsidRPr="004564B2">
        <w:rPr>
          <w:rFonts w:asciiTheme="minorHAnsi" w:hAnsiTheme="minorHAnsi"/>
        </w:rPr>
        <w:t>I</w:t>
      </w:r>
      <w:r w:rsidRPr="004564B2">
        <w:rPr>
          <w:rFonts w:asciiTheme="minorHAnsi" w:hAnsiTheme="minorHAnsi"/>
        </w:rPr>
        <w:t>.D</w:t>
      </w:r>
      <w:r w:rsidR="006A2A5F" w:rsidRPr="004564B2">
        <w:rPr>
          <w:rFonts w:asciiTheme="minorHAnsi" w:hAnsiTheme="minorHAnsi"/>
        </w:rPr>
        <w:t>.</w:t>
      </w:r>
      <w:r w:rsidRPr="004564B2">
        <w:rPr>
          <w:rFonts w:asciiTheme="minorHAnsi" w:hAnsiTheme="minorHAnsi"/>
        </w:rPr>
        <w:t xml:space="preserve"> </w:t>
      </w:r>
      <w:r w:rsidR="0030327E" w:rsidRPr="004564B2">
        <w:rPr>
          <w:rFonts w:asciiTheme="minorHAnsi" w:hAnsiTheme="minorHAnsi"/>
        </w:rPr>
        <w:t>Acute Criteria</w:t>
      </w:r>
      <w:bookmarkEnd w:id="12"/>
      <w:r w:rsidR="00533BC4" w:rsidRPr="004564B2">
        <w:rPr>
          <w:rFonts w:asciiTheme="minorHAnsi" w:hAnsiTheme="minorHAnsi"/>
        </w:rPr>
        <w:t xml:space="preserve">  </w:t>
      </w:r>
    </w:p>
    <w:p w:rsidR="003F3E5D" w:rsidRDefault="00A075D6">
      <w:pPr>
        <w:spacing w:after="120" w:line="240" w:lineRule="auto"/>
      </w:pPr>
      <w:r w:rsidRPr="00A075D6">
        <w:t>EPA included 120 acute studies in its derivation of acute criteria. There were</w:t>
      </w:r>
      <w:r w:rsidR="006552CF" w:rsidRPr="00A075D6">
        <w:t xml:space="preserve"> 6</w:t>
      </w:r>
      <w:r w:rsidRPr="00A075D6">
        <w:t>9 genera representing 52 invertebrates, 44 fish</w:t>
      </w:r>
      <w:r w:rsidR="006552CF" w:rsidRPr="00A075D6">
        <w:t xml:space="preserve"> and 4 amphibians</w:t>
      </w:r>
      <w:r w:rsidRPr="00A075D6">
        <w:t xml:space="preserve">. </w:t>
      </w:r>
      <w:r w:rsidR="00C71CA5">
        <w:t>T</w:t>
      </w:r>
      <w:r w:rsidRPr="00A075D6">
        <w:t>he four species and</w:t>
      </w:r>
      <w:r>
        <w:t xml:space="preserve"> the genus mean acute value (GMAV)</w:t>
      </w:r>
      <w:r w:rsidR="00BF1251">
        <w:rPr>
          <w:rStyle w:val="FootnoteReference"/>
          <w:rFonts w:asciiTheme="majorHAnsi" w:hAnsiTheme="majorHAnsi"/>
          <w:color w:val="000000" w:themeColor="text1"/>
        </w:rPr>
        <w:footnoteReference w:id="14"/>
      </w:r>
      <w:r w:rsidRPr="00A075D6">
        <w:t xml:space="preserve"> associated </w:t>
      </w:r>
      <w:r>
        <w:t xml:space="preserve">with each </w:t>
      </w:r>
      <w:r w:rsidR="00EC52C5">
        <w:t xml:space="preserve">tested </w:t>
      </w:r>
      <w:r>
        <w:t xml:space="preserve">species </w:t>
      </w:r>
      <w:r w:rsidRPr="00A075D6">
        <w:t>from most to least sensitive</w:t>
      </w:r>
      <w:r w:rsidR="00C71CA5">
        <w:t xml:space="preserve"> are</w:t>
      </w:r>
      <w:r w:rsidRPr="00A075D6">
        <w:t>:</w:t>
      </w:r>
    </w:p>
    <w:p w:rsidR="003F3E5D" w:rsidRDefault="00A075D6">
      <w:pPr>
        <w:spacing w:after="120" w:line="240" w:lineRule="auto"/>
        <w:ind w:left="720"/>
      </w:pPr>
      <w:r w:rsidRPr="006552CF">
        <w:t xml:space="preserve">1. </w:t>
      </w:r>
      <w:r w:rsidRPr="006552CF">
        <w:rPr>
          <w:i/>
          <w:iCs/>
        </w:rPr>
        <w:t>Lasmigona subviridis</w:t>
      </w:r>
      <w:r w:rsidRPr="006552CF">
        <w:t>, Green Floater (GMAV= 23.41 mg TAN/L)</w:t>
      </w:r>
    </w:p>
    <w:p w:rsidR="003F3E5D" w:rsidRDefault="00A075D6">
      <w:pPr>
        <w:spacing w:after="120" w:line="240" w:lineRule="auto"/>
        <w:ind w:left="720"/>
      </w:pPr>
      <w:r w:rsidRPr="006552CF">
        <w:t xml:space="preserve">2. </w:t>
      </w:r>
      <w:r w:rsidRPr="006552CF">
        <w:rPr>
          <w:i/>
          <w:iCs/>
        </w:rPr>
        <w:t>Epioblasma capsaeformis</w:t>
      </w:r>
      <w:r w:rsidRPr="006552CF">
        <w:t xml:space="preserve">, Oyster mussel (GMAV= 31.14 mg TAN/L) </w:t>
      </w:r>
    </w:p>
    <w:p w:rsidR="003F3E5D" w:rsidRPr="00AA74FB" w:rsidRDefault="00A075D6">
      <w:pPr>
        <w:spacing w:after="120" w:line="240" w:lineRule="auto"/>
        <w:ind w:left="720"/>
        <w:rPr>
          <w:lang w:val="fr-FR"/>
        </w:rPr>
      </w:pPr>
      <w:r w:rsidRPr="00AA74FB">
        <w:rPr>
          <w:lang w:val="fr-FR"/>
        </w:rPr>
        <w:t xml:space="preserve">3. </w:t>
      </w:r>
      <w:r w:rsidRPr="00AA74FB">
        <w:rPr>
          <w:i/>
          <w:iCs/>
          <w:lang w:val="fr-FR"/>
        </w:rPr>
        <w:t>Villosa iris</w:t>
      </w:r>
      <w:r w:rsidRPr="00AA74FB">
        <w:rPr>
          <w:lang w:val="fr-FR"/>
        </w:rPr>
        <w:t>, Rainbow Mussel (GMAV= 34.23 mg TAN/L)</w:t>
      </w:r>
    </w:p>
    <w:p w:rsidR="003F3E5D" w:rsidRPr="00AA74FB" w:rsidRDefault="00A075D6">
      <w:pPr>
        <w:spacing w:after="120" w:line="240" w:lineRule="auto"/>
        <w:ind w:left="720"/>
        <w:rPr>
          <w:lang w:val="fr-FR"/>
        </w:rPr>
      </w:pPr>
      <w:r w:rsidRPr="00AA74FB">
        <w:rPr>
          <w:lang w:val="fr-FR"/>
        </w:rPr>
        <w:t xml:space="preserve">4. </w:t>
      </w:r>
      <w:r w:rsidRPr="00AA74FB">
        <w:rPr>
          <w:i/>
          <w:iCs/>
          <w:lang w:val="fr-FR"/>
        </w:rPr>
        <w:t xml:space="preserve">Lampsilis </w:t>
      </w:r>
      <w:r w:rsidRPr="00AA74FB">
        <w:rPr>
          <w:lang w:val="fr-FR"/>
        </w:rPr>
        <w:t>sp. (GMAV=46.63 mg TAN/L)</w:t>
      </w:r>
    </w:p>
    <w:p w:rsidR="006552CF" w:rsidRPr="00AA74FB" w:rsidRDefault="006552CF" w:rsidP="004D65A8">
      <w:pPr>
        <w:rPr>
          <w:lang w:val="fr-FR"/>
        </w:rPr>
      </w:pPr>
    </w:p>
    <w:p w:rsidR="00F15C24" w:rsidRPr="005A68D8" w:rsidRDefault="00A075D6" w:rsidP="004D65A8">
      <w:r>
        <w:t xml:space="preserve">Although mussels are the most sensitive species </w:t>
      </w:r>
      <w:r w:rsidR="003D398C">
        <w:t xml:space="preserve">in the dataset, </w:t>
      </w:r>
      <w:r w:rsidR="00B04F5B">
        <w:t>at</w:t>
      </w:r>
      <w:r w:rsidR="006552CF" w:rsidRPr="00A075D6">
        <w:t xml:space="preserve"> temperature</w:t>
      </w:r>
      <w:r w:rsidR="00B04F5B">
        <w:t>s</w:t>
      </w:r>
      <w:r w:rsidR="00EF6EC3">
        <w:t xml:space="preserve"> below 15.7°C</w:t>
      </w:r>
      <w:r w:rsidR="006552CF" w:rsidRPr="00A075D6">
        <w:t>, salmonid</w:t>
      </w:r>
      <w:r w:rsidR="001D3F0A">
        <w:rPr>
          <w:rStyle w:val="FootnoteReference"/>
          <w:rFonts w:asciiTheme="majorHAnsi" w:hAnsiTheme="majorHAnsi"/>
          <w:color w:val="000000" w:themeColor="text1"/>
        </w:rPr>
        <w:footnoteReference w:id="15"/>
      </w:r>
      <w:r w:rsidR="006552CF" w:rsidRPr="00A075D6">
        <w:t xml:space="preserve"> sensitivity determines the acute criterion regardless of pH</w:t>
      </w:r>
      <w:r w:rsidR="009B754E">
        <w:t xml:space="preserve"> as shown in </w:t>
      </w:r>
      <w:r w:rsidR="00B04F5B">
        <w:t>Figure 1</w:t>
      </w:r>
      <w:r w:rsidR="001D3F0A">
        <w:t>.</w:t>
      </w:r>
      <w:r w:rsidR="0078610A">
        <w:t xml:space="preserve"> </w:t>
      </w:r>
      <w:r w:rsidR="00093D4B" w:rsidRPr="00F81452">
        <w:t>Appendix C</w:t>
      </w:r>
      <w:r w:rsidR="008A09DD">
        <w:t>, Table 1 compar</w:t>
      </w:r>
      <w:r w:rsidR="009B754E">
        <w:t>es</w:t>
      </w:r>
      <w:r w:rsidR="008A09DD">
        <w:t xml:space="preserve"> sensitive species and a</w:t>
      </w:r>
      <w:r w:rsidR="003F159E">
        <w:t>ssociated acute criteria</w:t>
      </w:r>
      <w:r w:rsidR="008A09DD">
        <w:t xml:space="preserve"> for EPA recommendations in 1999, 2009 and 2013.</w:t>
      </w:r>
    </w:p>
    <w:p w:rsidR="003F3E5D" w:rsidRDefault="003F3E5D">
      <w:pPr>
        <w:pStyle w:val="Caption"/>
      </w:pPr>
    </w:p>
    <w:p w:rsidR="00DD4EEB" w:rsidRDefault="00DD4EEB">
      <w:pPr>
        <w:spacing w:after="200"/>
        <w:rPr>
          <w:rFonts w:ascii="Times New Roman" w:eastAsia="Times New Roman" w:hAnsi="Times New Roman" w:cs="Times New Roman"/>
          <w:b/>
          <w:szCs w:val="24"/>
          <w:lang w:eastAsia="en-US"/>
        </w:rPr>
      </w:pPr>
      <w:r>
        <w:br w:type="page"/>
      </w:r>
    </w:p>
    <w:p w:rsidR="00ED52FB" w:rsidRPr="004564B2" w:rsidRDefault="001D3F0A">
      <w:pPr>
        <w:pStyle w:val="Caption"/>
        <w:rPr>
          <w:rFonts w:asciiTheme="minorHAnsi" w:hAnsiTheme="minorHAnsi"/>
        </w:rPr>
      </w:pPr>
      <w:r w:rsidRPr="004564B2">
        <w:rPr>
          <w:rFonts w:asciiTheme="minorHAnsi" w:hAnsiTheme="minorHAnsi"/>
        </w:rPr>
        <w:lastRenderedPageBreak/>
        <w:t xml:space="preserve">Figure </w:t>
      </w:r>
      <w:r w:rsidR="00822E83" w:rsidRPr="004564B2">
        <w:rPr>
          <w:rFonts w:asciiTheme="minorHAnsi" w:hAnsiTheme="minorHAnsi"/>
        </w:rPr>
        <w:fldChar w:fldCharType="begin"/>
      </w:r>
      <w:r w:rsidR="0080765A" w:rsidRPr="004564B2">
        <w:rPr>
          <w:rFonts w:asciiTheme="minorHAnsi" w:hAnsiTheme="minorHAnsi"/>
        </w:rPr>
        <w:instrText xml:space="preserve"> SEQ Figure \* ARABIC </w:instrText>
      </w:r>
      <w:r w:rsidR="00822E83" w:rsidRPr="004564B2">
        <w:rPr>
          <w:rFonts w:asciiTheme="minorHAnsi" w:hAnsiTheme="minorHAnsi"/>
        </w:rPr>
        <w:fldChar w:fldCharType="separate"/>
      </w:r>
      <w:r w:rsidR="00F1402D" w:rsidRPr="004564B2">
        <w:rPr>
          <w:rFonts w:asciiTheme="minorHAnsi" w:hAnsiTheme="minorHAnsi"/>
          <w:noProof/>
        </w:rPr>
        <w:t>1</w:t>
      </w:r>
      <w:r w:rsidR="00822E83" w:rsidRPr="004564B2">
        <w:rPr>
          <w:rFonts w:asciiTheme="minorHAnsi" w:hAnsiTheme="minorHAnsi"/>
        </w:rPr>
        <w:fldChar w:fldCharType="end"/>
      </w:r>
      <w:r w:rsidRPr="004564B2">
        <w:rPr>
          <w:rFonts w:asciiTheme="minorHAnsi" w:hAnsiTheme="minorHAnsi"/>
        </w:rPr>
        <w:t>: Salmonid</w:t>
      </w:r>
      <w:r w:rsidR="003727B1" w:rsidRPr="004564B2">
        <w:rPr>
          <w:rFonts w:asciiTheme="minorHAnsi" w:hAnsiTheme="minorHAnsi"/>
        </w:rPr>
        <w:t xml:space="preserve"> </w:t>
      </w:r>
      <w:r w:rsidRPr="004564B2">
        <w:rPr>
          <w:rFonts w:asciiTheme="minorHAnsi" w:hAnsiTheme="minorHAnsi"/>
        </w:rPr>
        <w:t>sensitivity at lower temperatures</w:t>
      </w:r>
    </w:p>
    <w:p w:rsidR="003F3E5D" w:rsidRDefault="003F3E5D"/>
    <w:p w:rsidR="00650061" w:rsidRDefault="00FC1BAF" w:rsidP="004D65A8">
      <w:pPr>
        <w:rPr>
          <w:rFonts w:asciiTheme="majorHAnsi" w:hAnsiTheme="majorHAnsi"/>
          <w:color w:val="000000" w:themeColor="text1"/>
        </w:rPr>
      </w:pPr>
      <w:r w:rsidRPr="00FC1BAF">
        <w:rPr>
          <w:noProof/>
          <w:lang w:eastAsia="en-US"/>
        </w:rPr>
        <w:drawing>
          <wp:anchor distT="0" distB="0" distL="114300" distR="114300" simplePos="0" relativeHeight="251662336" behindDoc="0" locked="0" layoutInCell="1" allowOverlap="1">
            <wp:simplePos x="0" y="0"/>
            <wp:positionH relativeFrom="column">
              <wp:posOffset>2343150</wp:posOffset>
            </wp:positionH>
            <wp:positionV relativeFrom="paragraph">
              <wp:posOffset>1102995</wp:posOffset>
            </wp:positionV>
            <wp:extent cx="3233420" cy="2400300"/>
            <wp:effectExtent l="0" t="0" r="5080" b="0"/>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3233420" cy="2400300"/>
                    </a:xfrm>
                    <a:prstGeom prst="rect">
                      <a:avLst/>
                    </a:prstGeom>
                    <a:noFill/>
                    <a:ln w="9525">
                      <a:noFill/>
                      <a:miter lim="800000"/>
                      <a:headEnd/>
                      <a:tailEnd/>
                    </a:ln>
                  </pic:spPr>
                </pic:pic>
              </a:graphicData>
            </a:graphic>
          </wp:anchor>
        </w:drawing>
      </w:r>
      <w:r w:rsidRPr="00FC1BAF">
        <w:rPr>
          <w:rFonts w:asciiTheme="majorHAnsi" w:hAnsiTheme="majorHAnsi"/>
          <w:noProof/>
          <w:color w:val="000000" w:themeColor="text1"/>
          <w:lang w:eastAsia="en-US"/>
        </w:rPr>
        <w:drawing>
          <wp:inline distT="0" distB="0" distL="0" distR="0">
            <wp:extent cx="5943600" cy="3846231"/>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943600" cy="3846231"/>
                    </a:xfrm>
                    <a:prstGeom prst="rect">
                      <a:avLst/>
                    </a:prstGeom>
                    <a:noFill/>
                    <a:ln w="9525">
                      <a:noFill/>
                      <a:miter lim="800000"/>
                      <a:headEnd/>
                      <a:tailEnd/>
                    </a:ln>
                  </pic:spPr>
                </pic:pic>
              </a:graphicData>
            </a:graphic>
          </wp:inline>
        </w:drawing>
      </w:r>
    </w:p>
    <w:p w:rsidR="00650061" w:rsidRDefault="00650061" w:rsidP="004D65A8"/>
    <w:p w:rsidR="00201BCA" w:rsidRPr="00A075D6" w:rsidRDefault="00201BCA" w:rsidP="004D65A8">
      <w:r>
        <w:rPr>
          <w:color w:val="000000" w:themeColor="text1"/>
        </w:rPr>
        <w:t>The frequency and dur</w:t>
      </w:r>
      <w:r w:rsidR="0024053D">
        <w:rPr>
          <w:color w:val="000000" w:themeColor="text1"/>
        </w:rPr>
        <w:t>ation of the acute criteria did not change</w:t>
      </w:r>
      <w:r w:rsidR="000F27A5">
        <w:rPr>
          <w:color w:val="000000" w:themeColor="text1"/>
        </w:rPr>
        <w:t xml:space="preserve"> from previous EPA recommendations</w:t>
      </w:r>
      <w:r>
        <w:rPr>
          <w:color w:val="000000" w:themeColor="text1"/>
        </w:rPr>
        <w:t>.</w:t>
      </w:r>
      <w:r w:rsidRPr="0078610A">
        <w:t xml:space="preserve"> The one-hour average concentration of total ammonia nitrogen (in mg TAN/L) is not to </w:t>
      </w:r>
      <w:r w:rsidR="00C46738">
        <w:t xml:space="preserve">be </w:t>
      </w:r>
      <w:r w:rsidRPr="0078610A">
        <w:t>exceed</w:t>
      </w:r>
      <w:r w:rsidR="00C46738">
        <w:t>ed</w:t>
      </w:r>
      <w:r w:rsidRPr="0078610A">
        <w:t xml:space="preserve"> more tha</w:t>
      </w:r>
      <w:r>
        <w:t xml:space="preserve">n once every three years on </w:t>
      </w:r>
      <w:r w:rsidRPr="0078610A">
        <w:t>average</w:t>
      </w:r>
      <w:r>
        <w:t>. At a pH of 7 and a temperature of 20˚C, the acute criterion is 17 mg/L TAN.</w:t>
      </w:r>
      <w:r w:rsidR="000F27A5">
        <w:t xml:space="preserve"> For criteria based on different pH and temperatures</w:t>
      </w:r>
      <w:r w:rsidR="000354F4">
        <w:t xml:space="preserve">, salmonids present and absent, and </w:t>
      </w:r>
      <w:r w:rsidR="00093D4B">
        <w:t>associated criteria equation</w:t>
      </w:r>
      <w:r w:rsidR="000354F4">
        <w:t>s</w:t>
      </w:r>
      <w:r w:rsidR="000F27A5">
        <w:t>,</w:t>
      </w:r>
      <w:r w:rsidR="000354F4">
        <w:t xml:space="preserve"> </w:t>
      </w:r>
      <w:r w:rsidR="000F27A5">
        <w:t xml:space="preserve">see </w:t>
      </w:r>
      <w:r w:rsidR="00093D4B" w:rsidRPr="00F81452">
        <w:t>Table</w:t>
      </w:r>
      <w:r w:rsidR="000354F4" w:rsidRPr="00F81452">
        <w:t>s</w:t>
      </w:r>
      <w:r w:rsidR="00093D4B" w:rsidRPr="00F81452">
        <w:t xml:space="preserve"> 1</w:t>
      </w:r>
      <w:r w:rsidR="000354F4" w:rsidRPr="00F81452">
        <w:t xml:space="preserve"> and 2</w:t>
      </w:r>
      <w:r w:rsidR="00093D4B" w:rsidRPr="00F81452">
        <w:t xml:space="preserve"> in Appendix D</w:t>
      </w:r>
      <w:r w:rsidR="000F27A5">
        <w:t>.</w:t>
      </w:r>
    </w:p>
    <w:p w:rsidR="00201BCA" w:rsidRPr="00C71CA5" w:rsidRDefault="00227440" w:rsidP="004D65A8">
      <w:pPr>
        <w:pStyle w:val="Heading2"/>
        <w:rPr>
          <w:rFonts w:asciiTheme="minorHAnsi" w:hAnsiTheme="minorHAnsi"/>
        </w:rPr>
      </w:pPr>
      <w:bookmarkStart w:id="13" w:name="_Toc395516156"/>
      <w:r w:rsidRPr="00C71CA5">
        <w:rPr>
          <w:rFonts w:asciiTheme="minorHAnsi" w:hAnsiTheme="minorHAnsi"/>
        </w:rPr>
        <w:t>I</w:t>
      </w:r>
      <w:r w:rsidR="006A2A5F" w:rsidRPr="00C71CA5">
        <w:rPr>
          <w:rFonts w:asciiTheme="minorHAnsi" w:hAnsiTheme="minorHAnsi"/>
        </w:rPr>
        <w:t>I</w:t>
      </w:r>
      <w:r w:rsidRPr="00C71CA5">
        <w:rPr>
          <w:rFonts w:asciiTheme="minorHAnsi" w:hAnsiTheme="minorHAnsi"/>
        </w:rPr>
        <w:t>I.E</w:t>
      </w:r>
      <w:r w:rsidR="006A2A5F" w:rsidRPr="00C71CA5">
        <w:rPr>
          <w:rFonts w:asciiTheme="minorHAnsi" w:hAnsiTheme="minorHAnsi"/>
        </w:rPr>
        <w:t>.</w:t>
      </w:r>
      <w:r w:rsidR="00EF6EC3" w:rsidRPr="00C71CA5">
        <w:rPr>
          <w:rFonts w:asciiTheme="minorHAnsi" w:hAnsiTheme="minorHAnsi"/>
        </w:rPr>
        <w:t xml:space="preserve"> </w:t>
      </w:r>
      <w:r w:rsidR="00C46738" w:rsidRPr="00C71CA5">
        <w:rPr>
          <w:rFonts w:asciiTheme="minorHAnsi" w:hAnsiTheme="minorHAnsi"/>
        </w:rPr>
        <w:t>Current and Proposed</w:t>
      </w:r>
      <w:r w:rsidR="00EA47DA" w:rsidRPr="00C71CA5">
        <w:rPr>
          <w:rFonts w:asciiTheme="minorHAnsi" w:hAnsiTheme="minorHAnsi"/>
        </w:rPr>
        <w:t xml:space="preserve"> </w:t>
      </w:r>
      <w:r w:rsidR="00201BCA" w:rsidRPr="00C71CA5">
        <w:rPr>
          <w:rFonts w:asciiTheme="minorHAnsi" w:hAnsiTheme="minorHAnsi"/>
        </w:rPr>
        <w:t xml:space="preserve">Acute </w:t>
      </w:r>
      <w:r w:rsidR="00B341AF" w:rsidRPr="00C71CA5">
        <w:rPr>
          <w:rFonts w:asciiTheme="minorHAnsi" w:hAnsiTheme="minorHAnsi"/>
        </w:rPr>
        <w:t xml:space="preserve">Ammonia </w:t>
      </w:r>
      <w:r w:rsidR="00201BCA" w:rsidRPr="00C71CA5">
        <w:rPr>
          <w:rFonts w:asciiTheme="minorHAnsi" w:hAnsiTheme="minorHAnsi"/>
        </w:rPr>
        <w:t xml:space="preserve">Criteria </w:t>
      </w:r>
      <w:r w:rsidR="00EF6EC3" w:rsidRPr="00C71CA5">
        <w:rPr>
          <w:rFonts w:asciiTheme="minorHAnsi" w:hAnsiTheme="minorHAnsi"/>
        </w:rPr>
        <w:t>Comparison</w:t>
      </w:r>
      <w:bookmarkEnd w:id="13"/>
    </w:p>
    <w:p w:rsidR="00201BCA" w:rsidRDefault="00201BCA" w:rsidP="004D65A8">
      <w:r w:rsidRPr="00201BCA">
        <w:t>Generally,</w:t>
      </w:r>
      <w:r>
        <w:t xml:space="preserve"> EPA’s updated </w:t>
      </w:r>
      <w:r w:rsidR="00D6076D">
        <w:t xml:space="preserve">acute </w:t>
      </w:r>
      <w:r>
        <w:t>criteria are more stringent</w:t>
      </w:r>
      <w:r w:rsidR="00A55A03">
        <w:t xml:space="preserve"> than Oregon’s </w:t>
      </w:r>
      <w:r w:rsidR="00EC52C5">
        <w:t xml:space="preserve">current </w:t>
      </w:r>
      <w:r w:rsidR="00A55A03">
        <w:t>criteria</w:t>
      </w:r>
      <w:r w:rsidR="00C46738">
        <w:t>,</w:t>
      </w:r>
      <w:r w:rsidR="00A55A03">
        <w:t xml:space="preserve"> which </w:t>
      </w:r>
      <w:r w:rsidR="009B754E">
        <w:t xml:space="preserve">DEQ </w:t>
      </w:r>
      <w:r>
        <w:t>based on EPA recommendations from 1985.</w:t>
      </w:r>
      <w:r w:rsidRPr="00201BCA">
        <w:t xml:space="preserve"> </w:t>
      </w:r>
      <w:r w:rsidR="00DE2DA8">
        <w:t xml:space="preserve">However, at lower temperatures and pH, EPA’s criteria are less stringent than Oregon’s current acute criteria. </w:t>
      </w:r>
      <w:r w:rsidR="00A4667F">
        <w:t>F</w:t>
      </w:r>
      <w:r w:rsidR="000F27A5">
        <w:t>igure</w:t>
      </w:r>
      <w:r w:rsidR="00A4667F">
        <w:t xml:space="preserve"> 2</w:t>
      </w:r>
      <w:r w:rsidR="000F27A5">
        <w:t xml:space="preserve"> below illustrates the difference in criteria at selected pH values and the presence of salmonids. Trout and salmon inhabit many waterbodies throughout Oregon. </w:t>
      </w:r>
    </w:p>
    <w:p w:rsidR="00C71CA5" w:rsidRDefault="00C71CA5" w:rsidP="004D65A8"/>
    <w:p w:rsidR="00C71CA5" w:rsidRDefault="00C71CA5" w:rsidP="004D65A8"/>
    <w:p w:rsidR="00C71CA5" w:rsidRDefault="00C71CA5" w:rsidP="004D65A8"/>
    <w:p w:rsidR="00C71CA5" w:rsidRDefault="00C71CA5" w:rsidP="004D65A8"/>
    <w:p w:rsidR="00C71CA5" w:rsidRDefault="00C71CA5" w:rsidP="004D65A8"/>
    <w:p w:rsidR="00C71CA5" w:rsidRDefault="00C71CA5" w:rsidP="004D65A8"/>
    <w:p w:rsidR="00C71CA5" w:rsidRDefault="00C71CA5" w:rsidP="004D65A8"/>
    <w:p w:rsidR="00201BCA" w:rsidRDefault="00201BCA" w:rsidP="004D65A8"/>
    <w:p w:rsidR="00ED52FB" w:rsidRPr="00C71CA5" w:rsidRDefault="000F27A5">
      <w:pPr>
        <w:pStyle w:val="Caption"/>
        <w:rPr>
          <w:rFonts w:asciiTheme="minorHAnsi" w:hAnsiTheme="minorHAnsi"/>
        </w:rPr>
      </w:pPr>
      <w:r w:rsidRPr="00C71CA5">
        <w:rPr>
          <w:rFonts w:asciiTheme="minorHAnsi" w:hAnsiTheme="minorHAnsi"/>
        </w:rPr>
        <w:lastRenderedPageBreak/>
        <w:t xml:space="preserve">Figure </w:t>
      </w:r>
      <w:r w:rsidR="00822E83" w:rsidRPr="00C71CA5">
        <w:rPr>
          <w:rFonts w:asciiTheme="minorHAnsi" w:hAnsiTheme="minorHAnsi"/>
        </w:rPr>
        <w:fldChar w:fldCharType="begin"/>
      </w:r>
      <w:r w:rsidR="0080765A" w:rsidRPr="00C71CA5">
        <w:rPr>
          <w:rFonts w:asciiTheme="minorHAnsi" w:hAnsiTheme="minorHAnsi"/>
        </w:rPr>
        <w:instrText xml:space="preserve"> SEQ Figure \* ARABIC </w:instrText>
      </w:r>
      <w:r w:rsidR="00822E83" w:rsidRPr="00C71CA5">
        <w:rPr>
          <w:rFonts w:asciiTheme="minorHAnsi" w:hAnsiTheme="minorHAnsi"/>
        </w:rPr>
        <w:fldChar w:fldCharType="separate"/>
      </w:r>
      <w:r w:rsidR="00F1402D" w:rsidRPr="00C71CA5">
        <w:rPr>
          <w:rFonts w:asciiTheme="minorHAnsi" w:hAnsiTheme="minorHAnsi"/>
          <w:noProof/>
        </w:rPr>
        <w:t>2</w:t>
      </w:r>
      <w:r w:rsidR="00822E83" w:rsidRPr="00C71CA5">
        <w:rPr>
          <w:rFonts w:asciiTheme="minorHAnsi" w:hAnsiTheme="minorHAnsi"/>
        </w:rPr>
        <w:fldChar w:fldCharType="end"/>
      </w:r>
      <w:r w:rsidRPr="00C71CA5">
        <w:rPr>
          <w:rFonts w:asciiTheme="minorHAnsi" w:hAnsiTheme="minorHAnsi"/>
        </w:rPr>
        <w:t xml:space="preserve">: Comparison between </w:t>
      </w:r>
      <w:r w:rsidR="00C46738" w:rsidRPr="00C71CA5">
        <w:rPr>
          <w:rFonts w:asciiTheme="minorHAnsi" w:hAnsiTheme="minorHAnsi"/>
        </w:rPr>
        <w:t>c</w:t>
      </w:r>
      <w:r w:rsidR="008B41DB" w:rsidRPr="00C71CA5">
        <w:rPr>
          <w:rFonts w:asciiTheme="minorHAnsi" w:hAnsiTheme="minorHAnsi"/>
        </w:rPr>
        <w:t xml:space="preserve">urrent </w:t>
      </w:r>
      <w:r w:rsidRPr="00C71CA5">
        <w:rPr>
          <w:rFonts w:asciiTheme="minorHAnsi" w:hAnsiTheme="minorHAnsi"/>
        </w:rPr>
        <w:t xml:space="preserve">and </w:t>
      </w:r>
      <w:r w:rsidR="00C46738" w:rsidRPr="00C71CA5">
        <w:rPr>
          <w:rFonts w:asciiTheme="minorHAnsi" w:hAnsiTheme="minorHAnsi"/>
        </w:rPr>
        <w:t>proposed</w:t>
      </w:r>
      <w:r w:rsidRPr="00C71CA5">
        <w:rPr>
          <w:rFonts w:asciiTheme="minorHAnsi" w:hAnsiTheme="minorHAnsi"/>
        </w:rPr>
        <w:t xml:space="preserve"> acute ammonia criteria</w:t>
      </w:r>
    </w:p>
    <w:p w:rsidR="00201BCA" w:rsidRDefault="00D86394" w:rsidP="004D65A8">
      <w:r w:rsidRPr="00D86394">
        <w:rPr>
          <w:noProof/>
          <w:lang w:eastAsia="en-US"/>
        </w:rPr>
        <w:drawing>
          <wp:inline distT="0" distB="0" distL="0" distR="0">
            <wp:extent cx="5859038" cy="3619815"/>
            <wp:effectExtent l="19050" t="0" r="8362"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srcRect/>
                    <a:stretch>
                      <a:fillRect/>
                    </a:stretch>
                  </pic:blipFill>
                  <pic:spPr bwMode="auto">
                    <a:xfrm>
                      <a:off x="0" y="0"/>
                      <a:ext cx="5856388" cy="3618178"/>
                    </a:xfrm>
                    <a:prstGeom prst="rect">
                      <a:avLst/>
                    </a:prstGeom>
                    <a:noFill/>
                    <a:ln w="9525">
                      <a:noFill/>
                      <a:miter lim="800000"/>
                      <a:headEnd/>
                      <a:tailEnd/>
                    </a:ln>
                  </pic:spPr>
                </pic:pic>
              </a:graphicData>
            </a:graphic>
          </wp:inline>
        </w:drawing>
      </w:r>
    </w:p>
    <w:p w:rsidR="003727B1" w:rsidRPr="00201BCA" w:rsidRDefault="003727B1" w:rsidP="004D65A8"/>
    <w:p w:rsidR="006552CF" w:rsidRPr="00C71CA5" w:rsidRDefault="00227440" w:rsidP="004D65A8">
      <w:pPr>
        <w:pStyle w:val="Heading2"/>
        <w:rPr>
          <w:rFonts w:asciiTheme="minorHAnsi" w:hAnsiTheme="minorHAnsi"/>
        </w:rPr>
      </w:pPr>
      <w:bookmarkStart w:id="14" w:name="_Toc395516157"/>
      <w:r w:rsidRPr="00C71CA5">
        <w:rPr>
          <w:rFonts w:asciiTheme="minorHAnsi" w:hAnsiTheme="minorHAnsi"/>
        </w:rPr>
        <w:t>II</w:t>
      </w:r>
      <w:r w:rsidR="006A2A5F" w:rsidRPr="00C71CA5">
        <w:rPr>
          <w:rFonts w:asciiTheme="minorHAnsi" w:hAnsiTheme="minorHAnsi"/>
        </w:rPr>
        <w:t>I</w:t>
      </w:r>
      <w:r w:rsidRPr="00C71CA5">
        <w:rPr>
          <w:rFonts w:asciiTheme="minorHAnsi" w:hAnsiTheme="minorHAnsi"/>
        </w:rPr>
        <w:t>.F</w:t>
      </w:r>
      <w:r w:rsidR="006A2A5F" w:rsidRPr="00C71CA5">
        <w:rPr>
          <w:rFonts w:asciiTheme="minorHAnsi" w:hAnsiTheme="minorHAnsi"/>
        </w:rPr>
        <w:t>.</w:t>
      </w:r>
      <w:r w:rsidRPr="00C71CA5">
        <w:rPr>
          <w:rFonts w:asciiTheme="minorHAnsi" w:hAnsiTheme="minorHAnsi"/>
        </w:rPr>
        <w:t xml:space="preserve"> </w:t>
      </w:r>
      <w:r w:rsidR="006552CF" w:rsidRPr="00C71CA5">
        <w:rPr>
          <w:rFonts w:asciiTheme="minorHAnsi" w:hAnsiTheme="minorHAnsi"/>
        </w:rPr>
        <w:t xml:space="preserve">Chronic </w:t>
      </w:r>
      <w:bookmarkEnd w:id="14"/>
      <w:r w:rsidR="00BE71F4">
        <w:rPr>
          <w:rFonts w:asciiTheme="minorHAnsi" w:hAnsiTheme="minorHAnsi"/>
        </w:rPr>
        <w:t>Criteria</w:t>
      </w:r>
    </w:p>
    <w:p w:rsidR="00774396" w:rsidRDefault="00774396" w:rsidP="004D65A8">
      <w:r w:rsidRPr="00774396">
        <w:t>A</w:t>
      </w:r>
      <w:r>
        <w:t>mmonia chronic toxicity data were</w:t>
      </w:r>
      <w:r w:rsidRPr="00774396">
        <w:t xml:space="preserve"> available for 21 spec</w:t>
      </w:r>
      <w:r>
        <w:t>ies of freshwater organisms: 10</w:t>
      </w:r>
      <w:r w:rsidRPr="00774396">
        <w:t xml:space="preserve"> invertebrate species (mussels, cl</w:t>
      </w:r>
      <w:r>
        <w:t>am, snail, cladocerans, daphnid</w:t>
      </w:r>
      <w:r w:rsidRPr="00774396">
        <w:t xml:space="preserve"> and insect) and 11</w:t>
      </w:r>
      <w:r w:rsidR="008B0E8A">
        <w:t xml:space="preserve"> fish species, including three </w:t>
      </w:r>
      <w:r w:rsidR="009B754E">
        <w:t>f</w:t>
      </w:r>
      <w:r w:rsidR="009B754E" w:rsidRPr="00774396">
        <w:t>ederally listed</w:t>
      </w:r>
      <w:r w:rsidRPr="00774396">
        <w:t xml:space="preserve"> salmonid species. </w:t>
      </w:r>
    </w:p>
    <w:p w:rsidR="000354F4" w:rsidRDefault="000354F4" w:rsidP="004D65A8"/>
    <w:p w:rsidR="003F3E5D" w:rsidRDefault="00EC52C5">
      <w:pPr>
        <w:spacing w:after="120"/>
      </w:pPr>
      <w:r w:rsidRPr="00EC52C5">
        <w:t xml:space="preserve">EPA calculated the chronic criterion based on </w:t>
      </w:r>
      <w:r w:rsidR="009E16F1">
        <w:t xml:space="preserve">the </w:t>
      </w:r>
      <w:r w:rsidRPr="00EC52C5">
        <w:t xml:space="preserve">fifth percentile of the </w:t>
      </w:r>
      <w:r>
        <w:t xml:space="preserve">genus mean chronic values (GMCV) of the </w:t>
      </w:r>
      <w:r w:rsidR="000A2C9E">
        <w:t xml:space="preserve">21 </w:t>
      </w:r>
      <w:r>
        <w:t>tested species</w:t>
      </w:r>
      <w:r w:rsidRPr="00EC52C5">
        <w:t>. The GMCVs for the four most sensitive species from most to least sensitive</w:t>
      </w:r>
      <w:r w:rsidR="009B754E">
        <w:t xml:space="preserve"> are</w:t>
      </w:r>
      <w:r w:rsidRPr="00EC52C5">
        <w:t>:</w:t>
      </w:r>
    </w:p>
    <w:p w:rsidR="003F3E5D" w:rsidRPr="0024053D" w:rsidRDefault="00EC52C5">
      <w:pPr>
        <w:pStyle w:val="Default"/>
        <w:spacing w:after="120" w:line="276" w:lineRule="auto"/>
        <w:ind w:left="720"/>
        <w:rPr>
          <w:rFonts w:asciiTheme="minorHAnsi" w:hAnsiTheme="minorHAnsi" w:cstheme="majorHAnsi"/>
          <w:i/>
          <w:iCs/>
          <w:color w:val="000000" w:themeColor="text1"/>
          <w:sz w:val="22"/>
          <w:szCs w:val="22"/>
        </w:rPr>
      </w:pPr>
      <w:r w:rsidRPr="0024053D">
        <w:rPr>
          <w:rFonts w:asciiTheme="minorHAnsi" w:hAnsiTheme="minorHAnsi" w:cstheme="majorHAnsi"/>
          <w:color w:val="000000" w:themeColor="text1"/>
          <w:sz w:val="22"/>
          <w:szCs w:val="22"/>
        </w:rPr>
        <w:t xml:space="preserve">1. </w:t>
      </w:r>
      <w:r w:rsidRPr="0024053D">
        <w:rPr>
          <w:rFonts w:asciiTheme="minorHAnsi" w:hAnsiTheme="minorHAnsi" w:cstheme="majorHAnsi"/>
          <w:i/>
          <w:iCs/>
          <w:color w:val="000000" w:themeColor="text1"/>
          <w:sz w:val="22"/>
          <w:szCs w:val="22"/>
        </w:rPr>
        <w:t xml:space="preserve">Lampsilis </w:t>
      </w:r>
      <w:r w:rsidRPr="0024053D">
        <w:rPr>
          <w:rFonts w:asciiTheme="minorHAnsi" w:hAnsiTheme="minorHAnsi" w:cstheme="majorHAnsi"/>
          <w:color w:val="000000" w:themeColor="text1"/>
          <w:sz w:val="22"/>
          <w:szCs w:val="22"/>
        </w:rPr>
        <w:t>spp, Wavy-rayed lamp mussel and Fatmucket (GMCV=2.126 mg TAN/L</w:t>
      </w:r>
      <w:r w:rsidRPr="0024053D">
        <w:rPr>
          <w:rFonts w:asciiTheme="minorHAnsi" w:hAnsiTheme="minorHAnsi" w:cstheme="majorHAnsi"/>
          <w:i/>
          <w:iCs/>
          <w:color w:val="000000" w:themeColor="text1"/>
          <w:sz w:val="22"/>
          <w:szCs w:val="22"/>
        </w:rPr>
        <w:t xml:space="preserve">) </w:t>
      </w:r>
    </w:p>
    <w:p w:rsidR="003F3E5D" w:rsidRPr="0024053D" w:rsidRDefault="00EC52C5">
      <w:pPr>
        <w:pStyle w:val="Default"/>
        <w:spacing w:after="120" w:line="276" w:lineRule="auto"/>
        <w:ind w:left="720"/>
        <w:rPr>
          <w:rFonts w:asciiTheme="minorHAnsi" w:hAnsiTheme="minorHAnsi" w:cstheme="majorHAnsi"/>
          <w:color w:val="000000" w:themeColor="text1"/>
          <w:sz w:val="22"/>
          <w:szCs w:val="22"/>
          <w:lang w:val="fr-FR"/>
        </w:rPr>
      </w:pPr>
      <w:r w:rsidRPr="0024053D">
        <w:rPr>
          <w:rFonts w:asciiTheme="minorHAnsi" w:hAnsiTheme="minorHAnsi" w:cstheme="majorHAnsi"/>
          <w:color w:val="000000" w:themeColor="text1"/>
          <w:sz w:val="22"/>
          <w:szCs w:val="22"/>
          <w:lang w:val="fr-FR"/>
        </w:rPr>
        <w:t xml:space="preserve">2. </w:t>
      </w:r>
      <w:r w:rsidRPr="0024053D">
        <w:rPr>
          <w:rFonts w:asciiTheme="minorHAnsi" w:hAnsiTheme="minorHAnsi" w:cstheme="majorHAnsi"/>
          <w:i/>
          <w:iCs/>
          <w:color w:val="000000" w:themeColor="text1"/>
          <w:sz w:val="22"/>
          <w:szCs w:val="22"/>
          <w:lang w:val="fr-FR"/>
        </w:rPr>
        <w:t xml:space="preserve">Villosa iris, </w:t>
      </w:r>
      <w:r w:rsidRPr="0024053D">
        <w:rPr>
          <w:rFonts w:asciiTheme="minorHAnsi" w:hAnsiTheme="minorHAnsi" w:cstheme="majorHAnsi"/>
          <w:color w:val="000000" w:themeColor="text1"/>
          <w:sz w:val="22"/>
          <w:szCs w:val="22"/>
          <w:lang w:val="fr-FR"/>
        </w:rPr>
        <w:t>Rainbow mussel (GMCV= 3.501 mg TAN/L)</w:t>
      </w:r>
    </w:p>
    <w:p w:rsidR="003F3E5D" w:rsidRPr="0024053D" w:rsidRDefault="00EC52C5">
      <w:pPr>
        <w:pStyle w:val="Default"/>
        <w:spacing w:after="120" w:line="276" w:lineRule="auto"/>
        <w:ind w:left="720"/>
        <w:rPr>
          <w:rFonts w:asciiTheme="minorHAnsi" w:hAnsiTheme="minorHAnsi" w:cstheme="majorHAnsi"/>
          <w:color w:val="000000" w:themeColor="text1"/>
          <w:sz w:val="22"/>
          <w:szCs w:val="22"/>
        </w:rPr>
      </w:pPr>
      <w:r w:rsidRPr="0024053D">
        <w:rPr>
          <w:rFonts w:asciiTheme="minorHAnsi" w:hAnsiTheme="minorHAnsi" w:cstheme="majorHAnsi"/>
          <w:color w:val="000000" w:themeColor="text1"/>
          <w:sz w:val="22"/>
          <w:szCs w:val="22"/>
        </w:rPr>
        <w:t xml:space="preserve">3. </w:t>
      </w:r>
      <w:r w:rsidRPr="0024053D">
        <w:rPr>
          <w:rFonts w:asciiTheme="minorHAnsi" w:hAnsiTheme="minorHAnsi" w:cstheme="majorHAnsi"/>
          <w:i/>
          <w:iCs/>
          <w:color w:val="000000" w:themeColor="text1"/>
          <w:sz w:val="22"/>
          <w:szCs w:val="22"/>
        </w:rPr>
        <w:t xml:space="preserve">Lepomis </w:t>
      </w:r>
      <w:r w:rsidRPr="0024053D">
        <w:rPr>
          <w:rFonts w:asciiTheme="minorHAnsi" w:hAnsiTheme="minorHAnsi" w:cstheme="majorHAnsi"/>
          <w:color w:val="000000" w:themeColor="text1"/>
          <w:sz w:val="22"/>
          <w:szCs w:val="22"/>
        </w:rPr>
        <w:t xml:space="preserve">spp., Bluegill and Green sunfish (GMCV= 6.920 mg TAN/L) </w:t>
      </w:r>
    </w:p>
    <w:p w:rsidR="00EC52C5" w:rsidRPr="0024053D" w:rsidRDefault="00EC52C5" w:rsidP="00F15C24">
      <w:pPr>
        <w:pStyle w:val="Default"/>
        <w:spacing w:line="276" w:lineRule="auto"/>
        <w:ind w:left="720"/>
        <w:rPr>
          <w:rFonts w:asciiTheme="minorHAnsi" w:hAnsiTheme="minorHAnsi" w:cstheme="majorHAnsi"/>
          <w:color w:val="000000" w:themeColor="text1"/>
          <w:sz w:val="22"/>
          <w:szCs w:val="22"/>
        </w:rPr>
      </w:pPr>
      <w:r w:rsidRPr="0024053D">
        <w:rPr>
          <w:rFonts w:asciiTheme="minorHAnsi" w:hAnsiTheme="minorHAnsi" w:cstheme="majorHAnsi"/>
          <w:color w:val="000000" w:themeColor="text1"/>
          <w:sz w:val="22"/>
          <w:szCs w:val="22"/>
        </w:rPr>
        <w:t xml:space="preserve">4. </w:t>
      </w:r>
      <w:r w:rsidRPr="0024053D">
        <w:rPr>
          <w:rFonts w:asciiTheme="minorHAnsi" w:hAnsiTheme="minorHAnsi" w:cstheme="majorHAnsi"/>
          <w:i/>
          <w:iCs/>
          <w:color w:val="000000" w:themeColor="text1"/>
          <w:sz w:val="22"/>
          <w:szCs w:val="22"/>
        </w:rPr>
        <w:t xml:space="preserve">Musculium transversum, </w:t>
      </w:r>
      <w:r w:rsidRPr="0024053D">
        <w:rPr>
          <w:rFonts w:asciiTheme="minorHAnsi" w:hAnsiTheme="minorHAnsi" w:cstheme="majorHAnsi"/>
          <w:color w:val="000000" w:themeColor="text1"/>
          <w:sz w:val="22"/>
          <w:szCs w:val="22"/>
        </w:rPr>
        <w:t>Long fingernailclam (GMCV= 7.547 mg TAN/L)</w:t>
      </w:r>
    </w:p>
    <w:p w:rsidR="00F15C24" w:rsidRPr="00EC52C5" w:rsidRDefault="00F15C24" w:rsidP="00F15C24">
      <w:pPr>
        <w:pStyle w:val="Default"/>
        <w:spacing w:line="276" w:lineRule="auto"/>
        <w:ind w:left="720"/>
        <w:rPr>
          <w:rFonts w:asciiTheme="majorHAnsi" w:hAnsiTheme="majorHAnsi" w:cstheme="majorHAnsi"/>
          <w:color w:val="000000" w:themeColor="text1"/>
          <w:sz w:val="22"/>
          <w:szCs w:val="22"/>
        </w:rPr>
      </w:pPr>
    </w:p>
    <w:p w:rsidR="003F3E5D" w:rsidRDefault="009E16F1">
      <w:r w:rsidRPr="00C577D2">
        <w:t xml:space="preserve">The </w:t>
      </w:r>
      <w:r w:rsidR="009B754E">
        <w:t xml:space="preserve">chronic dataset ranks the </w:t>
      </w:r>
      <w:r w:rsidRPr="00C577D2">
        <w:t xml:space="preserve">pebblesnail </w:t>
      </w:r>
      <w:r w:rsidR="009B754E">
        <w:t>as number five</w:t>
      </w:r>
      <w:r w:rsidRPr="00C577D2">
        <w:t>.</w:t>
      </w:r>
      <w:r w:rsidR="00C577D2" w:rsidRPr="00C577D2">
        <w:t xml:space="preserve"> Insects were the least sensitive in the chronic data, while salmonids had middle sensitivities.</w:t>
      </w:r>
      <w:r w:rsidR="00A21918">
        <w:t xml:space="preserve"> Because </w:t>
      </w:r>
      <w:r w:rsidR="00E97420">
        <w:t>EPA based</w:t>
      </w:r>
      <w:r w:rsidR="009B754E">
        <w:t xml:space="preserve"> </w:t>
      </w:r>
      <w:r w:rsidR="00A21918">
        <w:t xml:space="preserve">the chronic criteria </w:t>
      </w:r>
      <w:r w:rsidR="00C577D2" w:rsidRPr="00C577D2">
        <w:t xml:space="preserve">on the effects of sensitive invertebrate species, including unionid mussels </w:t>
      </w:r>
      <w:r w:rsidR="00C577D2">
        <w:t>w</w:t>
      </w:r>
      <w:r w:rsidR="00C577D2" w:rsidRPr="00C577D2">
        <w:t>hen mussel</w:t>
      </w:r>
      <w:r w:rsidR="00C577D2">
        <w:t>s are present, the chronic criteria</w:t>
      </w:r>
      <w:r w:rsidR="00BB4580">
        <w:t xml:space="preserve"> are</w:t>
      </w:r>
      <w:r w:rsidR="00EF6EC3">
        <w:t xml:space="preserve"> protective of </w:t>
      </w:r>
      <w:r w:rsidR="00C577D2" w:rsidRPr="00C577D2">
        <w:t xml:space="preserve">early life </w:t>
      </w:r>
      <w:r w:rsidR="00EF6EC3">
        <w:t xml:space="preserve">fish </w:t>
      </w:r>
      <w:r w:rsidR="00C577D2" w:rsidRPr="00C577D2">
        <w:t>stages regardless of temperature.</w:t>
      </w:r>
      <w:r w:rsidR="00C577D2">
        <w:t xml:space="preserve"> For this reason, criteria calculation</w:t>
      </w:r>
      <w:r w:rsidR="000354F4">
        <w:t>s</w:t>
      </w:r>
      <w:r w:rsidR="00C577D2">
        <w:t xml:space="preserve"> to account for presence or absence of fish early life stages are not necessary. </w:t>
      </w:r>
      <w:r w:rsidR="000354F4">
        <w:t xml:space="preserve">See </w:t>
      </w:r>
      <w:r w:rsidR="000354F4" w:rsidRPr="00F81452">
        <w:lastRenderedPageBreak/>
        <w:t xml:space="preserve">Appendix C, Table </w:t>
      </w:r>
      <w:r w:rsidR="000354F4">
        <w:t>2</w:t>
      </w:r>
      <w:r w:rsidR="003F159E">
        <w:t xml:space="preserve"> for comparisons of sensitive species and associated chronic criteria </w:t>
      </w:r>
      <w:r w:rsidR="000A2C9E">
        <w:t>in the</w:t>
      </w:r>
      <w:r w:rsidR="003F159E">
        <w:t xml:space="preserve"> EPA recommendations </w:t>
      </w:r>
      <w:r w:rsidR="000A2C9E">
        <w:t>from</w:t>
      </w:r>
      <w:r w:rsidR="003F159E">
        <w:t xml:space="preserve"> 1999, 2009 and 2013.</w:t>
      </w:r>
    </w:p>
    <w:p w:rsidR="00E97420" w:rsidRDefault="00E97420" w:rsidP="004D65A8"/>
    <w:p w:rsidR="000354F4" w:rsidRPr="00F15C24" w:rsidRDefault="00C577D2" w:rsidP="004D65A8">
      <w:r>
        <w:t xml:space="preserve">The </w:t>
      </w:r>
      <w:r w:rsidR="00A21918">
        <w:t>chronic averaging period changed</w:t>
      </w:r>
      <w:r>
        <w:t xml:space="preserve"> from Oregon’s current </w:t>
      </w:r>
      <w:r w:rsidR="000354F4">
        <w:t>1985 recommendations</w:t>
      </w:r>
      <w:r w:rsidR="00A21918">
        <w:t xml:space="preserve"> </w:t>
      </w:r>
      <w:r>
        <w:t>averaging period of 4</w:t>
      </w:r>
      <w:r w:rsidR="00A4667F">
        <w:t xml:space="preserve"> </w:t>
      </w:r>
      <w:r w:rsidR="000354F4">
        <w:t xml:space="preserve">days </w:t>
      </w:r>
      <w:r>
        <w:t xml:space="preserve">to a </w:t>
      </w:r>
      <w:r w:rsidR="00A21918">
        <w:t xml:space="preserve">period of </w:t>
      </w:r>
      <w:r>
        <w:t>30 days. EPA recommende</w:t>
      </w:r>
      <w:r w:rsidR="00A21918">
        <w:t>d this change beginning with the</w:t>
      </w:r>
      <w:r>
        <w:t xml:space="preserve"> 1999 update</w:t>
      </w:r>
      <w:r w:rsidR="00BB4580">
        <w:t xml:space="preserve">, although </w:t>
      </w:r>
      <w:r w:rsidR="00277580">
        <w:t xml:space="preserve">EPA allowed </w:t>
      </w:r>
      <w:r w:rsidR="00BB4580">
        <w:t>a 30-</w:t>
      </w:r>
      <w:r w:rsidR="00A21918">
        <w:t>day averaging period in the 1985 recommendations if concentrations of ammonia had limited variability.</w:t>
      </w:r>
      <w:r w:rsidR="00BB4580">
        <w:t xml:space="preserve"> EPA indicates that a 30-</w:t>
      </w:r>
      <w:r w:rsidR="002A0606">
        <w:t xml:space="preserve">day averaging period continues to be appropriate, but that a 4-day averaging period is also necessary to align with </w:t>
      </w:r>
      <w:r w:rsidR="00BB4580">
        <w:t xml:space="preserve">the duration exposure specified in </w:t>
      </w:r>
      <w:r w:rsidR="002A0606">
        <w:t xml:space="preserve">the 1985 Stephan et al </w:t>
      </w:r>
      <w:r w:rsidR="00BB4580">
        <w:t>Guidelines for chronic criteria</w:t>
      </w:r>
      <w:r w:rsidR="000354F4">
        <w:t>,</w:t>
      </w:r>
      <w:r w:rsidR="00BB4580">
        <w:t xml:space="preserve"> and as a basis for water quality based effluent limits. Further, it provides a limit in variability of ammonia concentrations. </w:t>
      </w:r>
      <w:r w:rsidR="002A0606">
        <w:t>Based on 7-day toxicity tests on fathead minnows, EPA determined that the highest 4-day average within a 30-day period should not exceed 2.5 times the chronic criterion at a certain pH and temperature</w:t>
      </w:r>
      <w:r w:rsidR="00BB4580">
        <w:rPr>
          <w:rStyle w:val="FootnoteReference"/>
          <w:rFonts w:asciiTheme="majorHAnsi" w:hAnsiTheme="majorHAnsi"/>
          <w:color w:val="000000" w:themeColor="text1"/>
        </w:rPr>
        <w:footnoteReference w:id="16"/>
      </w:r>
      <w:r w:rsidR="00BB4580">
        <w:t xml:space="preserve">. </w:t>
      </w:r>
      <w:r w:rsidR="007431C1">
        <w:t xml:space="preserve">Therefore, if the chronic criterion at a pH of 7 and temperature of 20˚C is </w:t>
      </w:r>
      <w:r w:rsidR="00506313">
        <w:t xml:space="preserve">1.9 mg/L TAN, </w:t>
      </w:r>
      <w:r w:rsidR="00DE7A15">
        <w:t>the highest 4-day average</w:t>
      </w:r>
      <w:r w:rsidR="008B0E8A">
        <w:t xml:space="preserve"> within that 30 day period can</w:t>
      </w:r>
      <w:r w:rsidR="00DE7A15">
        <w:t xml:space="preserve">not exceed 4.8 mg/L TAN (i.e. 1.9 x 2.5). </w:t>
      </w:r>
      <w:r w:rsidR="00BA6C2C">
        <w:t>For criteria based on different pH and temperatures,</w:t>
      </w:r>
      <w:r w:rsidR="000354F4">
        <w:t xml:space="preserve"> including criteria formulas,</w:t>
      </w:r>
      <w:r w:rsidR="00BA6C2C">
        <w:t xml:space="preserve"> see </w:t>
      </w:r>
      <w:r w:rsidR="000354F4" w:rsidRPr="00F81452">
        <w:t>Table 3 in Appendix D</w:t>
      </w:r>
      <w:r w:rsidR="00BA6C2C" w:rsidRPr="00F81452">
        <w:t>.</w:t>
      </w:r>
      <w:r w:rsidR="00227440" w:rsidRPr="00F81452">
        <w:t xml:space="preserve"> </w:t>
      </w:r>
      <w:r w:rsidR="000354F4" w:rsidRPr="00F81452">
        <w:t xml:space="preserve">Figure </w:t>
      </w:r>
      <w:r w:rsidR="000354F4">
        <w:t>3</w:t>
      </w:r>
      <w:r w:rsidR="00DE7A15">
        <w:t xml:space="preserve"> below shows the EPA’s chronic criteria at selected pH values.</w:t>
      </w:r>
    </w:p>
    <w:p w:rsidR="003F3E5D" w:rsidRDefault="003F3E5D">
      <w:pPr>
        <w:pStyle w:val="Caption"/>
      </w:pPr>
    </w:p>
    <w:p w:rsidR="00277580" w:rsidRDefault="00277580">
      <w:pPr>
        <w:pStyle w:val="Caption"/>
      </w:pPr>
    </w:p>
    <w:p w:rsidR="00ED52FB" w:rsidRPr="00E97420" w:rsidRDefault="00DE7A15">
      <w:pPr>
        <w:pStyle w:val="Caption"/>
        <w:rPr>
          <w:rFonts w:asciiTheme="minorHAnsi" w:hAnsiTheme="minorHAnsi"/>
        </w:rPr>
      </w:pPr>
      <w:r w:rsidRPr="00E97420">
        <w:rPr>
          <w:rFonts w:asciiTheme="minorHAnsi" w:hAnsiTheme="minorHAnsi"/>
        </w:rPr>
        <w:t xml:space="preserve">Figure </w:t>
      </w:r>
      <w:r w:rsidR="00822E83" w:rsidRPr="00E97420">
        <w:rPr>
          <w:rFonts w:asciiTheme="minorHAnsi" w:hAnsiTheme="minorHAnsi"/>
        </w:rPr>
        <w:fldChar w:fldCharType="begin"/>
      </w:r>
      <w:r w:rsidR="0080765A" w:rsidRPr="00E97420">
        <w:rPr>
          <w:rFonts w:asciiTheme="minorHAnsi" w:hAnsiTheme="minorHAnsi"/>
        </w:rPr>
        <w:instrText xml:space="preserve"> SEQ Figure \* ARABIC </w:instrText>
      </w:r>
      <w:r w:rsidR="00822E83" w:rsidRPr="00E97420">
        <w:rPr>
          <w:rFonts w:asciiTheme="minorHAnsi" w:hAnsiTheme="minorHAnsi"/>
        </w:rPr>
        <w:fldChar w:fldCharType="separate"/>
      </w:r>
      <w:r w:rsidR="00F1402D" w:rsidRPr="00E97420">
        <w:rPr>
          <w:rFonts w:asciiTheme="minorHAnsi" w:hAnsiTheme="minorHAnsi"/>
          <w:noProof/>
        </w:rPr>
        <w:t>3</w:t>
      </w:r>
      <w:r w:rsidR="00822E83" w:rsidRPr="00E97420">
        <w:rPr>
          <w:rFonts w:asciiTheme="minorHAnsi" w:hAnsiTheme="minorHAnsi"/>
        </w:rPr>
        <w:fldChar w:fldCharType="end"/>
      </w:r>
      <w:r w:rsidR="00EA51FC" w:rsidRPr="00E97420">
        <w:rPr>
          <w:rFonts w:asciiTheme="minorHAnsi" w:hAnsiTheme="minorHAnsi"/>
        </w:rPr>
        <w:t xml:space="preserve">: </w:t>
      </w:r>
      <w:r w:rsidR="00C46738" w:rsidRPr="00E97420">
        <w:rPr>
          <w:rFonts w:asciiTheme="minorHAnsi" w:hAnsiTheme="minorHAnsi"/>
        </w:rPr>
        <w:t>Proposed</w:t>
      </w:r>
      <w:r w:rsidR="00EA51FC" w:rsidRPr="00E97420">
        <w:rPr>
          <w:rFonts w:asciiTheme="minorHAnsi" w:hAnsiTheme="minorHAnsi"/>
        </w:rPr>
        <w:t xml:space="preserve"> chronic criteria at selected pH values</w:t>
      </w:r>
    </w:p>
    <w:p w:rsidR="003F3E5D" w:rsidRDefault="003F3E5D"/>
    <w:p w:rsidR="003F3E5D" w:rsidRDefault="003727B1">
      <w:pPr>
        <w:pStyle w:val="Caption"/>
        <w:rPr>
          <w:rFonts w:asciiTheme="majorHAnsi" w:hAnsiTheme="majorHAnsi" w:cstheme="majorHAnsi"/>
        </w:rPr>
      </w:pPr>
      <w:r w:rsidRPr="003727B1">
        <w:rPr>
          <w:noProof/>
        </w:rPr>
        <w:drawing>
          <wp:inline distT="0" distB="0" distL="0" distR="0">
            <wp:extent cx="5562447" cy="3423875"/>
            <wp:effectExtent l="19050" t="0" r="153"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srcRect/>
                    <a:stretch>
                      <a:fillRect/>
                    </a:stretch>
                  </pic:blipFill>
                  <pic:spPr bwMode="auto">
                    <a:xfrm>
                      <a:off x="0" y="0"/>
                      <a:ext cx="5560950" cy="3422954"/>
                    </a:xfrm>
                    <a:prstGeom prst="rect">
                      <a:avLst/>
                    </a:prstGeom>
                    <a:noFill/>
                    <a:ln w="9525">
                      <a:noFill/>
                      <a:miter lim="800000"/>
                      <a:headEnd/>
                      <a:tailEnd/>
                    </a:ln>
                  </pic:spPr>
                </pic:pic>
              </a:graphicData>
            </a:graphic>
          </wp:inline>
        </w:drawing>
      </w:r>
    </w:p>
    <w:p w:rsidR="00277580" w:rsidRDefault="00277580">
      <w:pPr>
        <w:spacing w:after="200"/>
        <w:rPr>
          <w:rFonts w:asciiTheme="majorHAnsi" w:eastAsiaTheme="majorEastAsia" w:hAnsiTheme="majorHAnsi" w:cstheme="majorBidi"/>
          <w:color w:val="2B8F91"/>
          <w:sz w:val="28"/>
          <w:szCs w:val="26"/>
        </w:rPr>
      </w:pPr>
      <w:r>
        <w:br w:type="page"/>
      </w:r>
    </w:p>
    <w:p w:rsidR="00EA51FC" w:rsidRPr="00E97420" w:rsidRDefault="00227440" w:rsidP="004D65A8">
      <w:pPr>
        <w:pStyle w:val="Heading2"/>
        <w:rPr>
          <w:rFonts w:asciiTheme="minorHAnsi" w:hAnsiTheme="minorHAnsi" w:cstheme="majorHAnsi"/>
        </w:rPr>
      </w:pPr>
      <w:bookmarkStart w:id="15" w:name="_Toc395516158"/>
      <w:r w:rsidRPr="00E97420">
        <w:rPr>
          <w:rFonts w:asciiTheme="minorHAnsi" w:hAnsiTheme="minorHAnsi"/>
        </w:rPr>
        <w:lastRenderedPageBreak/>
        <w:t>II</w:t>
      </w:r>
      <w:r w:rsidR="006A2A5F" w:rsidRPr="00E97420">
        <w:rPr>
          <w:rFonts w:asciiTheme="minorHAnsi" w:hAnsiTheme="minorHAnsi"/>
        </w:rPr>
        <w:t>I</w:t>
      </w:r>
      <w:r w:rsidRPr="00E97420">
        <w:rPr>
          <w:rFonts w:asciiTheme="minorHAnsi" w:hAnsiTheme="minorHAnsi"/>
        </w:rPr>
        <w:t>.G</w:t>
      </w:r>
      <w:r w:rsidR="006A2A5F" w:rsidRPr="00E97420">
        <w:rPr>
          <w:rFonts w:asciiTheme="minorHAnsi" w:hAnsiTheme="minorHAnsi"/>
        </w:rPr>
        <w:t>.</w:t>
      </w:r>
      <w:r w:rsidR="00EF6EC3" w:rsidRPr="00E97420">
        <w:rPr>
          <w:rFonts w:asciiTheme="minorHAnsi" w:hAnsiTheme="minorHAnsi"/>
        </w:rPr>
        <w:t xml:space="preserve"> </w:t>
      </w:r>
      <w:r w:rsidR="00C46738" w:rsidRPr="00E97420">
        <w:rPr>
          <w:rFonts w:asciiTheme="minorHAnsi" w:hAnsiTheme="minorHAnsi"/>
        </w:rPr>
        <w:t>Current and Proposed</w:t>
      </w:r>
      <w:r w:rsidRPr="00E97420">
        <w:rPr>
          <w:rFonts w:asciiTheme="minorHAnsi" w:hAnsiTheme="minorHAnsi"/>
        </w:rPr>
        <w:t xml:space="preserve"> </w:t>
      </w:r>
      <w:r w:rsidR="00EA51FC" w:rsidRPr="00E97420">
        <w:rPr>
          <w:rFonts w:asciiTheme="minorHAnsi" w:hAnsiTheme="minorHAnsi"/>
        </w:rPr>
        <w:t xml:space="preserve">Chronic </w:t>
      </w:r>
      <w:r w:rsidR="00B341AF" w:rsidRPr="00E97420">
        <w:rPr>
          <w:rFonts w:asciiTheme="minorHAnsi" w:hAnsiTheme="minorHAnsi"/>
        </w:rPr>
        <w:t xml:space="preserve">Ammonia </w:t>
      </w:r>
      <w:r w:rsidR="00EA51FC" w:rsidRPr="00E97420">
        <w:rPr>
          <w:rFonts w:asciiTheme="minorHAnsi" w:hAnsiTheme="minorHAnsi"/>
        </w:rPr>
        <w:t>Criteria</w:t>
      </w:r>
      <w:r w:rsidR="00EF6EC3" w:rsidRPr="00E97420">
        <w:rPr>
          <w:rFonts w:asciiTheme="minorHAnsi" w:hAnsiTheme="minorHAnsi"/>
        </w:rPr>
        <w:t xml:space="preserve"> Comparison</w:t>
      </w:r>
      <w:bookmarkEnd w:id="15"/>
      <w:r w:rsidR="00EA51FC" w:rsidRPr="00E97420">
        <w:rPr>
          <w:rFonts w:asciiTheme="minorHAnsi" w:hAnsiTheme="minorHAnsi"/>
        </w:rPr>
        <w:t xml:space="preserve"> </w:t>
      </w:r>
    </w:p>
    <w:p w:rsidR="00AB6DAC" w:rsidRDefault="00EA51FC" w:rsidP="004D65A8">
      <w:r w:rsidRPr="00201BCA">
        <w:t>Generally,</w:t>
      </w:r>
      <w:r>
        <w:t xml:space="preserve"> EPA’s updated </w:t>
      </w:r>
      <w:r w:rsidR="00D6076D">
        <w:t xml:space="preserve">chronic </w:t>
      </w:r>
      <w:r>
        <w:t>criteria are less stringent than Oregon’s current criteria based on EPA recommendations from 1985.</w:t>
      </w:r>
      <w:r w:rsidRPr="00201BCA">
        <w:t xml:space="preserve"> </w:t>
      </w:r>
      <w:r w:rsidR="002713F4" w:rsidRPr="00F81452">
        <w:t>F</w:t>
      </w:r>
      <w:r w:rsidRPr="00F81452">
        <w:t>igure</w:t>
      </w:r>
      <w:r w:rsidR="002713F4" w:rsidRPr="00F81452">
        <w:t xml:space="preserve"> 4</w:t>
      </w:r>
      <w:r>
        <w:t xml:space="preserve"> below illustrates the difference in criteria at selected pH values.</w:t>
      </w:r>
      <w:r w:rsidR="00D6076D">
        <w:t xml:space="preserve"> Since Oregon</w:t>
      </w:r>
      <w:r w:rsidR="000D4264">
        <w:t>’s current criteria</w:t>
      </w:r>
      <w:r w:rsidR="00D6076D">
        <w:t xml:space="preserve"> do not use 30-day averaging, </w:t>
      </w:r>
      <w:r w:rsidR="00E97420">
        <w:t xml:space="preserve">DEQ multiplied </w:t>
      </w:r>
      <w:r w:rsidR="00D6076D">
        <w:t xml:space="preserve">EPA criteria values at selected pH values by 2.5 </w:t>
      </w:r>
      <w:r w:rsidR="00AD175B">
        <w:t xml:space="preserve">(i.e. any 4-day average in a 30-day period cannot exceed 2.5 times the chronic criterion) </w:t>
      </w:r>
      <w:r w:rsidR="00D6076D">
        <w:t>to compare to Oregon’s criteria based on a 4-day average.</w:t>
      </w:r>
      <w:r w:rsidR="00AD175B">
        <w:t xml:space="preserve"> Figure 5 directly compares Oregon’s criteria based on a 4-day average to EPA’s criteria based on a 30-day average. The Figure 5 comparison shows that the criteria differences are not as great.</w:t>
      </w:r>
    </w:p>
    <w:p w:rsidR="00AD175B" w:rsidRDefault="00AD175B" w:rsidP="004D65A8"/>
    <w:p w:rsidR="002713F4" w:rsidRPr="002713F4" w:rsidRDefault="002713F4" w:rsidP="004D65A8"/>
    <w:p w:rsidR="00ED52FB" w:rsidRPr="00E97420" w:rsidRDefault="00227440">
      <w:pPr>
        <w:pStyle w:val="Caption"/>
        <w:rPr>
          <w:rFonts w:asciiTheme="minorHAnsi" w:hAnsiTheme="minorHAnsi"/>
        </w:rPr>
      </w:pPr>
      <w:r w:rsidRPr="00E97420">
        <w:rPr>
          <w:rFonts w:asciiTheme="minorHAnsi" w:hAnsiTheme="minorHAnsi"/>
        </w:rPr>
        <w:t xml:space="preserve">Figure </w:t>
      </w:r>
      <w:r w:rsidR="00822E83" w:rsidRPr="00E97420">
        <w:rPr>
          <w:rFonts w:asciiTheme="minorHAnsi" w:hAnsiTheme="minorHAnsi"/>
        </w:rPr>
        <w:fldChar w:fldCharType="begin"/>
      </w:r>
      <w:r w:rsidR="0080765A" w:rsidRPr="00E97420">
        <w:rPr>
          <w:rFonts w:asciiTheme="minorHAnsi" w:hAnsiTheme="minorHAnsi"/>
        </w:rPr>
        <w:instrText xml:space="preserve"> SEQ Figure \* ARABIC </w:instrText>
      </w:r>
      <w:r w:rsidR="00822E83" w:rsidRPr="00E97420">
        <w:rPr>
          <w:rFonts w:asciiTheme="minorHAnsi" w:hAnsiTheme="minorHAnsi"/>
        </w:rPr>
        <w:fldChar w:fldCharType="separate"/>
      </w:r>
      <w:r w:rsidR="00F1402D" w:rsidRPr="00E97420">
        <w:rPr>
          <w:rFonts w:asciiTheme="minorHAnsi" w:hAnsiTheme="minorHAnsi"/>
          <w:noProof/>
        </w:rPr>
        <w:t>4</w:t>
      </w:r>
      <w:r w:rsidR="00822E83" w:rsidRPr="00E97420">
        <w:rPr>
          <w:rFonts w:asciiTheme="minorHAnsi" w:hAnsiTheme="minorHAnsi"/>
        </w:rPr>
        <w:fldChar w:fldCharType="end"/>
      </w:r>
      <w:r w:rsidRPr="00E97420">
        <w:rPr>
          <w:rFonts w:asciiTheme="minorHAnsi" w:hAnsiTheme="minorHAnsi"/>
        </w:rPr>
        <w:t xml:space="preserve">: Comparison between </w:t>
      </w:r>
      <w:r w:rsidR="00C46738" w:rsidRPr="00E97420">
        <w:rPr>
          <w:rFonts w:asciiTheme="minorHAnsi" w:hAnsiTheme="minorHAnsi"/>
        </w:rPr>
        <w:t>current</w:t>
      </w:r>
      <w:r w:rsidRPr="00E97420">
        <w:rPr>
          <w:rFonts w:asciiTheme="minorHAnsi" w:hAnsiTheme="minorHAnsi"/>
        </w:rPr>
        <w:t xml:space="preserve"> and </w:t>
      </w:r>
      <w:r w:rsidR="00C46738" w:rsidRPr="00E97420">
        <w:rPr>
          <w:rFonts w:asciiTheme="minorHAnsi" w:hAnsiTheme="minorHAnsi"/>
        </w:rPr>
        <w:t>proposed</w:t>
      </w:r>
      <w:r w:rsidRPr="00E97420">
        <w:rPr>
          <w:rFonts w:asciiTheme="minorHAnsi" w:hAnsiTheme="minorHAnsi"/>
        </w:rPr>
        <w:t xml:space="preserve"> </w:t>
      </w:r>
      <w:r w:rsidR="000474D4" w:rsidRPr="00E97420">
        <w:rPr>
          <w:rFonts w:asciiTheme="minorHAnsi" w:hAnsiTheme="minorHAnsi"/>
        </w:rPr>
        <w:t>chronic</w:t>
      </w:r>
      <w:r w:rsidRPr="00E97420">
        <w:rPr>
          <w:rFonts w:asciiTheme="minorHAnsi" w:hAnsiTheme="minorHAnsi"/>
        </w:rPr>
        <w:t xml:space="preserve"> ammonia criteria</w:t>
      </w:r>
    </w:p>
    <w:p w:rsidR="003F3E5D" w:rsidRDefault="003F3E5D"/>
    <w:p w:rsidR="003F3E5D" w:rsidRDefault="009D05B8">
      <w:pPr>
        <w:rPr>
          <w:rFonts w:cs="Times New Roman"/>
          <w:sz w:val="28"/>
        </w:rPr>
      </w:pPr>
      <w:r w:rsidRPr="009D05B8">
        <w:rPr>
          <w:noProof/>
          <w:lang w:eastAsia="en-US"/>
        </w:rPr>
        <w:drawing>
          <wp:inline distT="0" distB="0" distL="0" distR="0">
            <wp:extent cx="5634436" cy="3511296"/>
            <wp:effectExtent l="19050" t="0" r="4364"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srcRect/>
                    <a:stretch>
                      <a:fillRect/>
                    </a:stretch>
                  </pic:blipFill>
                  <pic:spPr bwMode="auto">
                    <a:xfrm>
                      <a:off x="0" y="0"/>
                      <a:ext cx="5637402" cy="3513145"/>
                    </a:xfrm>
                    <a:prstGeom prst="rect">
                      <a:avLst/>
                    </a:prstGeom>
                    <a:noFill/>
                    <a:ln w="9525">
                      <a:noFill/>
                      <a:miter lim="800000"/>
                      <a:headEnd/>
                      <a:tailEnd/>
                    </a:ln>
                  </pic:spPr>
                </pic:pic>
              </a:graphicData>
            </a:graphic>
          </wp:inline>
        </w:drawing>
      </w:r>
    </w:p>
    <w:p w:rsidR="003F3E5D" w:rsidRDefault="003F3E5D">
      <w:pPr>
        <w:spacing w:line="240" w:lineRule="auto"/>
        <w:ind w:left="360" w:right="907"/>
        <w:rPr>
          <w:b/>
        </w:rPr>
      </w:pPr>
    </w:p>
    <w:p w:rsidR="006A75FA" w:rsidRDefault="00582C91" w:rsidP="009B754E">
      <w:pPr>
        <w:ind w:left="360"/>
      </w:pPr>
      <w:r w:rsidRPr="00582C91">
        <w:rPr>
          <w:b/>
        </w:rPr>
        <w:t>Note:</w:t>
      </w:r>
      <w:r w:rsidRPr="00582C91">
        <w:t xml:space="preserve"> </w:t>
      </w:r>
      <w:r w:rsidR="009B754E">
        <w:t xml:space="preserve"> The graph above shows </w:t>
      </w:r>
      <w:r w:rsidRPr="00582C91">
        <w:t xml:space="preserve">Oregon’s ammonia </w:t>
      </w:r>
      <w:r w:rsidR="000474D4">
        <w:t>chronic</w:t>
      </w:r>
      <w:r w:rsidRPr="00582C91">
        <w:t xml:space="preserve"> criteria at pH of 6.5 and 7.0</w:t>
      </w:r>
      <w:r w:rsidR="009B754E">
        <w:t xml:space="preserve"> on one line because they are almost identical</w:t>
      </w:r>
      <w:r w:rsidRPr="00582C91">
        <w:t>.</w:t>
      </w:r>
      <w:r w:rsidR="00650061">
        <w:t xml:space="preserve"> </w:t>
      </w:r>
      <w:r w:rsidR="009B754E">
        <w:t xml:space="preserve">The graph shows </w:t>
      </w:r>
      <w:r w:rsidR="00650061">
        <w:t>Oregon’s criteria based on salmonid presence. Presence or absence of salmonids is not applicable for the proposed chronic criteria.</w:t>
      </w:r>
    </w:p>
    <w:p w:rsidR="00AD175B" w:rsidRDefault="00AD175B" w:rsidP="009B754E">
      <w:pPr>
        <w:ind w:left="360"/>
      </w:pPr>
    </w:p>
    <w:p w:rsidR="00AD175B" w:rsidRDefault="00AD175B" w:rsidP="00AD175B"/>
    <w:p w:rsidR="00AD175B" w:rsidRDefault="00AD175B" w:rsidP="00AD175B"/>
    <w:p w:rsidR="00AD175B" w:rsidRDefault="00AD175B" w:rsidP="00AD175B"/>
    <w:p w:rsidR="00AD175B" w:rsidRDefault="00AD175B" w:rsidP="00AD175B"/>
    <w:p w:rsidR="00AD175B" w:rsidRDefault="00AD175B" w:rsidP="00AD175B"/>
    <w:p w:rsidR="00AD175B" w:rsidRDefault="00AD175B" w:rsidP="00AD175B"/>
    <w:p w:rsidR="00AD175B" w:rsidRDefault="00AD175B" w:rsidP="00AD175B"/>
    <w:p w:rsidR="00AD175B" w:rsidRDefault="00AD175B" w:rsidP="00AD175B"/>
    <w:p w:rsidR="00AD175B" w:rsidRPr="00E97420" w:rsidRDefault="00AD175B" w:rsidP="00AD175B">
      <w:pPr>
        <w:pStyle w:val="Caption"/>
        <w:rPr>
          <w:rFonts w:asciiTheme="minorHAnsi" w:hAnsiTheme="minorHAnsi"/>
        </w:rPr>
      </w:pPr>
      <w:r w:rsidRPr="00E97420">
        <w:rPr>
          <w:rFonts w:asciiTheme="minorHAnsi" w:hAnsiTheme="minorHAnsi"/>
        </w:rPr>
        <w:t xml:space="preserve">Figure </w:t>
      </w:r>
      <w:r>
        <w:rPr>
          <w:rFonts w:asciiTheme="minorHAnsi" w:hAnsiTheme="minorHAnsi"/>
        </w:rPr>
        <w:t>5</w:t>
      </w:r>
      <w:r w:rsidRPr="00E97420">
        <w:rPr>
          <w:rFonts w:asciiTheme="minorHAnsi" w:hAnsiTheme="minorHAnsi"/>
        </w:rPr>
        <w:t>: Comparison between current and proposed chronic ammonia criteria</w:t>
      </w:r>
    </w:p>
    <w:p w:rsidR="00AD175B" w:rsidRDefault="00AD175B" w:rsidP="00AD175B"/>
    <w:p w:rsidR="00AD175B" w:rsidRDefault="00AD175B" w:rsidP="00AD175B">
      <w:r w:rsidRPr="00AD175B">
        <w:rPr>
          <w:noProof/>
          <w:lang w:eastAsia="en-US"/>
        </w:rPr>
        <w:drawing>
          <wp:inline distT="0" distB="0" distL="0" distR="0">
            <wp:extent cx="6057900" cy="3773774"/>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6057900" cy="3773774"/>
                    </a:xfrm>
                    <a:prstGeom prst="rect">
                      <a:avLst/>
                    </a:prstGeom>
                    <a:noFill/>
                    <a:ln w="9525">
                      <a:noFill/>
                      <a:miter lim="800000"/>
                      <a:headEnd/>
                      <a:tailEnd/>
                    </a:ln>
                  </pic:spPr>
                </pic:pic>
              </a:graphicData>
            </a:graphic>
          </wp:inline>
        </w:drawing>
      </w:r>
    </w:p>
    <w:p w:rsidR="00AD175B" w:rsidRDefault="00AD175B" w:rsidP="00AD175B">
      <w:pPr>
        <w:ind w:left="360"/>
      </w:pPr>
      <w:r w:rsidRPr="00582C91">
        <w:rPr>
          <w:b/>
        </w:rPr>
        <w:t>Note:</w:t>
      </w:r>
      <w:r w:rsidRPr="00582C91">
        <w:t xml:space="preserve"> </w:t>
      </w:r>
      <w:r>
        <w:t xml:space="preserve"> The graph above shows </w:t>
      </w:r>
      <w:r w:rsidRPr="00582C91">
        <w:t xml:space="preserve">Oregon’s ammonia </w:t>
      </w:r>
      <w:r>
        <w:t>chronic</w:t>
      </w:r>
      <w:r w:rsidRPr="00582C91">
        <w:t xml:space="preserve"> criteria at pH of 6.5 and 7.0</w:t>
      </w:r>
      <w:r>
        <w:t xml:space="preserve"> on one line because they are almost identical</w:t>
      </w:r>
      <w:r w:rsidRPr="00582C91">
        <w:t>.</w:t>
      </w:r>
      <w:r>
        <w:t xml:space="preserve"> The graph shows Oregon’s criteria based on salmonid presence. Presence or absence of salmonids is not applicable for the proposed chronic criteria.</w:t>
      </w:r>
    </w:p>
    <w:p w:rsidR="008D72EE" w:rsidRPr="00107CEB" w:rsidRDefault="006A2A5F" w:rsidP="004D65A8">
      <w:pPr>
        <w:pStyle w:val="Heading1"/>
        <w:rPr>
          <w:rFonts w:asciiTheme="minorHAnsi" w:hAnsiTheme="minorHAnsi"/>
        </w:rPr>
      </w:pPr>
      <w:bookmarkStart w:id="16" w:name="_Toc395516159"/>
      <w:r w:rsidRPr="00107CEB">
        <w:rPr>
          <w:rFonts w:asciiTheme="minorHAnsi" w:hAnsiTheme="minorHAnsi"/>
        </w:rPr>
        <w:t>iv</w:t>
      </w:r>
      <w:r w:rsidR="0046670D" w:rsidRPr="00107CEB">
        <w:rPr>
          <w:rFonts w:asciiTheme="minorHAnsi" w:hAnsiTheme="minorHAnsi"/>
        </w:rPr>
        <w:t xml:space="preserve">. </w:t>
      </w:r>
      <w:r w:rsidR="008D72EE" w:rsidRPr="00107CEB">
        <w:rPr>
          <w:rFonts w:asciiTheme="minorHAnsi" w:hAnsiTheme="minorHAnsi"/>
        </w:rPr>
        <w:t>site-specific criteria for ammonia</w:t>
      </w:r>
      <w:bookmarkEnd w:id="16"/>
    </w:p>
    <w:p w:rsidR="00584AAA" w:rsidRPr="00584AAA" w:rsidRDefault="00277580" w:rsidP="004D65A8">
      <w:r>
        <w:rPr>
          <w:color w:val="000000" w:themeColor="text1"/>
        </w:rPr>
        <w:t>Similar to</w:t>
      </w:r>
      <w:r w:rsidR="00E97420">
        <w:rPr>
          <w:color w:val="000000" w:themeColor="text1"/>
        </w:rPr>
        <w:t xml:space="preserve"> other water quality pollutants</w:t>
      </w:r>
      <w:r w:rsidR="00584AAA">
        <w:rPr>
          <w:color w:val="000000" w:themeColor="text1"/>
        </w:rPr>
        <w:t>, Oregon may develop site-specific criteria for ammonia</w:t>
      </w:r>
      <w:r w:rsidR="00584AAA" w:rsidRPr="00584AAA">
        <w:t xml:space="preserve"> where there are demonstrated differences in sensitivity between the aquatic species that occur at the site and those used to derive the nat</w:t>
      </w:r>
      <w:r w:rsidR="009F286D">
        <w:t xml:space="preserve">ional criteria recommendations. The analysis must be based on a sound scientific rationale that protects the designated use and is subject to EPA review and approval. </w:t>
      </w:r>
    </w:p>
    <w:p w:rsidR="00614CA1" w:rsidRDefault="00614CA1" w:rsidP="004D65A8"/>
    <w:p w:rsidR="00F15C24" w:rsidRDefault="00584AAA" w:rsidP="004D65A8">
      <w:r>
        <w:t xml:space="preserve">In Appendix N of EPA’s </w:t>
      </w:r>
      <w:r w:rsidR="00310B8F">
        <w:t xml:space="preserve">2013 </w:t>
      </w:r>
      <w:r>
        <w:t xml:space="preserve">Criteria Document, EPA </w:t>
      </w:r>
      <w:r w:rsidRPr="00485AAC">
        <w:t xml:space="preserve">provided a species recalculation of the </w:t>
      </w:r>
      <w:r w:rsidR="006078BF">
        <w:t xml:space="preserve">ammonia </w:t>
      </w:r>
      <w:r w:rsidRPr="00485AAC">
        <w:t xml:space="preserve">criteria where there </w:t>
      </w:r>
      <w:r w:rsidR="003F5A23">
        <w:t xml:space="preserve">are no mussels </w:t>
      </w:r>
      <w:r w:rsidR="003F5A23" w:rsidRPr="003F5A23">
        <w:rPr>
          <w:u w:val="single"/>
        </w:rPr>
        <w:t>and</w:t>
      </w:r>
      <w:r w:rsidR="003F5A23">
        <w:t xml:space="preserve"> there are no</w:t>
      </w:r>
      <w:r w:rsidRPr="00485AAC">
        <w:t xml:space="preserve"> species </w:t>
      </w:r>
      <w:r w:rsidR="000474D4">
        <w:t xml:space="preserve">at a site </w:t>
      </w:r>
      <w:r w:rsidRPr="00485AAC">
        <w:t>related to unionid mussels</w:t>
      </w:r>
      <w:r w:rsidR="006078BF">
        <w:t>. </w:t>
      </w:r>
      <w:r w:rsidR="00614CA1">
        <w:t>EPA</w:t>
      </w:r>
      <w:r w:rsidR="00614CA1" w:rsidRPr="00485AAC">
        <w:t xml:space="preserve"> provided</w:t>
      </w:r>
      <w:r w:rsidR="00614CA1">
        <w:t xml:space="preserve"> these alternate criteria</w:t>
      </w:r>
      <w:r w:rsidR="00614CA1" w:rsidRPr="00485AAC">
        <w:t xml:space="preserve"> </w:t>
      </w:r>
      <w:r w:rsidR="00614CA1" w:rsidRPr="00614CA1">
        <w:t>due to the complexity of the relationship between ammonia toxicity and pH and temperature across different aquatic organisms.</w:t>
      </w:r>
      <w:r w:rsidR="00614CA1">
        <w:rPr>
          <w:sz w:val="23"/>
          <w:szCs w:val="23"/>
        </w:rPr>
        <w:t xml:space="preserve"> </w:t>
      </w:r>
      <w:r w:rsidR="00996209">
        <w:t>The removal of mussels from the national dataset results in criteria</w:t>
      </w:r>
      <w:r w:rsidR="00614CA1">
        <w:t xml:space="preserve"> that are less stringent, but </w:t>
      </w:r>
      <w:r w:rsidR="000D1507">
        <w:t>remain</w:t>
      </w:r>
      <w:r w:rsidR="00996209">
        <w:t xml:space="preserve"> protective of the aquatic community residing at a site. </w:t>
      </w:r>
    </w:p>
    <w:p w:rsidR="00107CEB" w:rsidRDefault="00107CEB" w:rsidP="004D65A8"/>
    <w:p w:rsidR="00600F4E" w:rsidRDefault="00600F4E" w:rsidP="00600F4E">
      <w:pPr>
        <w:spacing w:after="120" w:line="240" w:lineRule="auto"/>
      </w:pPr>
      <w:r>
        <w:lastRenderedPageBreak/>
        <w:t xml:space="preserve">The procedure associated with </w:t>
      </w:r>
      <w:r w:rsidRPr="00BC70EF">
        <w:t xml:space="preserve">removing mussels from the national dataset is </w:t>
      </w:r>
      <w:r w:rsidRPr="00B8440A">
        <w:t>the Recalculation Procedure</w:t>
      </w:r>
      <w:r w:rsidR="0096290D" w:rsidRPr="00BC70EF">
        <w:rPr>
          <w:rStyle w:val="FootnoteReference"/>
          <w:rFonts w:asciiTheme="majorHAnsi" w:hAnsiTheme="majorHAnsi"/>
        </w:rPr>
        <w:footnoteReference w:id="17"/>
      </w:r>
      <w:r w:rsidRPr="00BC70EF">
        <w:t xml:space="preserve">. </w:t>
      </w:r>
      <w:r>
        <w:t>The procedure:</w:t>
      </w:r>
    </w:p>
    <w:p w:rsidR="00600F4E" w:rsidRDefault="00600F4E" w:rsidP="00600F4E">
      <w:pPr>
        <w:pStyle w:val="ListParagraph"/>
        <w:numPr>
          <w:ilvl w:val="0"/>
          <w:numId w:val="61"/>
        </w:numPr>
        <w:spacing w:after="120" w:line="240" w:lineRule="auto"/>
        <w:contextualSpacing w:val="0"/>
      </w:pPr>
      <w:r>
        <w:t>A</w:t>
      </w:r>
      <w:r w:rsidRPr="003B6FF2">
        <w:t>llows deletion of nonresident tested species</w:t>
      </w:r>
      <w:r>
        <w:t xml:space="preserve"> from the national dataset</w:t>
      </w:r>
      <w:r w:rsidRPr="003B6FF2">
        <w:t xml:space="preserve"> if they are not appropriate surrogates of resident untested species</w:t>
      </w:r>
      <w:r w:rsidR="000F4F6A">
        <w:t>. Alternatively, the procedure could account for unique spec</w:t>
      </w:r>
      <w:r w:rsidR="0096290D">
        <w:t>ies at a waterbody site that EPA’s national dataset did not represent</w:t>
      </w:r>
      <w:r w:rsidR="000F4F6A">
        <w:t>.</w:t>
      </w:r>
      <w:r w:rsidR="0096290D">
        <w:t xml:space="preserve"> A state can then derive </w:t>
      </w:r>
      <w:r w:rsidR="000F4F6A">
        <w:t>site-spec</w:t>
      </w:r>
      <w:r w:rsidR="0096290D">
        <w:t>ific criteria to protect the aquatic species found at a particular site.</w:t>
      </w:r>
    </w:p>
    <w:p w:rsidR="0096290D" w:rsidRDefault="0096290D" w:rsidP="0096290D">
      <w:pPr>
        <w:pStyle w:val="ListParagraph"/>
        <w:numPr>
          <w:ilvl w:val="0"/>
          <w:numId w:val="61"/>
        </w:numPr>
      </w:pPr>
      <w:r>
        <w:t>May result in site-specific criteria that are either more or less stringent than EPA’s recommended criteria</w:t>
      </w:r>
    </w:p>
    <w:p w:rsidR="00600F4E" w:rsidRDefault="00600F4E" w:rsidP="00C15922"/>
    <w:p w:rsidR="006078BF" w:rsidRDefault="003B6FF2" w:rsidP="00C15922">
      <w:r>
        <w:t xml:space="preserve">For more information about the Recalculation Procedure, see EPA’s updated guidance: </w:t>
      </w:r>
      <w:hyperlink r:id="rId23" w:history="1">
        <w:r w:rsidRPr="00107CEB">
          <w:rPr>
            <w:rStyle w:val="Hyperlink"/>
          </w:rPr>
          <w:t>http://water.epa.gov/scitech/swguidance/standards/criteria/aqlife/ammonia/upload/Revised-Deletion-Process-for-the-Site-Specific-Recalculation-Procedure-for-Aquatic-Life-Criteria.pdf</w:t>
        </w:r>
      </w:hyperlink>
      <w:r w:rsidRPr="00107CEB">
        <w:t>.</w:t>
      </w:r>
    </w:p>
    <w:p w:rsidR="00600F4E" w:rsidRDefault="00600F4E" w:rsidP="00C15922"/>
    <w:p w:rsidR="00107CEB" w:rsidRDefault="000425B2" w:rsidP="00107CEB">
      <w:r>
        <w:t xml:space="preserve">As noted earlier, </w:t>
      </w:r>
      <w:r w:rsidR="00600F4E">
        <w:t xml:space="preserve">EPA must approve </w:t>
      </w:r>
      <w:r w:rsidR="003F5A23">
        <w:t>site-specific criteria</w:t>
      </w:r>
      <w:r>
        <w:t>. Any rev</w:t>
      </w:r>
      <w:r w:rsidR="006078BF">
        <w:t>ised or new criteria</w:t>
      </w:r>
      <w:r w:rsidR="002713F4">
        <w:t>/site-specific criteria</w:t>
      </w:r>
      <w:r w:rsidR="006078BF">
        <w:t xml:space="preserve"> proposed to protect aquatic life are</w:t>
      </w:r>
      <w:r>
        <w:t xml:space="preserve"> also subject to ESA consultation requirements</w:t>
      </w:r>
      <w:r w:rsidR="00193C01">
        <w:t>, which can complicate development of protective criteria</w:t>
      </w:r>
      <w:r>
        <w:t xml:space="preserve">. </w:t>
      </w:r>
      <w:r w:rsidR="00702277">
        <w:t>For example, EPA used toxicity data associated with salmonid species listed as threatened or endangered in Oregon in deriving national protective ammonia criteria</w:t>
      </w:r>
      <w:r w:rsidR="00F87B67">
        <w:t>,</w:t>
      </w:r>
      <w:r w:rsidR="00702277">
        <w:t xml:space="preserve"> generally developed to protect 95</w:t>
      </w:r>
      <w:r w:rsidR="00107CEB">
        <w:t xml:space="preserve"> </w:t>
      </w:r>
      <w:r w:rsidR="00600F4E">
        <w:t xml:space="preserve">percent </w:t>
      </w:r>
      <w:r w:rsidR="00702277">
        <w:t>of aquatic species. If a discharger or other third party demonstrated that mussels were not present at a site</w:t>
      </w:r>
      <w:r w:rsidR="00171C3E">
        <w:t xml:space="preserve"> and proposed site-specific criteria</w:t>
      </w:r>
      <w:r w:rsidR="00702277">
        <w:t>, EPA would still need to consult with NMFS and USFWS to assure protectiveness of any threatened or endangered species</w:t>
      </w:r>
      <w:r w:rsidR="00F47F2E">
        <w:t xml:space="preserve"> residing</w:t>
      </w:r>
      <w:r w:rsidR="00702277">
        <w:t xml:space="preserve"> in Oregon. </w:t>
      </w:r>
      <w:r w:rsidR="00193C01">
        <w:t>In addition, t</w:t>
      </w:r>
      <w:r w:rsidR="00935988">
        <w:t>he biological assessments from NMFS, USFWS and EPA may have conflicting conclusions b</w:t>
      </w:r>
      <w:r w:rsidR="002C0BAB">
        <w:t xml:space="preserve">ecause of the </w:t>
      </w:r>
      <w:r>
        <w:t>differenc</w:t>
      </w:r>
      <w:r w:rsidR="00002D4D">
        <w:t>es in how NMFS and USFWS assess</w:t>
      </w:r>
      <w:r>
        <w:t xml:space="preserve"> biological assessment data</w:t>
      </w:r>
      <w:r w:rsidR="00BA6C2C">
        <w:t xml:space="preserve"> in comparison to EPA </w:t>
      </w:r>
      <w:r w:rsidR="00610E00">
        <w:t xml:space="preserve">established </w:t>
      </w:r>
      <w:r w:rsidR="00BA6C2C">
        <w:t>metho</w:t>
      </w:r>
      <w:r w:rsidR="00610E00">
        <w:t>dologies in deriving</w:t>
      </w:r>
      <w:r w:rsidR="00BA6C2C">
        <w:t xml:space="preserve"> national criteria</w:t>
      </w:r>
      <w:r w:rsidR="00610E00">
        <w:t>.</w:t>
      </w:r>
      <w:r w:rsidR="00193C01">
        <w:t xml:space="preserve"> </w:t>
      </w:r>
    </w:p>
    <w:p w:rsidR="00C0308A" w:rsidRPr="00107CEB" w:rsidRDefault="0046670D" w:rsidP="00107CEB">
      <w:pPr>
        <w:pStyle w:val="Heading1"/>
        <w:rPr>
          <w:rFonts w:asciiTheme="minorHAnsi" w:hAnsiTheme="minorHAnsi"/>
        </w:rPr>
      </w:pPr>
      <w:bookmarkStart w:id="17" w:name="_Toc395516160"/>
      <w:r w:rsidRPr="00107CEB">
        <w:rPr>
          <w:rFonts w:asciiTheme="minorHAnsi" w:hAnsiTheme="minorHAnsi"/>
        </w:rPr>
        <w:t>v.</w:t>
      </w:r>
      <w:r w:rsidRPr="00107CEB">
        <w:rPr>
          <w:rFonts w:asciiTheme="minorHAnsi" w:eastAsiaTheme="minorEastAsia" w:hAnsiTheme="minorHAnsi" w:cstheme="minorBidi"/>
          <w:color w:val="1F3864" w:themeColor="accent5" w:themeShade="80"/>
          <w:sz w:val="26"/>
          <w:szCs w:val="20"/>
        </w:rPr>
        <w:t xml:space="preserve"> </w:t>
      </w:r>
      <w:r w:rsidR="00C0308A" w:rsidRPr="00107CEB">
        <w:rPr>
          <w:rFonts w:asciiTheme="minorHAnsi" w:hAnsiTheme="minorHAnsi"/>
        </w:rPr>
        <w:t>beneficial uses affected</w:t>
      </w:r>
      <w:bookmarkEnd w:id="17"/>
    </w:p>
    <w:p w:rsidR="000F4F6A" w:rsidRDefault="003716F3" w:rsidP="00107CEB">
      <w:r w:rsidRPr="00976061">
        <w:t>Criteria for ammonia apply to waterbodies where</w:t>
      </w:r>
      <w:r w:rsidR="000D4264">
        <w:t xml:space="preserve"> the</w:t>
      </w:r>
      <w:r w:rsidRPr="00976061">
        <w:t xml:space="preserve"> “fish and aquatic life” beneficial use is designated</w:t>
      </w:r>
      <w:r w:rsidR="00541C61" w:rsidRPr="00614CA1">
        <w:t>.</w:t>
      </w:r>
      <w:r w:rsidR="001D0244" w:rsidRPr="00614CA1">
        <w:t xml:space="preserve"> </w:t>
      </w:r>
      <w:r w:rsidR="00496B95" w:rsidRPr="00614CA1">
        <w:t xml:space="preserve">In addition, </w:t>
      </w:r>
      <w:r w:rsidR="00F27228">
        <w:t>a different set of</w:t>
      </w:r>
      <w:r w:rsidR="00496B95" w:rsidRPr="00614CA1">
        <w:t xml:space="preserve"> acute ammonia criteria apply </w:t>
      </w:r>
      <w:r w:rsidR="00F27228">
        <w:t xml:space="preserve">to a waterbody </w:t>
      </w:r>
      <w:r w:rsidR="00496B95" w:rsidRPr="00614CA1">
        <w:t xml:space="preserve">based on </w:t>
      </w:r>
      <w:r w:rsidR="00F27228">
        <w:t xml:space="preserve">the </w:t>
      </w:r>
      <w:r w:rsidR="00496B95" w:rsidRPr="00614CA1">
        <w:t>presence or absence of salmonids</w:t>
      </w:r>
      <w:r w:rsidR="0091654E">
        <w:rPr>
          <w:rStyle w:val="FootnoteReference"/>
        </w:rPr>
        <w:footnoteReference w:id="18"/>
      </w:r>
      <w:r w:rsidR="00496B95" w:rsidRPr="00614CA1">
        <w:t>.</w:t>
      </w:r>
      <w:r w:rsidR="00E73717">
        <w:t xml:space="preserve"> </w:t>
      </w:r>
    </w:p>
    <w:p w:rsidR="000F4F6A" w:rsidRDefault="000F4F6A" w:rsidP="00107CEB"/>
    <w:p w:rsidR="0091654E" w:rsidRDefault="00976061" w:rsidP="0091654E">
      <w:r>
        <w:t xml:space="preserve">The fish use subcategories bulleted below </w:t>
      </w:r>
      <w:r w:rsidR="00E24E8F">
        <w:t xml:space="preserve">include </w:t>
      </w:r>
      <w:r>
        <w:t>salmonid uses</w:t>
      </w:r>
      <w:r w:rsidR="003C225A">
        <w:t xml:space="preserve"> for Oregon waterbodies</w:t>
      </w:r>
      <w:r>
        <w:t xml:space="preserve">. </w:t>
      </w:r>
      <w:r w:rsidR="003C225A">
        <w:t xml:space="preserve">Where any of these subcategories is a designated use for a waterbody, the </w:t>
      </w:r>
      <w:r w:rsidR="00E73717">
        <w:t xml:space="preserve">more stringent </w:t>
      </w:r>
      <w:r w:rsidR="003C225A">
        <w:t xml:space="preserve">ammonia criteria based on the presence of salmonids apply. </w:t>
      </w:r>
      <w:r w:rsidR="00E73717">
        <w:t>T</w:t>
      </w:r>
      <w:r w:rsidR="00E73717" w:rsidRPr="00614CA1">
        <w:t>he majority of Oregon’s waterbodies support salmonid use.</w:t>
      </w:r>
      <w:r w:rsidR="00E73717" w:rsidRPr="00B71296">
        <w:t xml:space="preserve"> </w:t>
      </w:r>
    </w:p>
    <w:p w:rsidR="000F4F6A" w:rsidRDefault="00496B95">
      <w:pPr>
        <w:pStyle w:val="ListParagraph"/>
        <w:numPr>
          <w:ilvl w:val="0"/>
          <w:numId w:val="51"/>
        </w:numPr>
      </w:pPr>
      <w:r w:rsidRPr="00614CA1" w:rsidDel="00D2652B">
        <w:lastRenderedPageBreak/>
        <w:t>Bull trout spawning and juvenile rearing</w:t>
      </w:r>
    </w:p>
    <w:p w:rsidR="000F4F6A" w:rsidRDefault="00496B95">
      <w:pPr>
        <w:pStyle w:val="ListParagraph"/>
        <w:numPr>
          <w:ilvl w:val="0"/>
          <w:numId w:val="51"/>
        </w:numPr>
      </w:pPr>
      <w:r w:rsidRPr="00614CA1" w:rsidDel="00D2652B">
        <w:t>Core cold-water habitat</w:t>
      </w:r>
    </w:p>
    <w:p w:rsidR="000F4F6A" w:rsidRDefault="00496B95">
      <w:pPr>
        <w:pStyle w:val="ListParagraph"/>
        <w:numPr>
          <w:ilvl w:val="0"/>
          <w:numId w:val="51"/>
        </w:numPr>
      </w:pPr>
      <w:r w:rsidRPr="00614CA1" w:rsidDel="00D2652B">
        <w:t>Salmon</w:t>
      </w:r>
      <w:r w:rsidR="003C225A" w:rsidDel="00D2652B">
        <w:t xml:space="preserve"> and trout</w:t>
      </w:r>
      <w:r w:rsidRPr="00614CA1" w:rsidDel="00D2652B">
        <w:t xml:space="preserve"> rearing and migration</w:t>
      </w:r>
    </w:p>
    <w:p w:rsidR="000F4F6A" w:rsidRDefault="00496B95">
      <w:pPr>
        <w:pStyle w:val="ListParagraph"/>
        <w:numPr>
          <w:ilvl w:val="0"/>
          <w:numId w:val="51"/>
        </w:numPr>
      </w:pPr>
      <w:r w:rsidRPr="00614CA1" w:rsidDel="00D2652B">
        <w:t>Salmon and steelhead migration corridor</w:t>
      </w:r>
    </w:p>
    <w:p w:rsidR="000F4F6A" w:rsidRDefault="00496B95">
      <w:pPr>
        <w:pStyle w:val="ListParagraph"/>
        <w:numPr>
          <w:ilvl w:val="0"/>
          <w:numId w:val="51"/>
        </w:numPr>
        <w:spacing w:line="240" w:lineRule="auto"/>
      </w:pPr>
      <w:r w:rsidRPr="00614CA1" w:rsidDel="00D2652B">
        <w:t>Redband or Lahontan Cutthroat Trout</w:t>
      </w:r>
    </w:p>
    <w:p w:rsidR="000F4F6A" w:rsidRDefault="000F4F6A">
      <w:pPr>
        <w:spacing w:line="240" w:lineRule="auto"/>
      </w:pPr>
    </w:p>
    <w:p w:rsidR="00C333CB" w:rsidRDefault="003C225A" w:rsidP="004D65A8">
      <w:r>
        <w:t>Where salmonids are not</w:t>
      </w:r>
      <w:r w:rsidR="0004218A">
        <w:t xml:space="preserve"> a designated use</w:t>
      </w:r>
      <w:r>
        <w:t>, the stream</w:t>
      </w:r>
      <w:r w:rsidR="005B34FF">
        <w:t>’s</w:t>
      </w:r>
      <w:r w:rsidR="0009789C">
        <w:t xml:space="preserve"> designated</w:t>
      </w:r>
      <w:r w:rsidR="005B34FF">
        <w:t xml:space="preserve"> use is </w:t>
      </w:r>
      <w:r w:rsidR="0009789C">
        <w:t xml:space="preserve">for either cool water species </w:t>
      </w:r>
      <w:r w:rsidR="0091654E">
        <w:t xml:space="preserve">or Borax Lake chub. </w:t>
      </w:r>
      <w:r w:rsidR="00EE4846">
        <w:t xml:space="preserve"> These </w:t>
      </w:r>
      <w:r w:rsidR="0091654E">
        <w:t xml:space="preserve">areas </w:t>
      </w:r>
      <w:r w:rsidR="00EE4846">
        <w:t xml:space="preserve">include </w:t>
      </w:r>
      <w:r w:rsidR="0009789C">
        <w:t xml:space="preserve">highly alkaline and saline lakes in Goose and Summer Lake subbasin, </w:t>
      </w:r>
      <w:r w:rsidR="00EE4846">
        <w:t xml:space="preserve">the </w:t>
      </w:r>
      <w:r w:rsidR="0009789C">
        <w:t>lower portions of the Klamath, Malheur and Owyhee Rivers</w:t>
      </w:r>
      <w:r w:rsidR="00EE4846">
        <w:t xml:space="preserve"> and a few other stream reaches, as shown on the fish use tables and maps at the link below</w:t>
      </w:r>
      <w:r w:rsidR="0009789C">
        <w:t xml:space="preserve">. </w:t>
      </w:r>
      <w:r w:rsidR="0091654E">
        <w:t>T</w:t>
      </w:r>
      <w:r w:rsidR="00E73717">
        <w:t>he less stringent acute criteria would apply in these waterbodies.</w:t>
      </w:r>
    </w:p>
    <w:p w:rsidR="0009789C" w:rsidRDefault="0009789C" w:rsidP="004D65A8"/>
    <w:p w:rsidR="00C333CB" w:rsidRDefault="00331EA7" w:rsidP="004D65A8">
      <w:pPr>
        <w:rPr>
          <w:rFonts w:cs="Times New Roman"/>
          <w:color w:val="000000"/>
          <w:szCs w:val="24"/>
        </w:rPr>
      </w:pPr>
      <w:r w:rsidRPr="00614CA1">
        <w:t xml:space="preserve">Because </w:t>
      </w:r>
      <w:r w:rsidR="00500E95">
        <w:t xml:space="preserve">chronic toxicity tests show </w:t>
      </w:r>
      <w:r w:rsidRPr="00614CA1">
        <w:t xml:space="preserve">mussels </w:t>
      </w:r>
      <w:r w:rsidR="00500E95">
        <w:t>are</w:t>
      </w:r>
      <w:r w:rsidR="00500E95" w:rsidRPr="00614CA1">
        <w:t xml:space="preserve"> </w:t>
      </w:r>
      <w:r w:rsidR="0098548B" w:rsidRPr="00614CA1">
        <w:t xml:space="preserve">more sensitive than salmonid species, </w:t>
      </w:r>
      <w:r w:rsidR="00D2652B">
        <w:t>EPA did not</w:t>
      </w:r>
      <w:r w:rsidR="006E357F">
        <w:t xml:space="preserve"> need to</w:t>
      </w:r>
      <w:r w:rsidR="00D2652B">
        <w:t xml:space="preserve"> develop </w:t>
      </w:r>
      <w:r w:rsidR="006E357F">
        <w:t xml:space="preserve">chronic criteria to specifically protect early life stages of </w:t>
      </w:r>
      <w:r w:rsidR="0098548B" w:rsidRPr="00614CA1">
        <w:t>salmonid</w:t>
      </w:r>
      <w:r w:rsidR="006E357F">
        <w:t>s</w:t>
      </w:r>
      <w:r w:rsidR="0098548B" w:rsidRPr="00614CA1">
        <w:t xml:space="preserve">. </w:t>
      </w:r>
      <w:r w:rsidR="0047774C" w:rsidRPr="00614CA1">
        <w:t xml:space="preserve">In the situation where </w:t>
      </w:r>
      <w:r w:rsidR="00A71B0C">
        <w:t xml:space="preserve">a </w:t>
      </w:r>
      <w:r w:rsidR="00427FB1" w:rsidRPr="006E357F">
        <w:rPr>
          <w:u w:val="single"/>
        </w:rPr>
        <w:t>site-specific chronic criterion</w:t>
      </w:r>
      <w:r w:rsidRPr="00614CA1">
        <w:t xml:space="preserve"> </w:t>
      </w:r>
      <w:r w:rsidR="00A71B0C">
        <w:t>is</w:t>
      </w:r>
      <w:r w:rsidR="0047774C" w:rsidRPr="00614CA1">
        <w:t xml:space="preserve"> developed for ammonia based on mussels absent, then protection of early life stages of fish </w:t>
      </w:r>
      <w:r w:rsidR="00341050" w:rsidRPr="00614CA1">
        <w:t xml:space="preserve">is </w:t>
      </w:r>
      <w:r w:rsidR="0047774C" w:rsidRPr="00614CA1">
        <w:t>necessary</w:t>
      </w:r>
      <w:r w:rsidR="00341050" w:rsidRPr="00614CA1">
        <w:t>. Most waterbodies in Oregon support early life stages of fish.</w:t>
      </w:r>
    </w:p>
    <w:p w:rsidR="0098548B" w:rsidRPr="00614CA1" w:rsidRDefault="0098548B" w:rsidP="004D65A8"/>
    <w:p w:rsidR="009401A7" w:rsidRDefault="003E4C03" w:rsidP="004D65A8">
      <w:r>
        <w:t xml:space="preserve">Access fish use maps for Oregon </w:t>
      </w:r>
      <w:r w:rsidR="00331EA7" w:rsidRPr="00614CA1">
        <w:t>here</w:t>
      </w:r>
      <w:r w:rsidR="009401A7" w:rsidRPr="00614CA1">
        <w:t>:</w:t>
      </w:r>
      <w:r w:rsidR="009401A7">
        <w:t xml:space="preserve"> </w:t>
      </w:r>
      <w:hyperlink r:id="rId24" w:history="1">
        <w:r w:rsidR="009401A7" w:rsidRPr="006E357F">
          <w:rPr>
            <w:rStyle w:val="Hyperlink"/>
          </w:rPr>
          <w:t>http://www.deq.state.or.us/wq/standards/uses.htm</w:t>
        </w:r>
      </w:hyperlink>
      <w:r w:rsidR="0047774C" w:rsidRPr="006E357F">
        <w:t>.</w:t>
      </w:r>
    </w:p>
    <w:p w:rsidR="0099464B" w:rsidRPr="006E357F" w:rsidRDefault="0046670D" w:rsidP="004D65A8">
      <w:pPr>
        <w:pStyle w:val="Heading1"/>
        <w:rPr>
          <w:rFonts w:asciiTheme="minorHAnsi" w:hAnsiTheme="minorHAnsi"/>
        </w:rPr>
      </w:pPr>
      <w:bookmarkStart w:id="18" w:name="_Toc395516161"/>
      <w:r w:rsidRPr="006E357F">
        <w:rPr>
          <w:rFonts w:asciiTheme="minorHAnsi" w:hAnsiTheme="minorHAnsi"/>
        </w:rPr>
        <w:t>v</w:t>
      </w:r>
      <w:r w:rsidR="006A2A5F" w:rsidRPr="006E357F">
        <w:rPr>
          <w:rFonts w:asciiTheme="minorHAnsi" w:hAnsiTheme="minorHAnsi"/>
        </w:rPr>
        <w:t>i</w:t>
      </w:r>
      <w:r w:rsidRPr="006E357F">
        <w:rPr>
          <w:rFonts w:asciiTheme="minorHAnsi" w:hAnsiTheme="minorHAnsi"/>
        </w:rPr>
        <w:t xml:space="preserve">. </w:t>
      </w:r>
      <w:r w:rsidR="0099464B" w:rsidRPr="006E357F">
        <w:rPr>
          <w:rFonts w:asciiTheme="minorHAnsi" w:hAnsiTheme="minorHAnsi"/>
        </w:rPr>
        <w:t>implementation</w:t>
      </w:r>
      <w:bookmarkEnd w:id="18"/>
    </w:p>
    <w:p w:rsidR="0099464B" w:rsidRPr="006E357F" w:rsidRDefault="0046670D" w:rsidP="004D65A8">
      <w:pPr>
        <w:pStyle w:val="Heading2"/>
        <w:rPr>
          <w:rFonts w:asciiTheme="minorHAnsi" w:hAnsiTheme="minorHAnsi"/>
        </w:rPr>
      </w:pPr>
      <w:bookmarkStart w:id="19" w:name="_Toc395516162"/>
      <w:r w:rsidRPr="006E357F">
        <w:rPr>
          <w:rFonts w:asciiTheme="minorHAnsi" w:hAnsiTheme="minorHAnsi"/>
        </w:rPr>
        <w:t>V</w:t>
      </w:r>
      <w:r w:rsidR="006A2A5F" w:rsidRPr="006E357F">
        <w:rPr>
          <w:rFonts w:asciiTheme="minorHAnsi" w:hAnsiTheme="minorHAnsi"/>
        </w:rPr>
        <w:t>I</w:t>
      </w:r>
      <w:r w:rsidRPr="006E357F">
        <w:rPr>
          <w:rFonts w:asciiTheme="minorHAnsi" w:hAnsiTheme="minorHAnsi"/>
        </w:rPr>
        <w:t>.A</w:t>
      </w:r>
      <w:r w:rsidR="006A2A5F" w:rsidRPr="006E357F">
        <w:rPr>
          <w:rFonts w:asciiTheme="minorHAnsi" w:hAnsiTheme="minorHAnsi"/>
        </w:rPr>
        <w:t>.</w:t>
      </w:r>
      <w:r w:rsidRPr="006E357F">
        <w:rPr>
          <w:rFonts w:asciiTheme="minorHAnsi" w:hAnsiTheme="minorHAnsi"/>
        </w:rPr>
        <w:t xml:space="preserve"> </w:t>
      </w:r>
      <w:r w:rsidR="0099464B" w:rsidRPr="006E357F">
        <w:rPr>
          <w:rFonts w:asciiTheme="minorHAnsi" w:hAnsiTheme="minorHAnsi"/>
        </w:rPr>
        <w:t>De</w:t>
      </w:r>
      <w:r w:rsidR="00C31C5C" w:rsidRPr="006E357F">
        <w:rPr>
          <w:rFonts w:asciiTheme="minorHAnsi" w:hAnsiTheme="minorHAnsi"/>
        </w:rPr>
        <w:t>termination of Mussels Absent</w:t>
      </w:r>
      <w:bookmarkEnd w:id="19"/>
    </w:p>
    <w:p w:rsidR="001E3A15" w:rsidRDefault="00C31C5C" w:rsidP="004D65A8">
      <w:r w:rsidRPr="00824757">
        <w:t>DEQ proposes</w:t>
      </w:r>
      <w:r w:rsidR="00996209" w:rsidRPr="00824757">
        <w:t xml:space="preserve"> to </w:t>
      </w:r>
      <w:r w:rsidR="00935988">
        <w:t xml:space="preserve">adopt EPA’s criteria </w:t>
      </w:r>
      <w:r w:rsidR="005C367C">
        <w:t xml:space="preserve">that </w:t>
      </w:r>
      <w:r w:rsidR="00EE4846">
        <w:t>protect</w:t>
      </w:r>
      <w:r w:rsidR="00935988">
        <w:t xml:space="preserve"> mussels</w:t>
      </w:r>
      <w:r w:rsidR="00EE4846">
        <w:t xml:space="preserve"> from</w:t>
      </w:r>
      <w:r w:rsidR="004D3082">
        <w:t xml:space="preserve"> ammonia impacts</w:t>
      </w:r>
      <w:r w:rsidR="00935988">
        <w:t xml:space="preserve">. </w:t>
      </w:r>
      <w:r w:rsidR="00F47F2E">
        <w:t>Section IV</w:t>
      </w:r>
      <w:r w:rsidR="005C367C">
        <w:t xml:space="preserve"> describes </w:t>
      </w:r>
      <w:r w:rsidR="00EE4846">
        <w:t>the process to</w:t>
      </w:r>
      <w:r w:rsidR="00996209" w:rsidRPr="00824757">
        <w:t xml:space="preserve"> develop site-specific criteria </w:t>
      </w:r>
      <w:r w:rsidR="005D3CCA">
        <w:t>when</w:t>
      </w:r>
      <w:r w:rsidR="00996209" w:rsidRPr="00824757">
        <w:t xml:space="preserve"> mussels</w:t>
      </w:r>
      <w:r w:rsidR="005D3CCA">
        <w:t xml:space="preserve"> are</w:t>
      </w:r>
      <w:r w:rsidR="00996209" w:rsidRPr="00824757">
        <w:t xml:space="preserve"> absent.</w:t>
      </w:r>
      <w:r w:rsidRPr="00824757">
        <w:t xml:space="preserve"> </w:t>
      </w:r>
      <w:r w:rsidR="001E3A15">
        <w:t xml:space="preserve">This section briefly describes important considerations in EPA’s Recalculation Procedure that DEQ </w:t>
      </w:r>
      <w:r w:rsidR="00846F99">
        <w:t>would likely follow in evaluating</w:t>
      </w:r>
      <w:r w:rsidR="001E3A15">
        <w:t xml:space="preserve"> cases where </w:t>
      </w:r>
      <w:r w:rsidR="00846F99">
        <w:t xml:space="preserve">a third party requested </w:t>
      </w:r>
      <w:r w:rsidR="001E3A15">
        <w:t xml:space="preserve">site-specific criteria based on </w:t>
      </w:r>
      <w:r w:rsidR="00EE4846">
        <w:t xml:space="preserve">the absence of </w:t>
      </w:r>
      <w:r w:rsidR="001E3A15">
        <w:t>mussels</w:t>
      </w:r>
      <w:r w:rsidR="00846F99">
        <w:t>.</w:t>
      </w:r>
      <w:r w:rsidR="001E3A15">
        <w:t xml:space="preserve"> </w:t>
      </w:r>
    </w:p>
    <w:p w:rsidR="001E3A15" w:rsidRDefault="001E3A15" w:rsidP="004D65A8"/>
    <w:p w:rsidR="00EF13B3" w:rsidRPr="00824757" w:rsidRDefault="00C31C5C" w:rsidP="004D65A8">
      <w:r w:rsidRPr="00824757">
        <w:t xml:space="preserve">Since EPA’s Recalculation Procedure is dependent on what species occur at a site, it is important to distinguish </w:t>
      </w:r>
      <w:r w:rsidR="00040E6E" w:rsidRPr="00824757">
        <w:t xml:space="preserve">a species being </w:t>
      </w:r>
      <w:r w:rsidR="00824757" w:rsidRPr="00824757">
        <w:t>“</w:t>
      </w:r>
      <w:r w:rsidRPr="00824757">
        <w:t>resident</w:t>
      </w:r>
      <w:r w:rsidR="00824757" w:rsidRPr="00824757">
        <w:t>”</w:t>
      </w:r>
      <w:r w:rsidRPr="00824757">
        <w:t xml:space="preserve"> </w:t>
      </w:r>
      <w:r w:rsidR="005C367C">
        <w:t>from a species</w:t>
      </w:r>
      <w:r w:rsidR="005C367C" w:rsidRPr="00824757">
        <w:t xml:space="preserve"> </w:t>
      </w:r>
      <w:r w:rsidR="00824757" w:rsidRPr="00824757">
        <w:t>“</w:t>
      </w:r>
      <w:r w:rsidRPr="00824757">
        <w:t>occur</w:t>
      </w:r>
      <w:r w:rsidR="00040E6E" w:rsidRPr="00824757">
        <w:t>ring</w:t>
      </w:r>
      <w:r w:rsidRPr="00824757">
        <w:t xml:space="preserve"> at a site</w:t>
      </w:r>
      <w:r w:rsidR="005C367C">
        <w:t>.</w:t>
      </w:r>
      <w:r w:rsidR="00824757" w:rsidRPr="00824757">
        <w:t>”</w:t>
      </w:r>
      <w:r w:rsidRPr="00824757">
        <w:t xml:space="preserve"> EPA makes this distinction in </w:t>
      </w:r>
      <w:r w:rsidR="00EF13B3" w:rsidRPr="00824757">
        <w:t xml:space="preserve">the </w:t>
      </w:r>
      <w:r w:rsidR="00EF13B3" w:rsidRPr="00824757">
        <w:rPr>
          <w:i/>
          <w:iCs/>
        </w:rPr>
        <w:t>Revised Deletion Process for the Site-Specific Recalculation Procedure for Aquatic Life Criteria</w:t>
      </w:r>
      <w:r w:rsidR="00EF13B3" w:rsidRPr="00824757">
        <w:rPr>
          <w:rStyle w:val="FootnoteReference"/>
          <w:rFonts w:asciiTheme="majorHAnsi" w:hAnsiTheme="majorHAnsi"/>
          <w:i/>
          <w:iCs/>
        </w:rPr>
        <w:footnoteReference w:id="19"/>
      </w:r>
      <w:r w:rsidR="00824757">
        <w:rPr>
          <w:iCs/>
        </w:rPr>
        <w:t>:</w:t>
      </w:r>
    </w:p>
    <w:p w:rsidR="00F87B67" w:rsidRDefault="00F87B67" w:rsidP="003B7267">
      <w:pPr>
        <w:spacing w:after="120" w:line="240" w:lineRule="auto"/>
      </w:pPr>
    </w:p>
    <w:p w:rsidR="000F4F6A" w:rsidRDefault="007C7259">
      <w:pPr>
        <w:spacing w:after="120" w:line="240" w:lineRule="auto"/>
        <w:ind w:left="360"/>
      </w:pPr>
      <w:r>
        <w:t>“</w:t>
      </w:r>
      <w:r w:rsidR="00824757" w:rsidRPr="00824757">
        <w:t>The terms “</w:t>
      </w:r>
      <w:r w:rsidR="00824757">
        <w:t>r</w:t>
      </w:r>
      <w:r w:rsidR="00C07F5F" w:rsidRPr="00824757">
        <w:t>esident” and “occur at the site</w:t>
      </w:r>
      <w:r w:rsidR="00C07F5F" w:rsidRPr="001E3A15">
        <w:t>”</w:t>
      </w:r>
      <w:r w:rsidR="00427FB1" w:rsidRPr="001E3A15">
        <w:rPr>
          <w:sz w:val="16"/>
          <w:szCs w:val="16"/>
        </w:rPr>
        <w:t xml:space="preserve"> </w:t>
      </w:r>
      <w:r w:rsidR="001E3A15" w:rsidRPr="001E3A15">
        <w:t>include l</w:t>
      </w:r>
      <w:r w:rsidR="00C07F5F" w:rsidRPr="001E3A15">
        <w:t>ife</w:t>
      </w:r>
      <w:r w:rsidR="00C07F5F" w:rsidRPr="00824757">
        <w:t xml:space="preserve"> stages and species that meet one of the following elements: </w:t>
      </w:r>
    </w:p>
    <w:p w:rsidR="00846F99" w:rsidRDefault="00C07F5F" w:rsidP="00846F99">
      <w:pPr>
        <w:pStyle w:val="ListParagraph"/>
        <w:numPr>
          <w:ilvl w:val="1"/>
          <w:numId w:val="44"/>
        </w:numPr>
        <w:spacing w:before="240" w:after="120" w:line="240" w:lineRule="auto"/>
      </w:pPr>
      <w:r w:rsidRPr="00824757">
        <w:t>A</w:t>
      </w:r>
      <w:r w:rsidR="00824757">
        <w:t>re usually present at the site</w:t>
      </w:r>
    </w:p>
    <w:p w:rsidR="00846F99" w:rsidRDefault="00C07F5F" w:rsidP="00846F99">
      <w:pPr>
        <w:pStyle w:val="ListParagraph"/>
        <w:numPr>
          <w:ilvl w:val="1"/>
          <w:numId w:val="44"/>
        </w:numPr>
        <w:spacing w:before="240" w:after="120" w:line="240" w:lineRule="auto"/>
      </w:pPr>
      <w:r w:rsidRPr="00824757">
        <w:t>Are present at the site on</w:t>
      </w:r>
      <w:r w:rsidR="00824757">
        <w:t>ly seasonally due to migration</w:t>
      </w:r>
    </w:p>
    <w:p w:rsidR="00846F99" w:rsidRDefault="00C07F5F" w:rsidP="00846F99">
      <w:pPr>
        <w:pStyle w:val="ListParagraph"/>
        <w:numPr>
          <w:ilvl w:val="1"/>
          <w:numId w:val="44"/>
        </w:numPr>
        <w:spacing w:before="240" w:after="120" w:line="240" w:lineRule="auto"/>
      </w:pPr>
      <w:r w:rsidRPr="00824757">
        <w:t>Are present at the site intermittently because they periodically return to or ext</w:t>
      </w:r>
      <w:r w:rsidR="00824757">
        <w:t>end their ranges into the site</w:t>
      </w:r>
    </w:p>
    <w:p w:rsidR="00846F99" w:rsidRDefault="00C07F5F" w:rsidP="00846F99">
      <w:pPr>
        <w:pStyle w:val="ListParagraph"/>
        <w:numPr>
          <w:ilvl w:val="1"/>
          <w:numId w:val="44"/>
        </w:numPr>
        <w:spacing w:before="240" w:after="120" w:line="240" w:lineRule="auto"/>
      </w:pPr>
      <w:r w:rsidRPr="00824757">
        <w:lastRenderedPageBreak/>
        <w:t xml:space="preserve">Were present at the site in the past, are not currently present at the site due to degraded conditions, but are expected to return to the site when conditions improve, or </w:t>
      </w:r>
    </w:p>
    <w:p w:rsidR="000F4F6A" w:rsidRDefault="00C07F5F" w:rsidP="00846F99">
      <w:pPr>
        <w:pStyle w:val="ListParagraph"/>
        <w:numPr>
          <w:ilvl w:val="1"/>
          <w:numId w:val="44"/>
        </w:numPr>
        <w:spacing w:before="240" w:after="120" w:line="240" w:lineRule="auto"/>
      </w:pPr>
      <w:r w:rsidRPr="00824757">
        <w:t xml:space="preserve">Are present in nearby bodies of water, are not currently present at the site due to degraded conditions, but are expected to be present at the site when conditions improve. </w:t>
      </w:r>
    </w:p>
    <w:p w:rsidR="00846F99" w:rsidRDefault="00846F99" w:rsidP="00846F99">
      <w:pPr>
        <w:pStyle w:val="ListParagraph"/>
        <w:spacing w:before="240" w:after="120" w:line="240" w:lineRule="auto"/>
        <w:ind w:left="1512"/>
      </w:pPr>
    </w:p>
    <w:p w:rsidR="000F4F6A" w:rsidRDefault="00427FB1" w:rsidP="00846F99">
      <w:pPr>
        <w:spacing w:after="120" w:line="240" w:lineRule="auto"/>
        <w:ind w:left="720"/>
      </w:pPr>
      <w:r w:rsidRPr="00846F99">
        <w:t>The terms “resident” or “occur at the site” do not include</w:t>
      </w:r>
      <w:r w:rsidR="00C07F5F" w:rsidRPr="00824757">
        <w:t xml:space="preserve"> life stages and species that meet one of the following elements: </w:t>
      </w:r>
    </w:p>
    <w:p w:rsidR="000F4F6A" w:rsidRDefault="00C07F5F" w:rsidP="00846F99">
      <w:pPr>
        <w:pStyle w:val="ListParagraph"/>
        <w:numPr>
          <w:ilvl w:val="0"/>
          <w:numId w:val="53"/>
        </w:numPr>
        <w:spacing w:after="120" w:line="240" w:lineRule="auto"/>
        <w:contextualSpacing w:val="0"/>
      </w:pPr>
      <w:r w:rsidRPr="00824757">
        <w:t xml:space="preserve">Were once present at the site but cannot exist at the site now due to permanent (physical) alterations of the habitat or other conditions that are not likely to change within reasonable planning horizons. </w:t>
      </w:r>
    </w:p>
    <w:p w:rsidR="000F4F6A" w:rsidRDefault="00C07F5F" w:rsidP="00846F99">
      <w:pPr>
        <w:pStyle w:val="ListParagraph"/>
        <w:numPr>
          <w:ilvl w:val="0"/>
          <w:numId w:val="53"/>
        </w:numPr>
        <w:spacing w:after="120" w:line="240" w:lineRule="auto"/>
        <w:contextualSpacing w:val="0"/>
      </w:pPr>
      <w:r w:rsidRPr="00824757">
        <w:t>Are still-water life stages or species that are found at a flowing-water site solely and exclusively because they are washed through the site by stream flow from a still-water site.</w:t>
      </w:r>
      <w:r w:rsidR="00846F99">
        <w:t>”</w:t>
      </w:r>
    </w:p>
    <w:p w:rsidR="000F4F6A" w:rsidRDefault="000F4F6A">
      <w:pPr>
        <w:spacing w:line="240" w:lineRule="auto"/>
      </w:pPr>
    </w:p>
    <w:p w:rsidR="000F4F6A" w:rsidRDefault="00094C0C" w:rsidP="00432731">
      <w:pPr>
        <w:rPr>
          <w:color w:val="000000"/>
        </w:rPr>
      </w:pPr>
      <w:r w:rsidRPr="000C5BF2">
        <w:rPr>
          <w:color w:val="000000"/>
        </w:rPr>
        <w:t>EPA’s</w:t>
      </w:r>
      <w:r w:rsidRPr="000B1BBC">
        <w:rPr>
          <w:color w:val="000000"/>
        </w:rPr>
        <w:t xml:space="preserve"> </w:t>
      </w:r>
      <w:hyperlink r:id="rId25" w:history="1">
        <w:r w:rsidR="00427FB1" w:rsidRPr="00427FB1">
          <w:rPr>
            <w:rStyle w:val="Hyperlink"/>
            <w:i/>
          </w:rPr>
          <w:t>Technical Support Document for Conducting and Reviewing Freshwater Mussel Occurrence Surveys for the Development of Site-specific Water Quality Criteria for Ammonia</w:t>
        </w:r>
      </w:hyperlink>
      <w:r w:rsidRPr="000C5BF2">
        <w:rPr>
          <w:rStyle w:val="FootnoteReference"/>
          <w:rFonts w:asciiTheme="majorHAnsi" w:hAnsiTheme="majorHAnsi"/>
          <w:color w:val="000000"/>
        </w:rPr>
        <w:footnoteReference w:id="20"/>
      </w:r>
      <w:r w:rsidR="00686F70" w:rsidRPr="000C5BF2">
        <w:rPr>
          <w:color w:val="000000"/>
        </w:rPr>
        <w:t xml:space="preserve"> describes </w:t>
      </w:r>
      <w:r w:rsidR="000B1BBC" w:rsidRPr="000C5BF2">
        <w:rPr>
          <w:color w:val="000000"/>
        </w:rPr>
        <w:t>method</w:t>
      </w:r>
      <w:r w:rsidR="000B1BBC">
        <w:rPr>
          <w:color w:val="000000"/>
        </w:rPr>
        <w:t>s</w:t>
      </w:r>
      <w:r w:rsidR="000B1BBC" w:rsidRPr="000C5BF2">
        <w:rPr>
          <w:color w:val="000000"/>
        </w:rPr>
        <w:t xml:space="preserve"> </w:t>
      </w:r>
      <w:r w:rsidR="00686F70" w:rsidRPr="000C5BF2">
        <w:rPr>
          <w:color w:val="000000"/>
        </w:rPr>
        <w:t>and approaches for</w:t>
      </w:r>
      <w:r w:rsidR="003E4C03">
        <w:rPr>
          <w:color w:val="000000"/>
        </w:rPr>
        <w:t xml:space="preserve"> conducting</w:t>
      </w:r>
      <w:r w:rsidR="00686F70" w:rsidRPr="000C5BF2">
        <w:rPr>
          <w:color w:val="000000"/>
        </w:rPr>
        <w:t xml:space="preserve"> mussel surveys. EPA does not endorse one surv</w:t>
      </w:r>
      <w:r w:rsidR="000C5BF2" w:rsidRPr="000C5BF2">
        <w:rPr>
          <w:color w:val="000000"/>
        </w:rPr>
        <w:t>ey method over another, but</w:t>
      </w:r>
      <w:r w:rsidR="00686F70" w:rsidRPr="000C5BF2">
        <w:rPr>
          <w:color w:val="000000"/>
        </w:rPr>
        <w:t xml:space="preserve"> the survey method must support a scientifically defensible rationale to dem</w:t>
      </w:r>
      <w:r w:rsidR="00C54052" w:rsidRPr="000C5BF2">
        <w:rPr>
          <w:color w:val="000000"/>
        </w:rPr>
        <w:t>onstrate that mussels do not occur at a site</w:t>
      </w:r>
      <w:r w:rsidR="00686F70" w:rsidRPr="000C5BF2">
        <w:rPr>
          <w:color w:val="000000"/>
        </w:rPr>
        <w:t>.</w:t>
      </w:r>
    </w:p>
    <w:p w:rsidR="000F4F6A" w:rsidRDefault="000F4F6A"/>
    <w:p w:rsidR="006A75FA" w:rsidRDefault="000B1BBC" w:rsidP="009B754E">
      <w:pPr>
        <w:autoSpaceDE w:val="0"/>
        <w:autoSpaceDN w:val="0"/>
        <w:adjustRightInd w:val="0"/>
      </w:pPr>
      <w:r>
        <w:t xml:space="preserve">This rulemaking does not </w:t>
      </w:r>
      <w:r w:rsidR="00C54052" w:rsidRPr="000C5BF2">
        <w:t xml:space="preserve">recommend </w:t>
      </w:r>
      <w:r w:rsidR="002F2A34">
        <w:t xml:space="preserve">a </w:t>
      </w:r>
      <w:r w:rsidR="00846F99">
        <w:t xml:space="preserve">specific </w:t>
      </w:r>
      <w:r w:rsidR="00C54052" w:rsidRPr="000C5BF2">
        <w:t xml:space="preserve">mussel </w:t>
      </w:r>
      <w:r w:rsidR="002F2A34">
        <w:t xml:space="preserve">survey method </w:t>
      </w:r>
      <w:r w:rsidR="00846F99">
        <w:t>for</w:t>
      </w:r>
      <w:r w:rsidR="002F2A34" w:rsidRPr="000C5BF2">
        <w:t xml:space="preserve"> </w:t>
      </w:r>
      <w:r w:rsidR="00C54052" w:rsidRPr="000C5BF2">
        <w:t xml:space="preserve">the purpose of potentially developing site-specific criteria for ammonia. If a discharger or other third party believes mussels may not be present at a site, methodologies described in EPA’s document above would likely meet </w:t>
      </w:r>
      <w:r w:rsidR="000C5BF2" w:rsidRPr="000C5BF2">
        <w:t xml:space="preserve">the scientific rigor needed to establish presence or absence of mussels. Other scientifically acceptable methods, such as </w:t>
      </w:r>
      <w:r w:rsidR="002F2A34">
        <w:t xml:space="preserve">those </w:t>
      </w:r>
      <w:r w:rsidR="000C5BF2" w:rsidRPr="000C5BF2">
        <w:t>developed by</w:t>
      </w:r>
      <w:r w:rsidR="009B754E">
        <w:t xml:space="preserve"> </w:t>
      </w:r>
      <w:r w:rsidR="000C5BF2" w:rsidRPr="000C5BF2">
        <w:t>O</w:t>
      </w:r>
      <w:r w:rsidR="000D4264">
        <w:t>regon</w:t>
      </w:r>
      <w:r w:rsidR="000C5BF2" w:rsidRPr="000C5BF2">
        <w:t xml:space="preserve"> Department of Fish and Wildlife, U.S. Fish and Wildlife Service or the Xerces Society may meet survey objective</w:t>
      </w:r>
      <w:r w:rsidR="000C5BF2">
        <w:t>s</w:t>
      </w:r>
      <w:r w:rsidR="000C5BF2" w:rsidRPr="000C5BF2">
        <w:t>.</w:t>
      </w:r>
      <w:r w:rsidR="000C5BF2">
        <w:t xml:space="preserve"> </w:t>
      </w:r>
      <w:r w:rsidR="009006C9">
        <w:t xml:space="preserve">If needed, DEQ may develop </w:t>
      </w:r>
      <w:r w:rsidR="000C5BF2">
        <w:t xml:space="preserve">guidance on conducting mussel surveys following adoption of revised </w:t>
      </w:r>
      <w:r w:rsidR="005D3CCA">
        <w:t xml:space="preserve">ammonia </w:t>
      </w:r>
      <w:r w:rsidR="000C5BF2">
        <w:t>criteria.</w:t>
      </w:r>
      <w:r w:rsidR="000C5BF2" w:rsidRPr="000C5BF2">
        <w:t xml:space="preserve"> </w:t>
      </w:r>
    </w:p>
    <w:p w:rsidR="0077709E" w:rsidRPr="00B56BFF" w:rsidRDefault="00A51347" w:rsidP="004D65A8">
      <w:pPr>
        <w:pStyle w:val="Heading2"/>
        <w:rPr>
          <w:rFonts w:asciiTheme="minorHAnsi" w:hAnsiTheme="minorHAnsi"/>
        </w:rPr>
      </w:pPr>
      <w:bookmarkStart w:id="20" w:name="_Toc395516163"/>
      <w:r w:rsidRPr="00B56BFF">
        <w:rPr>
          <w:rFonts w:asciiTheme="minorHAnsi" w:hAnsiTheme="minorHAnsi"/>
        </w:rPr>
        <w:t>V</w:t>
      </w:r>
      <w:r w:rsidR="006A2A5F" w:rsidRPr="00B56BFF">
        <w:rPr>
          <w:rFonts w:asciiTheme="minorHAnsi" w:hAnsiTheme="minorHAnsi"/>
        </w:rPr>
        <w:t>I</w:t>
      </w:r>
      <w:r w:rsidRPr="00B56BFF">
        <w:rPr>
          <w:rFonts w:asciiTheme="minorHAnsi" w:hAnsiTheme="minorHAnsi"/>
        </w:rPr>
        <w:t>.B.</w:t>
      </w:r>
      <w:r w:rsidRPr="00B56BFF">
        <w:rPr>
          <w:rFonts w:asciiTheme="minorHAnsi" w:eastAsiaTheme="minorEastAsia" w:hAnsiTheme="minorHAnsi"/>
        </w:rPr>
        <w:t xml:space="preserve"> Permitting</w:t>
      </w:r>
      <w:bookmarkEnd w:id="20"/>
    </w:p>
    <w:p w:rsidR="0077709E" w:rsidRDefault="0077709E" w:rsidP="004D65A8">
      <w:r>
        <w:t>The ammonia criteria are temperature</w:t>
      </w:r>
      <w:r w:rsidR="00A01AAE">
        <w:t xml:space="preserve"> </w:t>
      </w:r>
      <w:r w:rsidR="00DB2E66">
        <w:t>and pH</w:t>
      </w:r>
      <w:r>
        <w:t xml:space="preserve"> </w:t>
      </w:r>
      <w:r w:rsidR="00B57D44">
        <w:t>dependent</w:t>
      </w:r>
      <w:r>
        <w:t xml:space="preserve">, requiring that </w:t>
      </w:r>
      <w:r w:rsidR="00B57D44">
        <w:t xml:space="preserve">data for </w:t>
      </w:r>
      <w:r>
        <w:t>these physical parameters are available for both the effluent</w:t>
      </w:r>
      <w:r w:rsidR="00DB2E66">
        <w:t xml:space="preserve"> and the receiving water body. </w:t>
      </w:r>
      <w:r w:rsidR="00A71B0C">
        <w:t>A</w:t>
      </w:r>
      <w:r w:rsidR="00CA4A7C">
        <w:t>s</w:t>
      </w:r>
      <w:r w:rsidR="00A71B0C">
        <w:t xml:space="preserve"> temperature</w:t>
      </w:r>
      <w:r w:rsidR="00CA4A7C">
        <w:t xml:space="preserve"> increases</w:t>
      </w:r>
      <w:r w:rsidR="00A71B0C">
        <w:t xml:space="preserve">, </w:t>
      </w:r>
      <w:r w:rsidR="00A71B0C" w:rsidRPr="00FB3CF9">
        <w:t>the total ammonia criterion becom</w:t>
      </w:r>
      <w:r w:rsidR="00A71B0C">
        <w:t>es</w:t>
      </w:r>
      <w:r w:rsidR="00A71B0C" w:rsidRPr="00FB3CF9">
        <w:t xml:space="preserve"> progressively lower</w:t>
      </w:r>
      <w:r w:rsidR="00A71B0C">
        <w:t xml:space="preserve"> (more stringent)</w:t>
      </w:r>
      <w:r w:rsidR="00A71B0C" w:rsidRPr="00FB3CF9">
        <w:t>, which can result in restrictive discharge limitations.</w:t>
      </w:r>
      <w:r w:rsidR="00CA4A7C">
        <w:t xml:space="preserve"> However,</w:t>
      </w:r>
      <w:r w:rsidR="00A71B0C">
        <w:t xml:space="preserve"> </w:t>
      </w:r>
      <w:r w:rsidRPr="00FB3CF9">
        <w:t xml:space="preserve">the criterion at low temperatures can </w:t>
      </w:r>
      <w:r w:rsidR="00CA4A7C">
        <w:t xml:space="preserve">also </w:t>
      </w:r>
      <w:r w:rsidRPr="00FB3CF9">
        <w:t>be limiting because biological treatment of ammonia (NH</w:t>
      </w:r>
      <w:r w:rsidRPr="00DB2E66">
        <w:rPr>
          <w:vertAlign w:val="subscript"/>
        </w:rPr>
        <w:t>3</w:t>
      </w:r>
      <w:r w:rsidRPr="00FB3CF9">
        <w:t xml:space="preserve"> to NO</w:t>
      </w:r>
      <w:r w:rsidRPr="00DB2E66">
        <w:rPr>
          <w:vertAlign w:val="subscript"/>
        </w:rPr>
        <w:t>3</w:t>
      </w:r>
      <w:r w:rsidRPr="00FB3CF9">
        <w:t xml:space="preserve"> to N</w:t>
      </w:r>
      <w:r w:rsidRPr="00DB2E66">
        <w:rPr>
          <w:vertAlign w:val="subscript"/>
        </w:rPr>
        <w:t>2</w:t>
      </w:r>
      <w:r w:rsidRPr="00FB3CF9">
        <w:t xml:space="preserve">) is more difficult at low temperatures. </w:t>
      </w:r>
    </w:p>
    <w:p w:rsidR="000B03FC" w:rsidRDefault="00DB158D" w:rsidP="00DB158D">
      <w:pPr>
        <w:rPr>
          <w:color w:val="000000"/>
        </w:rPr>
      </w:pPr>
      <w:r w:rsidRPr="000B03FC">
        <w:rPr>
          <w:color w:val="000000"/>
        </w:rPr>
        <w:t>The proposed acute criteria are generally more stringent than Oregon’s current ammonia criteria, while the proposed chronic criteria are generally less stringent than Oregon’s current criteria.</w:t>
      </w:r>
      <w:r>
        <w:rPr>
          <w:color w:val="000000"/>
        </w:rPr>
        <w:t xml:space="preserve"> </w:t>
      </w:r>
      <w:r w:rsidR="00291257">
        <w:rPr>
          <w:color w:val="000000"/>
        </w:rPr>
        <w:t xml:space="preserve">Due to anti-backsliding rules, in cases where the proposed ammonia criteria result in effluent limits that are </w:t>
      </w:r>
      <w:r w:rsidR="00291257">
        <w:rPr>
          <w:color w:val="000000"/>
        </w:rPr>
        <w:lastRenderedPageBreak/>
        <w:t xml:space="preserve">less restrictive than the current limits, DEQ would </w:t>
      </w:r>
      <w:r w:rsidR="004D3082">
        <w:rPr>
          <w:color w:val="000000"/>
        </w:rPr>
        <w:t xml:space="preserve">typically </w:t>
      </w:r>
      <w:r w:rsidR="00291257">
        <w:rPr>
          <w:color w:val="000000"/>
        </w:rPr>
        <w:t xml:space="preserve">preserve the more stringent limits. There are some exceptions to this </w:t>
      </w:r>
      <w:r w:rsidR="009573AA">
        <w:rPr>
          <w:color w:val="000000"/>
        </w:rPr>
        <w:t xml:space="preserve">policy, </w:t>
      </w:r>
      <w:r w:rsidR="00291257">
        <w:rPr>
          <w:color w:val="000000"/>
        </w:rPr>
        <w:t>including</w:t>
      </w:r>
      <w:r w:rsidR="00CB3566">
        <w:rPr>
          <w:color w:val="000000"/>
        </w:rPr>
        <w:t>:</w:t>
      </w:r>
      <w:r w:rsidR="00291257">
        <w:rPr>
          <w:color w:val="000000"/>
        </w:rPr>
        <w:t xml:space="preserve"> </w:t>
      </w:r>
    </w:p>
    <w:p w:rsidR="000B03FC" w:rsidRPr="000B03FC" w:rsidRDefault="000B03FC" w:rsidP="000B03FC">
      <w:pPr>
        <w:pStyle w:val="ListParagraph"/>
        <w:numPr>
          <w:ilvl w:val="0"/>
          <w:numId w:val="65"/>
        </w:numPr>
        <w:spacing w:after="120" w:line="240" w:lineRule="auto"/>
        <w:contextualSpacing w:val="0"/>
        <w:rPr>
          <w:color w:val="000000"/>
        </w:rPr>
      </w:pPr>
      <w:r w:rsidRPr="000B03FC">
        <w:rPr>
          <w:color w:val="000000"/>
        </w:rPr>
        <w:t>EPA approved Total Maximum Daily Load</w:t>
      </w:r>
      <w:r w:rsidR="00291257" w:rsidRPr="007B1054">
        <w:rPr>
          <w:color w:val="1F497D"/>
        </w:rPr>
        <w:t xml:space="preserve"> </w:t>
      </w:r>
      <w:r w:rsidR="00291257" w:rsidRPr="00291257">
        <w:t>and the TMDL contains less stringent effluent limitations than the permittee’s current effluent limits</w:t>
      </w:r>
      <w:r w:rsidR="009573AA">
        <w:t>,</w:t>
      </w:r>
      <w:r w:rsidR="00291257" w:rsidRPr="00291257">
        <w:t xml:space="preserve"> or </w:t>
      </w:r>
    </w:p>
    <w:p w:rsidR="000B03FC" w:rsidRPr="000B03FC" w:rsidRDefault="00291257" w:rsidP="000B03FC">
      <w:pPr>
        <w:pStyle w:val="ListParagraph"/>
        <w:numPr>
          <w:ilvl w:val="0"/>
          <w:numId w:val="65"/>
        </w:numPr>
        <w:spacing w:after="120" w:line="240" w:lineRule="auto"/>
        <w:contextualSpacing w:val="0"/>
        <w:rPr>
          <w:color w:val="000000"/>
        </w:rPr>
      </w:pPr>
      <w:r w:rsidRPr="00291257">
        <w:t>Environmental Quality Commission approve</w:t>
      </w:r>
      <w:r w:rsidR="007B1054">
        <w:t>d</w:t>
      </w:r>
      <w:r w:rsidRPr="00291257">
        <w:t xml:space="preserve"> pollutant load increase provided the increase is consistent with Clean Water Act 303(d)(4) or</w:t>
      </w:r>
    </w:p>
    <w:p w:rsidR="000B03FC" w:rsidRDefault="00D7508D" w:rsidP="000B03FC">
      <w:pPr>
        <w:pStyle w:val="ListParagraph"/>
        <w:numPr>
          <w:ilvl w:val="0"/>
          <w:numId w:val="65"/>
        </w:numPr>
        <w:rPr>
          <w:color w:val="000000"/>
        </w:rPr>
      </w:pPr>
      <w:r>
        <w:t>Permit</w:t>
      </w:r>
      <w:r w:rsidR="007B1054">
        <w:t xml:space="preserve"> meets o</w:t>
      </w:r>
      <w:r w:rsidR="00291257" w:rsidRPr="00291257">
        <w:t>ne of the exceptions in CWA 402(o)(2).</w:t>
      </w:r>
      <w:r w:rsidR="000B03FC" w:rsidRPr="000B03FC">
        <w:rPr>
          <w:color w:val="000000"/>
        </w:rPr>
        <w:t xml:space="preserve"> </w:t>
      </w:r>
    </w:p>
    <w:p w:rsidR="0077709E" w:rsidRDefault="0077709E" w:rsidP="004D65A8"/>
    <w:p w:rsidR="00352D8B" w:rsidRDefault="0077709E" w:rsidP="004D65A8">
      <w:r>
        <w:t xml:space="preserve">The implementation of </w:t>
      </w:r>
      <w:r w:rsidRPr="00ED0213">
        <w:t xml:space="preserve">the </w:t>
      </w:r>
      <w:r>
        <w:t xml:space="preserve">proposed water quality criteria will not affect </w:t>
      </w:r>
      <w:r w:rsidR="006C4708">
        <w:t>the National Pollutant Disch</w:t>
      </w:r>
      <w:r w:rsidR="00432731">
        <w:t xml:space="preserve">arge Elimination System </w:t>
      </w:r>
      <w:r>
        <w:t>general permit</w:t>
      </w:r>
      <w:r w:rsidR="00CA4A7C">
        <w:t xml:space="preserve">s because there are no ammonia </w:t>
      </w:r>
      <w:r w:rsidR="00352D8B">
        <w:t>limit requirements</w:t>
      </w:r>
      <w:r w:rsidR="00BE2D31">
        <w:t xml:space="preserve"> in these permits</w:t>
      </w:r>
      <w:r w:rsidR="00643D4D">
        <w:t xml:space="preserve">. </w:t>
      </w:r>
      <w:r w:rsidR="00952A75">
        <w:t>The</w:t>
      </w:r>
      <w:r w:rsidR="006770FD">
        <w:t xml:space="preserve">re is an ammonia </w:t>
      </w:r>
      <w:r w:rsidR="003353E8">
        <w:t>reference l</w:t>
      </w:r>
      <w:r w:rsidR="006770FD">
        <w:t>imit of</w:t>
      </w:r>
      <w:r w:rsidR="003353E8">
        <w:t xml:space="preserve"> 10 mg/L</w:t>
      </w:r>
      <w:r w:rsidR="00352D8B">
        <w:t xml:space="preserve"> for the indust</w:t>
      </w:r>
      <w:r w:rsidR="00086D3C">
        <w:t>rial stormwater permit (1200-Z)</w:t>
      </w:r>
      <w:r w:rsidR="003353E8">
        <w:t xml:space="preserve"> based on </w:t>
      </w:r>
      <w:r w:rsidR="006770FD">
        <w:t>an EPA limit rather than</w:t>
      </w:r>
      <w:r w:rsidR="003353E8">
        <w:t xml:space="preserve"> state water quality standards. In the situation where a 1200Z permit</w:t>
      </w:r>
      <w:r w:rsidR="0010442F">
        <w:t xml:space="preserve"> holder</w:t>
      </w:r>
      <w:r w:rsidR="003353E8">
        <w:t xml:space="preserve"> discharg</w:t>
      </w:r>
      <w:r w:rsidR="00F87B67">
        <w:t>es</w:t>
      </w:r>
      <w:r w:rsidR="003353E8">
        <w:t xml:space="preserve"> to a stream impaired for ammonia</w:t>
      </w:r>
      <w:r w:rsidR="006770FD">
        <w:t xml:space="preserve">, </w:t>
      </w:r>
      <w:r w:rsidR="009B754E">
        <w:t xml:space="preserve">DEQ would base </w:t>
      </w:r>
      <w:r w:rsidR="006770FD">
        <w:t xml:space="preserve">the </w:t>
      </w:r>
      <w:r w:rsidR="009B754E">
        <w:t xml:space="preserve">benchmark on the </w:t>
      </w:r>
      <w:r w:rsidR="0010442F">
        <w:t>state water quality standard</w:t>
      </w:r>
      <w:r w:rsidR="00086D3C">
        <w:t>.</w:t>
      </w:r>
      <w:r w:rsidR="006770FD">
        <w:t xml:space="preserve"> </w:t>
      </w:r>
      <w:r w:rsidR="00352D8B">
        <w:t>Therefore, a revision to the sta</w:t>
      </w:r>
      <w:r w:rsidR="00086D3C">
        <w:t xml:space="preserve">te’s ammonia criteria may </w:t>
      </w:r>
      <w:r w:rsidR="0010442F">
        <w:t>affect</w:t>
      </w:r>
      <w:r w:rsidR="00352D8B">
        <w:t xml:space="preserve"> </w:t>
      </w:r>
      <w:r w:rsidR="00BE2D31">
        <w:t xml:space="preserve">1200Z </w:t>
      </w:r>
      <w:r w:rsidR="00086D3C">
        <w:t>permits discharging to waterbodies</w:t>
      </w:r>
      <w:r w:rsidR="006932BF">
        <w:t xml:space="preserve"> currently </w:t>
      </w:r>
      <w:r w:rsidR="00086D3C">
        <w:t>impaired for ammonia</w:t>
      </w:r>
      <w:r w:rsidR="006932BF">
        <w:t xml:space="preserve"> or for future</w:t>
      </w:r>
      <w:r w:rsidR="00BE2D31">
        <w:t xml:space="preserve"> impairment </w:t>
      </w:r>
      <w:r w:rsidR="006932BF">
        <w:t>listings</w:t>
      </w:r>
      <w:r w:rsidR="00352D8B">
        <w:t>.</w:t>
      </w:r>
    </w:p>
    <w:p w:rsidR="00352D8B" w:rsidRDefault="00352D8B" w:rsidP="004D65A8"/>
    <w:p w:rsidR="0077709E" w:rsidRPr="00ED0213" w:rsidRDefault="0077709E" w:rsidP="004D65A8">
      <w:r w:rsidRPr="00ED0213">
        <w:t xml:space="preserve">The implementation of the </w:t>
      </w:r>
      <w:r>
        <w:t xml:space="preserve">proposed water quality criteria </w:t>
      </w:r>
      <w:r w:rsidR="00FF46E3">
        <w:t xml:space="preserve">would </w:t>
      </w:r>
      <w:r>
        <w:t xml:space="preserve">affect the individual </w:t>
      </w:r>
      <w:r w:rsidR="006C4708">
        <w:t xml:space="preserve">NPDES </w:t>
      </w:r>
      <w:r>
        <w:t xml:space="preserve">permit development process and permit requirements </w:t>
      </w:r>
      <w:r w:rsidR="00FF46E3">
        <w:t>for design flows and monitoring requirements.</w:t>
      </w:r>
    </w:p>
    <w:p w:rsidR="00F713A0" w:rsidRDefault="00F713A0" w:rsidP="004D65A8"/>
    <w:p w:rsidR="00F713A0" w:rsidRPr="00F713A0" w:rsidRDefault="00427FB1" w:rsidP="00FF46E3">
      <w:pPr>
        <w:ind w:left="360"/>
      </w:pPr>
      <w:r w:rsidRPr="00427FB1">
        <w:rPr>
          <w:u w:val="single"/>
        </w:rPr>
        <w:t>Design Flows</w:t>
      </w:r>
    </w:p>
    <w:p w:rsidR="000F4F6A" w:rsidRDefault="0077709E">
      <w:pPr>
        <w:ind w:left="360"/>
      </w:pPr>
      <w:r>
        <w:t>A typical part of the permit development process is to assess</w:t>
      </w:r>
      <w:r w:rsidR="00BC30FF">
        <w:t xml:space="preserve"> whether the effluent discharge has an effect on</w:t>
      </w:r>
      <w:r w:rsidR="00A01AAE">
        <w:t xml:space="preserve"> </w:t>
      </w:r>
      <w:r>
        <w:t>the receiving water body</w:t>
      </w:r>
      <w:r w:rsidR="00BC30FF">
        <w:t xml:space="preserve">. DEQ typically evaluates this </w:t>
      </w:r>
      <w:r w:rsidR="002B48EA">
        <w:t>impact by conducting a reasonable potential analysi</w:t>
      </w:r>
      <w:r w:rsidR="00BC30FF">
        <w:t>s.</w:t>
      </w:r>
      <w:r>
        <w:t xml:space="preserve">  </w:t>
      </w:r>
    </w:p>
    <w:p w:rsidR="008A4868" w:rsidRDefault="008A4868" w:rsidP="0010442F">
      <w:pPr>
        <w:ind w:left="360"/>
      </w:pPr>
    </w:p>
    <w:p w:rsidR="000F4F6A" w:rsidRDefault="001311AC">
      <w:pPr>
        <w:ind w:left="360"/>
      </w:pPr>
      <w:r>
        <w:t xml:space="preserve">Currently, DEQ uses the following </w:t>
      </w:r>
      <w:r w:rsidR="00F7415E">
        <w:t xml:space="preserve">receiving stream </w:t>
      </w:r>
      <w:r>
        <w:t>d</w:t>
      </w:r>
      <w:r w:rsidR="00BE2D31">
        <w:t>esign flows for the aquatic life toxics</w:t>
      </w:r>
      <w:r w:rsidR="00432731">
        <w:t xml:space="preserve"> acute and chronic</w:t>
      </w:r>
      <w:r w:rsidR="002B48EA">
        <w:t xml:space="preserve"> evaluation</w:t>
      </w:r>
      <w:r>
        <w:t>:</w:t>
      </w:r>
    </w:p>
    <w:p w:rsidR="001311AC" w:rsidRDefault="001311AC" w:rsidP="0010442F">
      <w:pPr>
        <w:ind w:left="720"/>
      </w:pPr>
    </w:p>
    <w:p w:rsidR="000F4F6A" w:rsidRDefault="001311AC">
      <w:pPr>
        <w:pStyle w:val="ListParagraph"/>
        <w:numPr>
          <w:ilvl w:val="0"/>
          <w:numId w:val="63"/>
        </w:numPr>
        <w:ind w:left="1080"/>
      </w:pPr>
      <w:r>
        <w:t>Acute Criterion</w:t>
      </w:r>
      <w:r w:rsidR="00D80994">
        <w:t>:</w:t>
      </w:r>
      <w:r w:rsidR="0010442F">
        <w:tab/>
      </w:r>
      <w:r>
        <w:t>1Q10</w:t>
      </w:r>
      <w:r>
        <w:rPr>
          <w:rStyle w:val="FootnoteReference"/>
          <w:rFonts w:asciiTheme="majorHAnsi" w:hAnsiTheme="majorHAnsi"/>
        </w:rPr>
        <w:footnoteReference w:id="21"/>
      </w:r>
      <w:r>
        <w:t xml:space="preserve"> </w:t>
      </w:r>
    </w:p>
    <w:p w:rsidR="000F4F6A" w:rsidRDefault="001311AC">
      <w:pPr>
        <w:pStyle w:val="ListParagraph"/>
        <w:numPr>
          <w:ilvl w:val="0"/>
          <w:numId w:val="63"/>
        </w:numPr>
        <w:ind w:left="1080"/>
      </w:pPr>
      <w:r>
        <w:t>Chronic Criterion</w:t>
      </w:r>
      <w:r w:rsidR="00D80994">
        <w:t>:</w:t>
      </w:r>
      <w:r w:rsidR="0010442F">
        <w:tab/>
      </w:r>
      <w:r>
        <w:t>7Q10</w:t>
      </w:r>
      <w:r>
        <w:rPr>
          <w:rStyle w:val="FootnoteReference"/>
          <w:rFonts w:asciiTheme="majorHAnsi" w:hAnsiTheme="majorHAnsi"/>
        </w:rPr>
        <w:footnoteReference w:id="22"/>
      </w:r>
      <w:r>
        <w:t xml:space="preserve"> </w:t>
      </w:r>
    </w:p>
    <w:p w:rsidR="001311AC" w:rsidRDefault="001311AC" w:rsidP="0010442F">
      <w:pPr>
        <w:ind w:left="1080"/>
      </w:pPr>
    </w:p>
    <w:p w:rsidR="0084556E" w:rsidRDefault="0084556E" w:rsidP="0010442F">
      <w:pPr>
        <w:ind w:left="360"/>
      </w:pPr>
      <w:r>
        <w:t xml:space="preserve">EPA recommends use of one of the following design flows for determining compliance with the proposed acute </w:t>
      </w:r>
      <w:r w:rsidR="008A4868">
        <w:t xml:space="preserve">and chronic </w:t>
      </w:r>
      <w:r>
        <w:t>ammonia criteria:</w:t>
      </w:r>
    </w:p>
    <w:p w:rsidR="0084556E" w:rsidRDefault="0084556E" w:rsidP="004D65A8"/>
    <w:p w:rsidR="000F4F6A" w:rsidRDefault="008A4868">
      <w:pPr>
        <w:pStyle w:val="ListParagraph"/>
        <w:numPr>
          <w:ilvl w:val="0"/>
          <w:numId w:val="64"/>
        </w:numPr>
        <w:ind w:left="1080"/>
      </w:pPr>
      <w:r>
        <w:t>Acute Criterion</w:t>
      </w:r>
      <w:r w:rsidR="00D80994">
        <w:t>:</w:t>
      </w:r>
      <w:r w:rsidR="00D80994">
        <w:tab/>
      </w:r>
      <w:r w:rsidR="0084556E">
        <w:t>1B3</w:t>
      </w:r>
      <w:r>
        <w:rPr>
          <w:rStyle w:val="FootnoteReference"/>
          <w:rFonts w:asciiTheme="majorHAnsi" w:hAnsiTheme="majorHAnsi"/>
        </w:rPr>
        <w:footnoteReference w:id="23"/>
      </w:r>
      <w:r>
        <w:t xml:space="preserve"> or </w:t>
      </w:r>
      <w:r w:rsidRPr="008A4868">
        <w:t>1Q10</w:t>
      </w:r>
      <w:r w:rsidRPr="0010442F">
        <w:rPr>
          <w:rStyle w:val="FootnoteReference"/>
          <w:rFonts w:asciiTheme="majorHAnsi" w:hAnsiTheme="majorHAnsi"/>
        </w:rPr>
        <w:t>19</w:t>
      </w:r>
    </w:p>
    <w:p w:rsidR="000F4F6A" w:rsidRDefault="008A4868">
      <w:pPr>
        <w:pStyle w:val="ListParagraph"/>
        <w:numPr>
          <w:ilvl w:val="0"/>
          <w:numId w:val="64"/>
        </w:numPr>
        <w:ind w:left="1080"/>
      </w:pPr>
      <w:r>
        <w:t>Chronic Criterion</w:t>
      </w:r>
      <w:r w:rsidR="00D80994">
        <w:t>:</w:t>
      </w:r>
      <w:r w:rsidR="00D80994">
        <w:tab/>
      </w:r>
      <w:r w:rsidR="00BC30FF" w:rsidRPr="008A4868">
        <w:t>30B3</w:t>
      </w:r>
      <w:r w:rsidR="00E936DA">
        <w:rPr>
          <w:rStyle w:val="FootnoteReference"/>
          <w:rFonts w:asciiTheme="majorHAnsi" w:hAnsiTheme="majorHAnsi"/>
        </w:rPr>
        <w:footnoteReference w:id="24"/>
      </w:r>
      <w:r w:rsidR="00E936DA" w:rsidRPr="008A4868">
        <w:t>,</w:t>
      </w:r>
      <w:r w:rsidR="00064795">
        <w:t xml:space="preserve"> </w:t>
      </w:r>
      <w:r w:rsidR="00E936DA" w:rsidRPr="008A4868">
        <w:t>30Q10</w:t>
      </w:r>
      <w:r w:rsidR="00E936DA">
        <w:rPr>
          <w:rStyle w:val="FootnoteReference"/>
          <w:rFonts w:asciiTheme="majorHAnsi" w:hAnsiTheme="majorHAnsi"/>
        </w:rPr>
        <w:footnoteReference w:id="25"/>
      </w:r>
      <w:r w:rsidR="00E936DA" w:rsidRPr="008A4868">
        <w:t xml:space="preserve"> or</w:t>
      </w:r>
      <w:r w:rsidR="00D80994">
        <w:t xml:space="preserve"> </w:t>
      </w:r>
      <w:r w:rsidR="00E936DA" w:rsidRPr="008A4868">
        <w:t>30Q5</w:t>
      </w:r>
      <w:r w:rsidR="00830806">
        <w:rPr>
          <w:rStyle w:val="FootnoteReference"/>
          <w:rFonts w:asciiTheme="majorHAnsi" w:hAnsiTheme="majorHAnsi"/>
        </w:rPr>
        <w:footnoteReference w:id="26"/>
      </w:r>
    </w:p>
    <w:p w:rsidR="00830806" w:rsidRDefault="00830806" w:rsidP="004D65A8"/>
    <w:p w:rsidR="000F4F6A" w:rsidRDefault="008A4868">
      <w:pPr>
        <w:ind w:left="360"/>
      </w:pPr>
      <w:r>
        <w:t xml:space="preserve">DEQ anticipates continuing use of the 1Q10 design flow to determine compliance with the proposed acute ammonia criteria. </w:t>
      </w:r>
      <w:r w:rsidR="003A7D37">
        <w:t xml:space="preserve">Depending upon the design flow selected for </w:t>
      </w:r>
      <w:r w:rsidR="00DD502B">
        <w:t>compl</w:t>
      </w:r>
      <w:r w:rsidR="006C4708">
        <w:t>iance with the chronic criteria</w:t>
      </w:r>
      <w:r w:rsidR="003A7D37">
        <w:t>, DEQ may require facilities to update the</w:t>
      </w:r>
      <w:r w:rsidR="006C4708">
        <w:t>ir mixing zone</w:t>
      </w:r>
      <w:r w:rsidR="003A7D37">
        <w:t xml:space="preserve"> studies to </w:t>
      </w:r>
      <w:r w:rsidR="0010442F">
        <w:t xml:space="preserve">reflect </w:t>
      </w:r>
      <w:r w:rsidR="003A7D37">
        <w:t>the necessary design flow</w:t>
      </w:r>
      <w:r w:rsidR="00FF46E3" w:rsidRPr="00FF46E3">
        <w:t xml:space="preserve"> </w:t>
      </w:r>
      <w:r w:rsidR="00FF46E3">
        <w:t>appropriately</w:t>
      </w:r>
      <w:r w:rsidR="003A7D37">
        <w:t>.</w:t>
      </w:r>
      <w:r w:rsidR="003A7D37">
        <w:rPr>
          <w:rStyle w:val="FootnoteReference"/>
          <w:rFonts w:asciiTheme="majorHAnsi" w:hAnsiTheme="majorHAnsi"/>
        </w:rPr>
        <w:footnoteReference w:id="27"/>
      </w:r>
      <w:r w:rsidR="003A7D37" w:rsidRPr="00541E12">
        <w:rPr>
          <w:rFonts w:ascii="Lucida Sans Unicode" w:hAnsi="Lucida Sans Unicode" w:cs="Lucida Sans Unicode"/>
          <w:color w:val="151515"/>
          <w:sz w:val="19"/>
          <w:szCs w:val="19"/>
        </w:rPr>
        <w:t xml:space="preserve"> </w:t>
      </w:r>
      <w:r w:rsidR="00830806">
        <w:t>DEQ has not yet determined which design flow it will use to determine compliance with the proposed chronic criteria. If DEQ use</w:t>
      </w:r>
      <w:r w:rsidR="000D4264">
        <w:t>s</w:t>
      </w:r>
      <w:r w:rsidR="00830806">
        <w:t xml:space="preserve"> the 30Q5 design f</w:t>
      </w:r>
      <w:r>
        <w:t>low</w:t>
      </w:r>
      <w:r w:rsidR="00FF46E3">
        <w:t>,</w:t>
      </w:r>
      <w:r>
        <w:t xml:space="preserve"> which </w:t>
      </w:r>
      <w:r w:rsidR="00FF46E3">
        <w:t xml:space="preserve">it </w:t>
      </w:r>
      <w:r>
        <w:t>currently u</w:t>
      </w:r>
      <w:r w:rsidR="00FF46E3">
        <w:t>ses</w:t>
      </w:r>
      <w:r w:rsidR="00830806">
        <w:t xml:space="preserve"> to determine compliance with non-carcinogenic human health toxics crit</w:t>
      </w:r>
      <w:r w:rsidR="006C4708">
        <w:t>eria, it is likely that dischargers</w:t>
      </w:r>
      <w:r w:rsidR="00830806">
        <w:t xml:space="preserve"> w</w:t>
      </w:r>
      <w:r w:rsidR="000D4264">
        <w:t>ill</w:t>
      </w:r>
      <w:r w:rsidR="00830806">
        <w:t xml:space="preserve"> not need to revise most mixing zone analyses</w:t>
      </w:r>
      <w:r w:rsidR="003A7D37">
        <w:rPr>
          <w:rStyle w:val="FootnoteReference"/>
          <w:rFonts w:asciiTheme="majorHAnsi" w:hAnsiTheme="majorHAnsi"/>
        </w:rPr>
        <w:footnoteReference w:id="28"/>
      </w:r>
      <w:r w:rsidR="00830806">
        <w:t>. However, if DEQ determine</w:t>
      </w:r>
      <w:r w:rsidR="000D4264">
        <w:t>s</w:t>
      </w:r>
      <w:r w:rsidR="00830806">
        <w:t xml:space="preserve"> that one of the other design flows was more appropri</w:t>
      </w:r>
      <w:r w:rsidR="006C4708">
        <w:t>ate, it is likely that dischargers</w:t>
      </w:r>
      <w:r w:rsidR="00830806">
        <w:t xml:space="preserve"> w</w:t>
      </w:r>
      <w:r w:rsidR="000D4264">
        <w:t>ill</w:t>
      </w:r>
      <w:r w:rsidR="00830806">
        <w:t xml:space="preserve"> need to revise current mixing zone analyses</w:t>
      </w:r>
      <w:r w:rsidR="000146C4">
        <w:t xml:space="preserve">. </w:t>
      </w:r>
    </w:p>
    <w:p w:rsidR="00FF46E3" w:rsidRDefault="00FF46E3" w:rsidP="004D65A8"/>
    <w:p w:rsidR="000F4F6A" w:rsidRDefault="002A382E">
      <w:pPr>
        <w:ind w:left="360"/>
      </w:pPr>
      <w:r w:rsidRPr="0082260F">
        <w:t>According to the EPA</w:t>
      </w:r>
      <w:r w:rsidRPr="0082260F">
        <w:rPr>
          <w:rStyle w:val="FootnoteReference"/>
          <w:rFonts w:asciiTheme="majorHAnsi" w:hAnsiTheme="majorHAnsi"/>
        </w:rPr>
        <w:footnoteReference w:id="29"/>
      </w:r>
      <w:r w:rsidRPr="0082260F">
        <w:t>, if DEQ recommends using the 30Q5 flow to determine</w:t>
      </w:r>
      <w:r w:rsidR="000146C4" w:rsidRPr="0082260F">
        <w:t xml:space="preserve"> reasonable potential for the chronic ammonia criterion</w:t>
      </w:r>
      <w:r w:rsidR="000A6CFE" w:rsidRPr="0082260F">
        <w:t xml:space="preserve">, </w:t>
      </w:r>
      <w:r w:rsidR="000146C4" w:rsidRPr="0082260F">
        <w:t>the permit writer w</w:t>
      </w:r>
      <w:r w:rsidR="000D4264">
        <w:t>ill</w:t>
      </w:r>
      <w:r w:rsidR="000146C4" w:rsidRPr="0082260F">
        <w:t xml:space="preserve"> need to ensure that the 7Q10 flow is protective o</w:t>
      </w:r>
      <w:r w:rsidR="000A6CFE" w:rsidRPr="0082260F">
        <w:t>f 2.5 times</w:t>
      </w:r>
      <w:r w:rsidR="000146C4" w:rsidRPr="0082260F">
        <w:t xml:space="preserve"> the chronic criterion</w:t>
      </w:r>
      <w:r w:rsidR="009C4536" w:rsidRPr="0082260F">
        <w:t>, so that any short term</w:t>
      </w:r>
      <w:r w:rsidR="007B1054">
        <w:t>,</w:t>
      </w:r>
      <w:r w:rsidR="009C4536" w:rsidRPr="0082260F">
        <w:t xml:space="preserve"> 4-day</w:t>
      </w:r>
      <w:r w:rsidR="007B1054">
        <w:t>,</w:t>
      </w:r>
      <w:r w:rsidR="009C4536" w:rsidRPr="0082260F">
        <w:t xml:space="preserve"> flow variability within the 30-day averaging period</w:t>
      </w:r>
      <w:r w:rsidR="009C4536" w:rsidRPr="00DE368F">
        <w:t xml:space="preserve"> does not lead to shorter-term chronic toxicity</w:t>
      </w:r>
      <w:r w:rsidR="006C4708">
        <w:t xml:space="preserve">. </w:t>
      </w:r>
      <w:r w:rsidR="000146C4" w:rsidRPr="006C4708">
        <w:t xml:space="preserve">If </w:t>
      </w:r>
      <w:r w:rsidR="00FF46E3">
        <w:t xml:space="preserve">DEQ uses </w:t>
      </w:r>
      <w:r w:rsidR="000146C4" w:rsidRPr="006C4708">
        <w:t>the 3</w:t>
      </w:r>
      <w:r w:rsidR="0005590B" w:rsidRPr="006C4708">
        <w:t xml:space="preserve">0B3 or the 30Q10 flow </w:t>
      </w:r>
      <w:r w:rsidR="000146C4" w:rsidRPr="006C4708">
        <w:t>in the reasonable potential determination</w:t>
      </w:r>
      <w:r w:rsidR="006C4708">
        <w:t>,</w:t>
      </w:r>
      <w:r w:rsidR="000146C4" w:rsidRPr="006C4708">
        <w:t xml:space="preserve"> the permit writer w</w:t>
      </w:r>
      <w:r w:rsidR="000D4264">
        <w:t>ill</w:t>
      </w:r>
      <w:r w:rsidR="000146C4" w:rsidRPr="006C4708">
        <w:t xml:space="preserve"> not need to </w:t>
      </w:r>
      <w:r w:rsidR="0005590B" w:rsidRPr="006C4708">
        <w:t xml:space="preserve">conduct </w:t>
      </w:r>
      <w:r w:rsidR="009C4536" w:rsidRPr="006C4708">
        <w:t>this</w:t>
      </w:r>
      <w:r w:rsidR="000146C4" w:rsidRPr="006C4708">
        <w:t xml:space="preserve"> analysis</w:t>
      </w:r>
      <w:r w:rsidR="009C4536" w:rsidRPr="006C4708">
        <w:t>.</w:t>
      </w:r>
      <w:r w:rsidR="000A6CFE" w:rsidRPr="000A6CFE">
        <w:t xml:space="preserve"> </w:t>
      </w:r>
    </w:p>
    <w:p w:rsidR="00FF46E3" w:rsidRDefault="00FF46E3">
      <w:pPr>
        <w:spacing w:after="200"/>
        <w:rPr>
          <w:u w:val="single"/>
        </w:rPr>
      </w:pPr>
      <w:r>
        <w:rPr>
          <w:u w:val="single"/>
        </w:rPr>
        <w:br w:type="page"/>
      </w:r>
    </w:p>
    <w:p w:rsidR="0077709E" w:rsidRPr="00FF46E3" w:rsidRDefault="00427FB1" w:rsidP="00FF46E3">
      <w:pPr>
        <w:ind w:left="360"/>
        <w:rPr>
          <w:rStyle w:val="SubtleEmphasis"/>
          <w:rFonts w:asciiTheme="majorHAnsi" w:hAnsiTheme="majorHAnsi"/>
          <w:b/>
          <w:iCs w:val="0"/>
          <w:color w:val="auto"/>
          <w:u w:val="single"/>
        </w:rPr>
      </w:pPr>
      <w:r w:rsidRPr="00427FB1">
        <w:rPr>
          <w:u w:val="single"/>
        </w:rPr>
        <w:lastRenderedPageBreak/>
        <w:t xml:space="preserve">Monitoring Requirements </w:t>
      </w:r>
    </w:p>
    <w:p w:rsidR="0077709E" w:rsidRDefault="0077709E" w:rsidP="00FF46E3">
      <w:pPr>
        <w:ind w:left="360"/>
      </w:pPr>
      <w:r>
        <w:t>There are currently two types of effluent monitoring</w:t>
      </w:r>
      <w:r w:rsidR="009306B4">
        <w:t xml:space="preserve"> required under NPDES permits</w:t>
      </w:r>
      <w:r w:rsidR="006C4708">
        <w:t xml:space="preserve">. </w:t>
      </w:r>
      <w:r>
        <w:t>The first is characterization monitoring</w:t>
      </w:r>
      <w:r w:rsidR="00511562">
        <w:t xml:space="preserve"> </w:t>
      </w:r>
      <w:r>
        <w:t xml:space="preserve">used </w:t>
      </w:r>
      <w:r w:rsidR="00FF46E3">
        <w:t xml:space="preserve">in </w:t>
      </w:r>
      <w:r>
        <w:t>develop</w:t>
      </w:r>
      <w:r w:rsidR="00FF46E3">
        <w:t>ing a</w:t>
      </w:r>
      <w:r>
        <w:t xml:space="preserve"> permit to determine </w:t>
      </w:r>
      <w:r w:rsidR="00FF46E3">
        <w:t xml:space="preserve">whether </w:t>
      </w:r>
      <w:r>
        <w:t>effluent limits are required.</w:t>
      </w:r>
      <w:r w:rsidR="002A382E">
        <w:t xml:space="preserve"> </w:t>
      </w:r>
      <w:r w:rsidR="00BF231C">
        <w:t>If</w:t>
      </w:r>
      <w:r>
        <w:t xml:space="preserve"> effluent limits are required</w:t>
      </w:r>
      <w:r w:rsidR="000D4264">
        <w:t xml:space="preserve"> and subsequently included in an NPDES permit</w:t>
      </w:r>
      <w:r w:rsidR="006C4708">
        <w:t>, DEQ then requires</w:t>
      </w:r>
      <w:r>
        <w:t xml:space="preserve"> </w:t>
      </w:r>
      <w:r w:rsidR="002A382E">
        <w:t>compliance</w:t>
      </w:r>
      <w:r>
        <w:t xml:space="preserve"> monit</w:t>
      </w:r>
      <w:r w:rsidR="00511562">
        <w:t xml:space="preserve">oring </w:t>
      </w:r>
      <w:r w:rsidR="006C4708">
        <w:t>to determine whether the discharger is meeting its effluent limits.</w:t>
      </w:r>
      <w:r w:rsidR="00511562">
        <w:t xml:space="preserve"> T</w:t>
      </w:r>
      <w:r>
        <w:t xml:space="preserve">he amount of monitoring required for both </w:t>
      </w:r>
      <w:r w:rsidR="00BF231C">
        <w:t xml:space="preserve">characterization and compliance </w:t>
      </w:r>
      <w:r>
        <w:t>monitoring varies based upon a facility’s average design flows</w:t>
      </w:r>
      <w:r w:rsidR="00511562">
        <w:t xml:space="preserve">. For example, </w:t>
      </w:r>
      <w:r w:rsidR="009306B4">
        <w:t xml:space="preserve">permits for </w:t>
      </w:r>
      <w:r>
        <w:t>larger facilities require more monitoring.</w:t>
      </w:r>
    </w:p>
    <w:p w:rsidR="0077709E" w:rsidRDefault="0077709E" w:rsidP="00FF46E3">
      <w:pPr>
        <w:ind w:left="360"/>
      </w:pPr>
    </w:p>
    <w:p w:rsidR="0077709E" w:rsidRDefault="0077709E" w:rsidP="00FF46E3">
      <w:pPr>
        <w:ind w:left="360"/>
      </w:pPr>
      <w:r>
        <w:t xml:space="preserve">For characterization purposes, there is the potential that </w:t>
      </w:r>
      <w:r w:rsidR="00511562">
        <w:t>DEQ w</w:t>
      </w:r>
      <w:r w:rsidR="000D4264">
        <w:t>ill</w:t>
      </w:r>
      <w:r w:rsidR="00511562">
        <w:t xml:space="preserve"> require additional monitoring requirements for </w:t>
      </w:r>
      <w:r w:rsidR="009306B4">
        <w:t>smaller</w:t>
      </w:r>
      <w:r>
        <w:t xml:space="preserve"> facilities to ensure that there is sufficient data to adequately characterize the effluent and allow for averaging wi</w:t>
      </w:r>
      <w:r w:rsidR="00511562">
        <w:t>thin a 30-</w:t>
      </w:r>
      <w:r>
        <w:t xml:space="preserve">day period. </w:t>
      </w:r>
      <w:r w:rsidR="00A21E8F">
        <w:t>A</w:t>
      </w:r>
      <w:r>
        <w:t>dditional data points w</w:t>
      </w:r>
      <w:r w:rsidR="00B44743">
        <w:t>ill</w:t>
      </w:r>
      <w:r>
        <w:t xml:space="preserve"> better characterize the dischar</w:t>
      </w:r>
      <w:r w:rsidR="00A01AAE">
        <w:t>ge, minimize statistical error</w:t>
      </w:r>
      <w:r>
        <w:t xml:space="preserve"> associated with the reasonable potential analysis</w:t>
      </w:r>
      <w:r w:rsidR="00511562">
        <w:t>,</w:t>
      </w:r>
      <w:r w:rsidR="00BE2D31">
        <w:t xml:space="preserve"> and help </w:t>
      </w:r>
      <w:r>
        <w:t>identify outliers.</w:t>
      </w:r>
    </w:p>
    <w:p w:rsidR="0077709E" w:rsidRDefault="0077709E" w:rsidP="00FF46E3">
      <w:pPr>
        <w:ind w:left="360"/>
      </w:pPr>
    </w:p>
    <w:p w:rsidR="0077709E" w:rsidRPr="002B48EA" w:rsidRDefault="00A21E8F" w:rsidP="00FF46E3">
      <w:pPr>
        <w:ind w:left="360"/>
      </w:pPr>
      <w:r>
        <w:t xml:space="preserve">Similarly, </w:t>
      </w:r>
      <w:r w:rsidR="0077709E">
        <w:t xml:space="preserve">where </w:t>
      </w:r>
      <w:r w:rsidR="00BF231C">
        <w:t>DEQ establishe</w:t>
      </w:r>
      <w:r w:rsidR="00B44743">
        <w:t>s</w:t>
      </w:r>
      <w:r w:rsidR="00BF231C">
        <w:t xml:space="preserve"> </w:t>
      </w:r>
      <w:r w:rsidR="0077709E">
        <w:t>an ammonia effluent limit,</w:t>
      </w:r>
      <w:r>
        <w:t xml:space="preserve"> DEQ may require additional compliance monitoring</w:t>
      </w:r>
      <w:r w:rsidR="0077709E">
        <w:t xml:space="preserve"> to demonstrate that “no 4-day average concentrations should exceed 2.5 times the chronic criterion.” </w:t>
      </w:r>
    </w:p>
    <w:p w:rsidR="0001197E" w:rsidRPr="00B56BFF" w:rsidRDefault="00640CD8" w:rsidP="004D65A8">
      <w:pPr>
        <w:pStyle w:val="Heading2"/>
        <w:rPr>
          <w:rFonts w:asciiTheme="minorHAnsi" w:hAnsiTheme="minorHAnsi"/>
        </w:rPr>
      </w:pPr>
      <w:bookmarkStart w:id="21" w:name="_Toc395516164"/>
      <w:r w:rsidRPr="00B56BFF">
        <w:rPr>
          <w:rFonts w:asciiTheme="minorHAnsi" w:hAnsiTheme="minorHAnsi"/>
        </w:rPr>
        <w:t>V</w:t>
      </w:r>
      <w:r w:rsidR="006A2A5F" w:rsidRPr="00B56BFF">
        <w:rPr>
          <w:rFonts w:asciiTheme="minorHAnsi" w:hAnsiTheme="minorHAnsi"/>
        </w:rPr>
        <w:t>I</w:t>
      </w:r>
      <w:r w:rsidRPr="00B56BFF">
        <w:rPr>
          <w:rFonts w:asciiTheme="minorHAnsi" w:hAnsiTheme="minorHAnsi"/>
        </w:rPr>
        <w:t>.C. Integrated Report</w:t>
      </w:r>
      <w:bookmarkEnd w:id="21"/>
    </w:p>
    <w:p w:rsidR="005F4EA2" w:rsidRPr="00836F38" w:rsidRDefault="005F4EA2" w:rsidP="00A252A6">
      <w:r w:rsidRPr="00A252A6">
        <w:rPr>
          <w:rFonts w:eastAsia="Times New Roman"/>
          <w:lang w:eastAsia="en-US"/>
        </w:rPr>
        <w:t xml:space="preserve">Every two years, </w:t>
      </w:r>
      <w:r w:rsidR="00B44743">
        <w:rPr>
          <w:rFonts w:eastAsia="Times New Roman"/>
          <w:lang w:eastAsia="en-US"/>
        </w:rPr>
        <w:t>the Clean Water Act</w:t>
      </w:r>
      <w:r w:rsidR="00B44743" w:rsidRPr="00A252A6">
        <w:rPr>
          <w:rFonts w:eastAsia="Times New Roman"/>
          <w:lang w:eastAsia="en-US"/>
        </w:rPr>
        <w:t xml:space="preserve"> </w:t>
      </w:r>
      <w:r w:rsidR="00BE2D31" w:rsidRPr="00A252A6">
        <w:rPr>
          <w:rFonts w:eastAsia="Times New Roman"/>
          <w:lang w:eastAsia="en-US"/>
        </w:rPr>
        <w:t xml:space="preserve">requires DEQ </w:t>
      </w:r>
      <w:r w:rsidRPr="00A252A6">
        <w:rPr>
          <w:rFonts w:eastAsia="Times New Roman"/>
          <w:lang w:eastAsia="en-US"/>
        </w:rPr>
        <w:t xml:space="preserve">to assess </w:t>
      </w:r>
      <w:r w:rsidR="00BE2D31" w:rsidRPr="00A252A6">
        <w:rPr>
          <w:rFonts w:eastAsia="Times New Roman"/>
          <w:lang w:eastAsia="en-US"/>
        </w:rPr>
        <w:t xml:space="preserve">water quality and report </w:t>
      </w:r>
      <w:r w:rsidRPr="00A252A6">
        <w:rPr>
          <w:rFonts w:eastAsia="Times New Roman"/>
          <w:lang w:eastAsia="en-US"/>
        </w:rPr>
        <w:t>on the condition of Oregon's waters. DEQ prepares an Integrated Report that m</w:t>
      </w:r>
      <w:r w:rsidR="0001197E" w:rsidRPr="00A252A6">
        <w:rPr>
          <w:rFonts w:eastAsia="Times New Roman"/>
          <w:lang w:eastAsia="en-US"/>
        </w:rPr>
        <w:t>eets the requirements of the CWA</w:t>
      </w:r>
      <w:r w:rsidRPr="00A252A6">
        <w:rPr>
          <w:rFonts w:eastAsia="Times New Roman"/>
          <w:lang w:eastAsia="en-US"/>
        </w:rPr>
        <w:t xml:space="preserve"> for section 305(b) and section 303(d). </w:t>
      </w:r>
      <w:r w:rsidRPr="006432F8">
        <w:rPr>
          <w:rFonts w:eastAsia="Times New Roman"/>
          <w:lang w:eastAsia="en-US"/>
        </w:rPr>
        <w:t xml:space="preserve">Section 305(b) requires a report on the overall condition of Oregon's waters, while section 303(d) requires identifying waters that do not meet water quality standards and where </w:t>
      </w:r>
      <w:r w:rsidR="00BE2D31" w:rsidRPr="006432F8">
        <w:rPr>
          <w:rFonts w:eastAsia="Times New Roman"/>
          <w:lang w:eastAsia="en-US"/>
        </w:rPr>
        <w:t xml:space="preserve">DEQ needs to develop </w:t>
      </w:r>
      <w:r w:rsidRPr="006432F8">
        <w:rPr>
          <w:rFonts w:eastAsia="Times New Roman"/>
          <w:lang w:eastAsia="en-US"/>
        </w:rPr>
        <w:t>a Total Maximum Daily Load</w:t>
      </w:r>
      <w:r w:rsidR="005C53B9">
        <w:rPr>
          <w:rFonts w:eastAsia="Times New Roman"/>
          <w:lang w:eastAsia="en-US"/>
        </w:rPr>
        <w:t xml:space="preserve">, </w:t>
      </w:r>
      <w:r w:rsidR="0001197E" w:rsidRPr="006432F8">
        <w:rPr>
          <w:rFonts w:eastAsia="Times New Roman"/>
          <w:lang w:eastAsia="en-US"/>
        </w:rPr>
        <w:t>TMDL</w:t>
      </w:r>
      <w:r w:rsidR="005C53B9">
        <w:rPr>
          <w:rFonts w:eastAsia="Times New Roman"/>
          <w:lang w:eastAsia="en-US"/>
        </w:rPr>
        <w:t>,</w:t>
      </w:r>
      <w:r w:rsidRPr="006432F8">
        <w:rPr>
          <w:rFonts w:eastAsia="Times New Roman"/>
          <w:lang w:eastAsia="en-US"/>
        </w:rPr>
        <w:t xml:space="preserve"> pollutant </w:t>
      </w:r>
      <w:r w:rsidR="00BE2D31" w:rsidRPr="006432F8">
        <w:rPr>
          <w:rFonts w:eastAsia="Times New Roman"/>
          <w:lang w:eastAsia="en-US"/>
        </w:rPr>
        <w:t xml:space="preserve">load </w:t>
      </w:r>
      <w:r w:rsidR="00B44743">
        <w:rPr>
          <w:rFonts w:eastAsia="Times New Roman"/>
          <w:lang w:eastAsia="en-US"/>
        </w:rPr>
        <w:t>allocation</w:t>
      </w:r>
      <w:r w:rsidRPr="006432F8">
        <w:rPr>
          <w:rFonts w:eastAsia="Times New Roman"/>
          <w:lang w:eastAsia="en-US"/>
        </w:rPr>
        <w:t>.</w:t>
      </w:r>
    </w:p>
    <w:p w:rsidR="000F4F6A" w:rsidRDefault="00BE2D31">
      <w:pPr>
        <w:spacing w:before="100" w:beforeAutospacing="1" w:after="120" w:line="240" w:lineRule="auto"/>
        <w:rPr>
          <w:rFonts w:eastAsia="Times New Roman"/>
          <w:lang w:eastAsia="en-US"/>
        </w:rPr>
      </w:pPr>
      <w:r w:rsidDel="006432F8">
        <w:rPr>
          <w:rFonts w:eastAsia="Times New Roman"/>
          <w:lang w:eastAsia="en-US"/>
        </w:rPr>
        <w:t>DEQ may</w:t>
      </w:r>
      <w:r w:rsidR="00A252A6">
        <w:rPr>
          <w:rFonts w:eastAsia="Times New Roman"/>
          <w:lang w:eastAsia="en-US"/>
        </w:rPr>
        <w:t>:</w:t>
      </w:r>
    </w:p>
    <w:p w:rsidR="000F4F6A" w:rsidRDefault="00A252A6">
      <w:pPr>
        <w:pStyle w:val="ListParagraph"/>
        <w:numPr>
          <w:ilvl w:val="0"/>
          <w:numId w:val="56"/>
        </w:numPr>
        <w:spacing w:before="100" w:beforeAutospacing="1" w:after="120"/>
        <w:contextualSpacing w:val="0"/>
        <w:rPr>
          <w:rFonts w:eastAsia="Times New Roman"/>
          <w:lang w:eastAsia="en-US"/>
        </w:rPr>
      </w:pPr>
      <w:r>
        <w:rPr>
          <w:rFonts w:eastAsia="Times New Roman"/>
          <w:lang w:eastAsia="en-US"/>
        </w:rPr>
        <w:t>A</w:t>
      </w:r>
      <w:r w:rsidR="00BE2D31" w:rsidRPr="00A252A6" w:rsidDel="006432F8">
        <w:rPr>
          <w:rFonts w:eastAsia="Times New Roman"/>
          <w:lang w:eastAsia="en-US"/>
        </w:rPr>
        <w:t>dd w</w:t>
      </w:r>
      <w:r w:rsidR="005F4EA2" w:rsidRPr="00A252A6" w:rsidDel="006432F8">
        <w:rPr>
          <w:rFonts w:eastAsia="Times New Roman"/>
          <w:lang w:eastAsia="en-US"/>
        </w:rPr>
        <w:t>aterbodies to the 303(d) list</w:t>
      </w:r>
      <w:r>
        <w:rPr>
          <w:rFonts w:eastAsia="Times New Roman"/>
          <w:lang w:eastAsia="en-US"/>
        </w:rPr>
        <w:t>,</w:t>
      </w:r>
      <w:r w:rsidR="005F4EA2" w:rsidRPr="00A252A6" w:rsidDel="006432F8">
        <w:rPr>
          <w:rFonts w:eastAsia="Times New Roman"/>
          <w:lang w:eastAsia="en-US"/>
        </w:rPr>
        <w:t xml:space="preserve"> Category 5</w:t>
      </w:r>
      <w:r>
        <w:rPr>
          <w:rFonts w:eastAsia="Times New Roman"/>
          <w:lang w:eastAsia="en-US"/>
        </w:rPr>
        <w:t>,</w:t>
      </w:r>
      <w:r w:rsidR="005F4EA2" w:rsidRPr="00A252A6" w:rsidDel="006432F8">
        <w:rPr>
          <w:rFonts w:eastAsia="Times New Roman"/>
          <w:lang w:eastAsia="en-US"/>
        </w:rPr>
        <w:t xml:space="preserve"> based on the evaluation of new data, application of new or revised water quality standards, or information showing water quality has declined. </w:t>
      </w:r>
    </w:p>
    <w:p w:rsidR="00F419D8" w:rsidRDefault="00A252A6">
      <w:pPr>
        <w:pStyle w:val="ListParagraph"/>
        <w:numPr>
          <w:ilvl w:val="0"/>
          <w:numId w:val="56"/>
        </w:numPr>
        <w:rPr>
          <w:rFonts w:eastAsia="Times New Roman"/>
          <w:lang w:eastAsia="en-US"/>
        </w:rPr>
      </w:pPr>
      <w:r>
        <w:rPr>
          <w:rFonts w:eastAsia="Times New Roman"/>
          <w:lang w:eastAsia="en-US"/>
        </w:rPr>
        <w:t>R</w:t>
      </w:r>
      <w:r w:rsidR="00BE2D31" w:rsidRPr="00A252A6" w:rsidDel="006432F8">
        <w:rPr>
          <w:rFonts w:eastAsia="Times New Roman"/>
          <w:lang w:eastAsia="en-US"/>
        </w:rPr>
        <w:t>emove w</w:t>
      </w:r>
      <w:r w:rsidR="005F4EA2" w:rsidRPr="00A252A6" w:rsidDel="006432F8">
        <w:rPr>
          <w:rFonts w:eastAsia="Times New Roman"/>
          <w:lang w:eastAsia="en-US"/>
        </w:rPr>
        <w:t>aterbodies</w:t>
      </w:r>
      <w:r w:rsidR="00BE2D31" w:rsidRPr="00A252A6" w:rsidDel="006432F8">
        <w:rPr>
          <w:rFonts w:eastAsia="Times New Roman"/>
          <w:lang w:eastAsia="en-US"/>
        </w:rPr>
        <w:t xml:space="preserve"> </w:t>
      </w:r>
      <w:r w:rsidR="005F4EA2" w:rsidRPr="00A252A6" w:rsidDel="006432F8">
        <w:rPr>
          <w:rFonts w:eastAsia="Times New Roman"/>
          <w:lang w:eastAsia="en-US"/>
        </w:rPr>
        <w:t xml:space="preserve">from the 303(d) list when </w:t>
      </w:r>
      <w:r>
        <w:rPr>
          <w:rFonts w:eastAsia="Times New Roman"/>
          <w:lang w:eastAsia="en-US"/>
        </w:rPr>
        <w:t xml:space="preserve">Oregon establishes </w:t>
      </w:r>
      <w:r w:rsidR="005F4EA2" w:rsidRPr="00A252A6" w:rsidDel="006432F8">
        <w:rPr>
          <w:rFonts w:eastAsia="Times New Roman"/>
          <w:lang w:eastAsia="en-US"/>
        </w:rPr>
        <w:t xml:space="preserve">TMDLs or other control </w:t>
      </w:r>
      <w:r w:rsidRPr="00A252A6" w:rsidDel="006432F8">
        <w:rPr>
          <w:rFonts w:eastAsia="Times New Roman"/>
          <w:lang w:eastAsia="en-US"/>
        </w:rPr>
        <w:t>measures</w:t>
      </w:r>
      <w:r>
        <w:rPr>
          <w:rFonts w:eastAsia="Times New Roman"/>
          <w:lang w:eastAsia="en-US"/>
        </w:rPr>
        <w:t xml:space="preserve">, </w:t>
      </w:r>
      <w:r w:rsidR="0001197E" w:rsidRPr="00A252A6">
        <w:rPr>
          <w:rFonts w:eastAsia="Times New Roman"/>
          <w:lang w:eastAsia="en-US"/>
        </w:rPr>
        <w:t>Categories 4A and 4B, respectively</w:t>
      </w:r>
      <w:r>
        <w:rPr>
          <w:rFonts w:eastAsia="Times New Roman"/>
          <w:lang w:eastAsia="en-US"/>
        </w:rPr>
        <w:t>,</w:t>
      </w:r>
      <w:r w:rsidR="0001197E" w:rsidRPr="00A252A6" w:rsidDel="006432F8">
        <w:rPr>
          <w:rFonts w:eastAsia="Times New Roman"/>
          <w:lang w:eastAsia="en-US"/>
        </w:rPr>
        <w:t xml:space="preserve"> </w:t>
      </w:r>
      <w:r>
        <w:rPr>
          <w:rFonts w:eastAsia="Times New Roman"/>
          <w:lang w:eastAsia="en-US"/>
        </w:rPr>
        <w:t xml:space="preserve">that DEQ expects </w:t>
      </w:r>
      <w:r w:rsidR="00ED134E">
        <w:rPr>
          <w:rFonts w:eastAsia="Times New Roman"/>
          <w:lang w:eastAsia="en-US"/>
        </w:rPr>
        <w:t>to improve water quality</w:t>
      </w:r>
      <w:r w:rsidR="005F4EA2" w:rsidRPr="00A252A6" w:rsidDel="006432F8">
        <w:rPr>
          <w:rFonts w:eastAsia="Times New Roman"/>
          <w:lang w:eastAsia="en-US"/>
        </w:rPr>
        <w:t xml:space="preserve"> when data s</w:t>
      </w:r>
      <w:r w:rsidR="002F32DE" w:rsidRPr="00A252A6" w:rsidDel="006432F8">
        <w:rPr>
          <w:rFonts w:eastAsia="Times New Roman"/>
          <w:lang w:eastAsia="en-US"/>
        </w:rPr>
        <w:t>how water quality has improved</w:t>
      </w:r>
      <w:r w:rsidR="00F419D8">
        <w:rPr>
          <w:rFonts w:eastAsia="Times New Roman"/>
          <w:lang w:eastAsia="en-US"/>
        </w:rPr>
        <w:t>.</w:t>
      </w:r>
    </w:p>
    <w:p w:rsidR="00F419D8" w:rsidRDefault="00F419D8" w:rsidP="00F419D8">
      <w:pPr>
        <w:pStyle w:val="ListParagraph"/>
        <w:ind w:left="760"/>
        <w:rPr>
          <w:rFonts w:eastAsia="Times New Roman"/>
          <w:lang w:eastAsia="en-US"/>
        </w:rPr>
      </w:pPr>
    </w:p>
    <w:p w:rsidR="000F4F6A" w:rsidRDefault="00F419D8">
      <w:pPr>
        <w:pStyle w:val="ListParagraph"/>
        <w:numPr>
          <w:ilvl w:val="0"/>
          <w:numId w:val="56"/>
        </w:numPr>
        <w:rPr>
          <w:rFonts w:eastAsia="Times New Roman"/>
          <w:lang w:eastAsia="en-US"/>
        </w:rPr>
      </w:pPr>
      <w:r>
        <w:rPr>
          <w:rFonts w:eastAsia="Times New Roman"/>
          <w:lang w:eastAsia="en-US"/>
        </w:rPr>
        <w:t>Remove waterbodies</w:t>
      </w:r>
      <w:r w:rsidR="002F32DE" w:rsidRPr="00A252A6" w:rsidDel="006432F8">
        <w:rPr>
          <w:rFonts w:eastAsia="Times New Roman"/>
          <w:lang w:eastAsia="en-US"/>
        </w:rPr>
        <w:t xml:space="preserve"> </w:t>
      </w:r>
      <w:r w:rsidR="005F4EA2" w:rsidRPr="00A252A6" w:rsidDel="006432F8">
        <w:rPr>
          <w:rFonts w:eastAsia="Times New Roman"/>
          <w:lang w:eastAsia="en-US"/>
        </w:rPr>
        <w:t xml:space="preserve">when </w:t>
      </w:r>
      <w:r w:rsidR="00A252A6">
        <w:rPr>
          <w:rFonts w:eastAsia="Times New Roman"/>
          <w:lang w:eastAsia="en-US"/>
        </w:rPr>
        <w:t xml:space="preserve">Oregon revises </w:t>
      </w:r>
      <w:r w:rsidR="005F4EA2" w:rsidRPr="00A252A6" w:rsidDel="006432F8">
        <w:rPr>
          <w:rFonts w:eastAsia="Times New Roman"/>
          <w:lang w:eastAsia="en-US"/>
        </w:rPr>
        <w:t>water quality standards</w:t>
      </w:r>
      <w:r w:rsidR="00B44743">
        <w:rPr>
          <w:rFonts w:eastAsia="Times New Roman"/>
          <w:lang w:eastAsia="en-US"/>
        </w:rPr>
        <w:t xml:space="preserve"> and data indicate that the waterbody is now attaining water quality standards</w:t>
      </w:r>
      <w:r w:rsidR="005F4EA2" w:rsidRPr="00A252A6" w:rsidDel="006432F8">
        <w:rPr>
          <w:rFonts w:eastAsia="Times New Roman"/>
          <w:lang w:eastAsia="en-US"/>
        </w:rPr>
        <w:t>.</w:t>
      </w:r>
    </w:p>
    <w:p w:rsidR="008F5F6A" w:rsidRPr="00F92C17" w:rsidRDefault="007A724E" w:rsidP="00BF231C">
      <w:pPr>
        <w:spacing w:before="100" w:beforeAutospacing="1" w:after="100" w:afterAutospacing="1"/>
        <w:rPr>
          <w:rFonts w:eastAsia="Times New Roman"/>
          <w:lang w:eastAsia="en-US"/>
        </w:rPr>
      </w:pPr>
      <w:r w:rsidRPr="00F92C17" w:rsidDel="006432F8">
        <w:rPr>
          <w:rFonts w:eastAsia="Times New Roman"/>
          <w:lang w:eastAsia="en-US"/>
        </w:rPr>
        <w:t>The proposed ammonia criteria may</w:t>
      </w:r>
      <w:r w:rsidR="002F32DE" w:rsidRPr="00F92C17" w:rsidDel="006432F8">
        <w:rPr>
          <w:rFonts w:eastAsia="Times New Roman"/>
          <w:lang w:eastAsia="en-US"/>
        </w:rPr>
        <w:t xml:space="preserve"> affect current 303(d) listings for ammonia. </w:t>
      </w:r>
      <w:r w:rsidR="00177543">
        <w:rPr>
          <w:rFonts w:eastAsia="Times New Roman" w:cstheme="minorHAnsi"/>
          <w:color w:val="000000"/>
        </w:rPr>
        <w:t xml:space="preserve">DEQ’s Integrated Report staff use the chronic criteria for ammonia to evaluate whether waterbodies are meeting state water quality standards. </w:t>
      </w:r>
      <w:r w:rsidR="00F92C17">
        <w:rPr>
          <w:rFonts w:eastAsia="Times New Roman"/>
          <w:lang w:eastAsia="en-US"/>
        </w:rPr>
        <w:t>B</w:t>
      </w:r>
      <w:r w:rsidR="00597A06" w:rsidRPr="00F92C17" w:rsidDel="006432F8">
        <w:rPr>
          <w:rFonts w:eastAsia="Times New Roman"/>
          <w:lang w:eastAsia="en-US"/>
        </w:rPr>
        <w:t xml:space="preserve">ased on the </w:t>
      </w:r>
      <w:r w:rsidR="00F72314">
        <w:rPr>
          <w:rFonts w:eastAsia="Times New Roman"/>
          <w:lang w:eastAsia="en-US"/>
        </w:rPr>
        <w:t>published</w:t>
      </w:r>
      <w:r w:rsidR="00F92C17">
        <w:rPr>
          <w:rFonts w:eastAsia="Times New Roman"/>
          <w:lang w:eastAsia="en-US"/>
        </w:rPr>
        <w:t xml:space="preserve"> </w:t>
      </w:r>
      <w:r w:rsidR="00597A06" w:rsidRPr="00F92C17" w:rsidDel="006432F8">
        <w:rPr>
          <w:rFonts w:eastAsia="Times New Roman"/>
          <w:lang w:eastAsia="en-US"/>
        </w:rPr>
        <w:t>2010 Integrated Report</w:t>
      </w:r>
      <w:r w:rsidR="00F92C17">
        <w:rPr>
          <w:rFonts w:eastAsia="Times New Roman"/>
          <w:lang w:eastAsia="en-US"/>
        </w:rPr>
        <w:t>,</w:t>
      </w:r>
      <w:r w:rsidR="00597A06" w:rsidRPr="00F92C17" w:rsidDel="006432F8">
        <w:rPr>
          <w:rFonts w:eastAsia="Times New Roman"/>
          <w:lang w:eastAsia="en-US"/>
        </w:rPr>
        <w:t xml:space="preserve"> there are 15 waterbodies impaired for ammonia</w:t>
      </w:r>
      <w:r w:rsidR="00F92C17">
        <w:rPr>
          <w:rFonts w:eastAsia="Times New Roman"/>
          <w:lang w:eastAsia="en-US"/>
        </w:rPr>
        <w:t xml:space="preserve"> listed in Table 5.</w:t>
      </w:r>
      <w:r w:rsidR="00597A06" w:rsidRPr="00F92C17" w:rsidDel="006432F8">
        <w:rPr>
          <w:rFonts w:eastAsia="Times New Roman"/>
          <w:lang w:eastAsia="en-US"/>
        </w:rPr>
        <w:t xml:space="preserve"> Five waterbodies need </w:t>
      </w:r>
      <w:r w:rsidR="00DE7133" w:rsidRPr="00F92C17" w:rsidDel="006432F8">
        <w:rPr>
          <w:rFonts w:eastAsia="Times New Roman"/>
          <w:lang w:eastAsia="en-US"/>
        </w:rPr>
        <w:t xml:space="preserve">TMDLs </w:t>
      </w:r>
      <w:r w:rsidR="00597A06" w:rsidRPr="00F92C17" w:rsidDel="006432F8">
        <w:rPr>
          <w:rFonts w:eastAsia="Times New Roman"/>
          <w:lang w:eastAsia="en-US"/>
        </w:rPr>
        <w:t xml:space="preserve">and ten waterbodies </w:t>
      </w:r>
      <w:r w:rsidR="00D06429">
        <w:rPr>
          <w:rFonts w:eastAsia="Times New Roman"/>
          <w:lang w:eastAsia="en-US"/>
        </w:rPr>
        <w:t>have</w:t>
      </w:r>
      <w:r w:rsidR="00F92C17">
        <w:rPr>
          <w:rFonts w:eastAsia="Times New Roman"/>
          <w:lang w:eastAsia="en-US"/>
        </w:rPr>
        <w:t xml:space="preserve"> </w:t>
      </w:r>
      <w:r w:rsidR="00597A06" w:rsidRPr="00F92C17" w:rsidDel="006432F8">
        <w:rPr>
          <w:rFonts w:eastAsia="Times New Roman"/>
          <w:lang w:eastAsia="en-US"/>
        </w:rPr>
        <w:lastRenderedPageBreak/>
        <w:t>approved TMDLs or other</w:t>
      </w:r>
      <w:r w:rsidR="0001197E" w:rsidRPr="00F92C17" w:rsidDel="006432F8">
        <w:rPr>
          <w:rFonts w:eastAsia="Times New Roman"/>
          <w:lang w:eastAsia="en-US"/>
        </w:rPr>
        <w:t xml:space="preserve"> control me</w:t>
      </w:r>
      <w:r w:rsidR="00D06429">
        <w:rPr>
          <w:rFonts w:eastAsia="Times New Roman"/>
          <w:lang w:eastAsia="en-US"/>
        </w:rPr>
        <w:t xml:space="preserve">asures </w:t>
      </w:r>
      <w:r w:rsidR="00747317" w:rsidRPr="00F92C17" w:rsidDel="006432F8">
        <w:rPr>
          <w:rFonts w:eastAsia="Times New Roman"/>
          <w:lang w:eastAsia="en-US"/>
        </w:rPr>
        <w:t>in place</w:t>
      </w:r>
      <w:r w:rsidR="0001197E" w:rsidRPr="00F92C17" w:rsidDel="006432F8">
        <w:rPr>
          <w:rFonts w:eastAsia="Times New Roman"/>
          <w:lang w:eastAsia="en-US"/>
        </w:rPr>
        <w:t>.</w:t>
      </w:r>
      <w:r w:rsidR="00597A06" w:rsidRPr="00F92C17" w:rsidDel="006432F8">
        <w:rPr>
          <w:rFonts w:eastAsia="Times New Roman"/>
          <w:lang w:eastAsia="en-US"/>
        </w:rPr>
        <w:t xml:space="preserve"> </w:t>
      </w:r>
      <w:r w:rsidR="002F32DE" w:rsidRPr="00F92C17" w:rsidDel="006432F8">
        <w:rPr>
          <w:rFonts w:eastAsia="Times New Roman"/>
          <w:lang w:eastAsia="en-US"/>
        </w:rPr>
        <w:t xml:space="preserve">Because </w:t>
      </w:r>
      <w:r w:rsidR="00F92C17">
        <w:rPr>
          <w:rFonts w:eastAsia="Times New Roman"/>
          <w:lang w:eastAsia="en-US"/>
        </w:rPr>
        <w:t xml:space="preserve">DEQ expects </w:t>
      </w:r>
      <w:r w:rsidR="002F32DE" w:rsidRPr="00F92C17" w:rsidDel="006432F8">
        <w:rPr>
          <w:rFonts w:eastAsia="Times New Roman"/>
          <w:lang w:eastAsia="en-US"/>
        </w:rPr>
        <w:t>the proposed chronic criteria to be less stringent than Oregon’s current chronic criteria for ammonia, DEQ may propose to delist waterbodies where there are current 303(d) listings</w:t>
      </w:r>
      <w:r w:rsidR="00597A06" w:rsidRPr="00F92C17" w:rsidDel="006432F8">
        <w:rPr>
          <w:rFonts w:eastAsia="Times New Roman"/>
          <w:lang w:eastAsia="en-US"/>
        </w:rPr>
        <w:t xml:space="preserve"> if data shows that these waterbodies now meet ammonia criteria</w:t>
      </w:r>
      <w:r w:rsidR="002F32DE" w:rsidRPr="00F92C17" w:rsidDel="006432F8">
        <w:rPr>
          <w:rFonts w:eastAsia="Times New Roman"/>
          <w:lang w:eastAsia="en-US"/>
        </w:rPr>
        <w:t>.</w:t>
      </w:r>
      <w:r w:rsidR="00597A06" w:rsidRPr="00F92C17" w:rsidDel="006432F8">
        <w:rPr>
          <w:rFonts w:eastAsia="Times New Roman"/>
          <w:lang w:eastAsia="en-US"/>
        </w:rPr>
        <w:t xml:space="preserve"> </w:t>
      </w:r>
      <w:r w:rsidR="00FF7804" w:rsidRPr="0057523F">
        <w:rPr>
          <w:rFonts w:eastAsia="Times New Roman" w:cstheme="minorHAnsi"/>
          <w:color w:val="000000"/>
        </w:rPr>
        <w:t xml:space="preserve">DEQ will reassess waterbodies </w:t>
      </w:r>
      <w:r w:rsidR="00FF7804">
        <w:rPr>
          <w:rFonts w:eastAsia="Times New Roman" w:cstheme="minorHAnsi"/>
          <w:color w:val="000000"/>
        </w:rPr>
        <w:t xml:space="preserve">using the new </w:t>
      </w:r>
      <w:r w:rsidR="00FF7804" w:rsidRPr="0057523F">
        <w:rPr>
          <w:rFonts w:eastAsia="Times New Roman" w:cstheme="minorHAnsi"/>
          <w:color w:val="000000"/>
        </w:rPr>
        <w:t>ammonia</w:t>
      </w:r>
      <w:r w:rsidR="00FF7804">
        <w:rPr>
          <w:rFonts w:eastAsia="Times New Roman" w:cstheme="minorHAnsi"/>
          <w:color w:val="000000"/>
        </w:rPr>
        <w:t xml:space="preserve"> criteria in the next cycle of the </w:t>
      </w:r>
      <w:r w:rsidR="00FF7804" w:rsidRPr="0057523F">
        <w:rPr>
          <w:rFonts w:eastAsia="Times New Roman" w:cstheme="minorHAnsi"/>
          <w:color w:val="000000"/>
        </w:rPr>
        <w:t>Integrated Report</w:t>
      </w:r>
      <w:r w:rsidR="00434C73">
        <w:rPr>
          <w:rFonts w:eastAsia="Times New Roman" w:cstheme="minorHAnsi"/>
          <w:color w:val="000000"/>
        </w:rPr>
        <w:t xml:space="preserve"> following EPA</w:t>
      </w:r>
      <w:r w:rsidR="00434C73" w:rsidRPr="00434C73">
        <w:rPr>
          <w:rFonts w:eastAsia="Times New Roman" w:cstheme="minorHAnsi"/>
          <w:color w:val="000000"/>
        </w:rPr>
        <w:t xml:space="preserve"> </w:t>
      </w:r>
      <w:r w:rsidR="00434C73">
        <w:rPr>
          <w:rFonts w:eastAsia="Times New Roman" w:cstheme="minorHAnsi"/>
          <w:color w:val="000000"/>
        </w:rPr>
        <w:t>approval</w:t>
      </w:r>
      <w:r w:rsidR="00FF7804" w:rsidRPr="0057523F">
        <w:rPr>
          <w:rFonts w:eastAsia="Times New Roman" w:cstheme="minorHAnsi"/>
          <w:color w:val="000000"/>
        </w:rPr>
        <w:t>.</w:t>
      </w:r>
    </w:p>
    <w:p w:rsidR="000F4F6A" w:rsidRPr="00B56BFF" w:rsidRDefault="00BF231C">
      <w:pPr>
        <w:tabs>
          <w:tab w:val="center" w:pos="4320"/>
        </w:tabs>
        <w:spacing w:after="200" w:line="240" w:lineRule="auto"/>
        <w:rPr>
          <w:rStyle w:val="Strong"/>
          <w:b w:val="0"/>
        </w:rPr>
      </w:pPr>
      <w:r>
        <w:rPr>
          <w:rFonts w:eastAsia="Times New Roman"/>
          <w:b/>
          <w:lang w:eastAsia="en-US"/>
        </w:rPr>
        <w:tab/>
      </w:r>
      <w:r w:rsidR="00427FB1" w:rsidRPr="00B56BFF">
        <w:rPr>
          <w:b/>
        </w:rPr>
        <w:t xml:space="preserve">Table </w:t>
      </w:r>
      <w:r w:rsidR="00822E83" w:rsidRPr="00B56BFF">
        <w:rPr>
          <w:b/>
        </w:rPr>
        <w:fldChar w:fldCharType="begin"/>
      </w:r>
      <w:r w:rsidR="00427FB1" w:rsidRPr="00B56BFF">
        <w:rPr>
          <w:b/>
        </w:rPr>
        <w:instrText xml:space="preserve"> SEQ Table \* ARABIC </w:instrText>
      </w:r>
      <w:r w:rsidR="00822E83" w:rsidRPr="00B56BFF">
        <w:rPr>
          <w:b/>
        </w:rPr>
        <w:fldChar w:fldCharType="separate"/>
      </w:r>
      <w:r w:rsidR="00427FB1" w:rsidRPr="00B56BFF">
        <w:rPr>
          <w:b/>
          <w:noProof/>
        </w:rPr>
        <w:t>5</w:t>
      </w:r>
      <w:r w:rsidR="00822E83" w:rsidRPr="00B56BFF">
        <w:rPr>
          <w:b/>
        </w:rPr>
        <w:fldChar w:fldCharType="end"/>
      </w:r>
      <w:r w:rsidR="00427FB1" w:rsidRPr="00B56BFF">
        <w:rPr>
          <w:b/>
        </w:rPr>
        <w:t xml:space="preserve">: </w:t>
      </w:r>
      <w:r w:rsidR="00640CD8" w:rsidRPr="00B56BFF">
        <w:rPr>
          <w:rStyle w:val="Strong"/>
        </w:rPr>
        <w:t>Waterbodies Listed for Ammonia Based on the 2010 Integrated Report</w:t>
      </w:r>
    </w:p>
    <w:tbl>
      <w:tblPr>
        <w:tblStyle w:val="MediumShading1-Accent3"/>
        <w:tblW w:w="9900" w:type="dxa"/>
        <w:tblInd w:w="-72" w:type="dxa"/>
        <w:tblLook w:val="04A0"/>
      </w:tblPr>
      <w:tblGrid>
        <w:gridCol w:w="2790"/>
        <w:gridCol w:w="90"/>
        <w:gridCol w:w="2700"/>
        <w:gridCol w:w="90"/>
        <w:gridCol w:w="2250"/>
        <w:gridCol w:w="90"/>
        <w:gridCol w:w="1800"/>
        <w:gridCol w:w="90"/>
      </w:tblGrid>
      <w:tr w:rsidR="00DC5485" w:rsidRPr="00F92C17" w:rsidTr="006432F8">
        <w:trPr>
          <w:cnfStyle w:val="100000000000"/>
          <w:trHeight w:val="300"/>
        </w:trPr>
        <w:tc>
          <w:tcPr>
            <w:cnfStyle w:val="001000000000"/>
            <w:tcW w:w="2880" w:type="dxa"/>
            <w:gridSpan w:val="2"/>
            <w:shd w:val="clear" w:color="auto" w:fill="008272"/>
            <w:noWrap/>
            <w:hideMark/>
          </w:tcPr>
          <w:p w:rsidR="00DC5485" w:rsidRPr="00F92C17" w:rsidRDefault="00427FB1" w:rsidP="004D65A8">
            <w:pPr>
              <w:spacing w:line="276" w:lineRule="auto"/>
              <w:rPr>
                <w:rFonts w:eastAsia="Times New Roman"/>
              </w:rPr>
            </w:pPr>
            <w:r w:rsidRPr="00427FB1">
              <w:rPr>
                <w:rFonts w:eastAsia="Times New Roman"/>
              </w:rPr>
              <w:t>Basin Name</w:t>
            </w:r>
          </w:p>
        </w:tc>
        <w:tc>
          <w:tcPr>
            <w:tcW w:w="2790" w:type="dxa"/>
            <w:gridSpan w:val="2"/>
            <w:shd w:val="clear" w:color="auto" w:fill="008272"/>
            <w:noWrap/>
            <w:hideMark/>
          </w:tcPr>
          <w:p w:rsidR="00DC5485" w:rsidRPr="00F92C17" w:rsidRDefault="00427FB1" w:rsidP="004D65A8">
            <w:pPr>
              <w:spacing w:line="276" w:lineRule="auto"/>
              <w:cnfStyle w:val="100000000000"/>
              <w:rPr>
                <w:rFonts w:eastAsia="Times New Roman"/>
              </w:rPr>
            </w:pPr>
            <w:r w:rsidRPr="00427FB1">
              <w:rPr>
                <w:rFonts w:eastAsia="Times New Roman"/>
              </w:rPr>
              <w:t>Water Body (Stream/Lake)</w:t>
            </w:r>
          </w:p>
        </w:tc>
        <w:tc>
          <w:tcPr>
            <w:tcW w:w="2340" w:type="dxa"/>
            <w:gridSpan w:val="2"/>
            <w:shd w:val="clear" w:color="auto" w:fill="008272"/>
            <w:noWrap/>
            <w:hideMark/>
          </w:tcPr>
          <w:p w:rsidR="00DC5485" w:rsidRPr="00F92C17" w:rsidRDefault="00427FB1" w:rsidP="004D65A8">
            <w:pPr>
              <w:spacing w:line="276" w:lineRule="auto"/>
              <w:cnfStyle w:val="100000000000"/>
              <w:rPr>
                <w:rFonts w:eastAsia="Times New Roman"/>
              </w:rPr>
            </w:pPr>
            <w:r w:rsidRPr="00427FB1">
              <w:rPr>
                <w:rFonts w:eastAsia="Times New Roman"/>
              </w:rPr>
              <w:t>Category</w:t>
            </w:r>
          </w:p>
        </w:tc>
        <w:tc>
          <w:tcPr>
            <w:tcW w:w="1890" w:type="dxa"/>
            <w:gridSpan w:val="2"/>
            <w:shd w:val="clear" w:color="auto" w:fill="008272"/>
          </w:tcPr>
          <w:p w:rsidR="00DC5485" w:rsidRPr="00F92C17" w:rsidRDefault="00427FB1" w:rsidP="004D65A8">
            <w:pPr>
              <w:spacing w:line="276" w:lineRule="auto"/>
              <w:cnfStyle w:val="100000000000"/>
              <w:rPr>
                <w:rFonts w:eastAsia="Times New Roman"/>
              </w:rPr>
            </w:pPr>
            <w:r w:rsidRPr="00427FB1">
              <w:rPr>
                <w:rFonts w:eastAsia="Times New Roman"/>
              </w:rPr>
              <w:t>Status</w:t>
            </w:r>
          </w:p>
        </w:tc>
      </w:tr>
      <w:tr w:rsidR="00DC5485" w:rsidRPr="00F92C17" w:rsidTr="00C11A3A">
        <w:trPr>
          <w:gridAfter w:val="1"/>
          <w:cnfStyle w:val="000000100000"/>
          <w:wAfter w:w="90" w:type="dxa"/>
          <w:trHeight w:val="300"/>
        </w:trPr>
        <w:tc>
          <w:tcPr>
            <w:cnfStyle w:val="001000000000"/>
            <w:tcW w:w="2790" w:type="dxa"/>
            <w:noWrap/>
            <w:hideMark/>
          </w:tcPr>
          <w:p w:rsidR="00DC5485" w:rsidRPr="00C11A3A" w:rsidRDefault="00427FB1" w:rsidP="004D65A8">
            <w:pPr>
              <w:spacing w:line="276" w:lineRule="auto"/>
              <w:rPr>
                <w:rFonts w:eastAsia="Times New Roman"/>
                <w:b w:val="0"/>
              </w:rPr>
            </w:pPr>
            <w:r w:rsidRPr="00427FB1">
              <w:rPr>
                <w:rFonts w:eastAsia="Times New Roman"/>
              </w:rPr>
              <w:t>Klamath</w:t>
            </w:r>
          </w:p>
        </w:tc>
        <w:tc>
          <w:tcPr>
            <w:tcW w:w="2790" w:type="dxa"/>
            <w:gridSpan w:val="2"/>
            <w:noWrap/>
            <w:hideMark/>
          </w:tcPr>
          <w:p w:rsidR="00DC5485" w:rsidRPr="00F92C17" w:rsidRDefault="00427FB1" w:rsidP="004D65A8">
            <w:pPr>
              <w:spacing w:line="276" w:lineRule="auto"/>
              <w:cnfStyle w:val="000000100000"/>
              <w:rPr>
                <w:rFonts w:eastAsia="Times New Roman"/>
              </w:rPr>
            </w:pPr>
            <w:r w:rsidRPr="00427FB1">
              <w:rPr>
                <w:rFonts w:eastAsia="Times New Roman"/>
              </w:rPr>
              <w:t>Klamath Strait</w:t>
            </w:r>
          </w:p>
        </w:tc>
        <w:tc>
          <w:tcPr>
            <w:tcW w:w="2340" w:type="dxa"/>
            <w:gridSpan w:val="2"/>
            <w:noWrap/>
            <w:hideMark/>
          </w:tcPr>
          <w:p w:rsidR="000F4F6A" w:rsidRDefault="00427FB1">
            <w:pPr>
              <w:tabs>
                <w:tab w:val="right" w:pos="252"/>
                <w:tab w:val="left" w:pos="432"/>
              </w:tabs>
              <w:spacing w:line="276" w:lineRule="auto"/>
              <w:ind w:left="432" w:hanging="432"/>
              <w:cnfStyle w:val="000000100000"/>
              <w:rPr>
                <w:rFonts w:eastAsia="Times New Roman"/>
              </w:rPr>
            </w:pPr>
            <w:r w:rsidRPr="00427FB1">
              <w:rPr>
                <w:rFonts w:eastAsia="Times New Roman"/>
                <w:b/>
                <w:bCs/>
              </w:rPr>
              <w:t>5</w:t>
            </w:r>
            <w:r w:rsidRPr="00427FB1">
              <w:rPr>
                <w:rFonts w:eastAsia="Times New Roman"/>
              </w:rPr>
              <w:t xml:space="preserve"> </w:t>
            </w:r>
            <w:r w:rsidR="00C11A3A">
              <w:rPr>
                <w:rFonts w:eastAsia="Times New Roman"/>
              </w:rPr>
              <w:tab/>
            </w:r>
            <w:r w:rsidRPr="00427FB1">
              <w:rPr>
                <w:rFonts w:eastAsia="Times New Roman"/>
              </w:rPr>
              <w:t>Water quality limited, 303(d) list</w:t>
            </w:r>
          </w:p>
        </w:tc>
        <w:tc>
          <w:tcPr>
            <w:tcW w:w="1890" w:type="dxa"/>
            <w:gridSpan w:val="2"/>
          </w:tcPr>
          <w:p w:rsidR="00DC5485" w:rsidRPr="00F92C17" w:rsidRDefault="00427FB1" w:rsidP="004D65A8">
            <w:pPr>
              <w:keepNext/>
              <w:keepLines/>
              <w:spacing w:before="240" w:line="276" w:lineRule="auto"/>
              <w:outlineLvl w:val="1"/>
              <w:cnfStyle w:val="000000100000"/>
              <w:rPr>
                <w:rFonts w:eastAsia="Times New Roman"/>
                <w:bCs/>
              </w:rPr>
            </w:pPr>
            <w:bookmarkStart w:id="22" w:name="_Toc395516165"/>
            <w:r w:rsidRPr="00427FB1">
              <w:rPr>
                <w:rFonts w:eastAsia="Times New Roman"/>
                <w:bCs/>
              </w:rPr>
              <w:t>TMDL needed</w:t>
            </w:r>
            <w:bookmarkEnd w:id="22"/>
          </w:p>
        </w:tc>
      </w:tr>
      <w:tr w:rsidR="00DC5485" w:rsidRPr="00F92C17" w:rsidTr="00C11A3A">
        <w:trPr>
          <w:gridAfter w:val="1"/>
          <w:cnfStyle w:val="000000010000"/>
          <w:wAfter w:w="90" w:type="dxa"/>
          <w:trHeight w:val="300"/>
        </w:trPr>
        <w:tc>
          <w:tcPr>
            <w:cnfStyle w:val="001000000000"/>
            <w:tcW w:w="2790" w:type="dxa"/>
            <w:noWrap/>
            <w:hideMark/>
          </w:tcPr>
          <w:p w:rsidR="00DC5485" w:rsidRPr="00C11A3A" w:rsidRDefault="00DC5485" w:rsidP="004D65A8">
            <w:pPr>
              <w:spacing w:line="276" w:lineRule="auto"/>
              <w:rPr>
                <w:rFonts w:eastAsia="Times New Roman"/>
                <w:b w:val="0"/>
              </w:rPr>
            </w:pPr>
          </w:p>
        </w:tc>
        <w:tc>
          <w:tcPr>
            <w:tcW w:w="2790" w:type="dxa"/>
            <w:gridSpan w:val="2"/>
            <w:noWrap/>
            <w:hideMark/>
          </w:tcPr>
          <w:p w:rsidR="00DC5485" w:rsidRPr="00F92C17" w:rsidRDefault="00427FB1" w:rsidP="004D65A8">
            <w:pPr>
              <w:spacing w:line="276" w:lineRule="auto"/>
              <w:cnfStyle w:val="000000010000"/>
              <w:rPr>
                <w:rFonts w:eastAsia="Times New Roman"/>
              </w:rPr>
            </w:pPr>
            <w:r w:rsidRPr="00427FB1">
              <w:rPr>
                <w:rFonts w:eastAsia="Times New Roman"/>
              </w:rPr>
              <w:t>Lost River</w:t>
            </w:r>
          </w:p>
        </w:tc>
        <w:tc>
          <w:tcPr>
            <w:tcW w:w="2340" w:type="dxa"/>
            <w:gridSpan w:val="2"/>
            <w:noWrap/>
            <w:hideMark/>
          </w:tcPr>
          <w:p w:rsidR="000F4F6A" w:rsidRDefault="00427FB1">
            <w:pPr>
              <w:tabs>
                <w:tab w:val="right" w:pos="252"/>
                <w:tab w:val="left" w:pos="432"/>
              </w:tabs>
              <w:spacing w:line="276" w:lineRule="auto"/>
              <w:ind w:left="432" w:hanging="432"/>
              <w:cnfStyle w:val="000000010000"/>
              <w:rPr>
                <w:rFonts w:eastAsia="Times New Roman"/>
              </w:rPr>
            </w:pPr>
            <w:r w:rsidRPr="00427FB1">
              <w:rPr>
                <w:rFonts w:eastAsia="Times New Roman"/>
                <w:b/>
                <w:bCs/>
              </w:rPr>
              <w:t xml:space="preserve"> 5</w:t>
            </w:r>
            <w:r w:rsidRPr="00427FB1">
              <w:rPr>
                <w:rFonts w:eastAsia="Times New Roman"/>
              </w:rPr>
              <w:t xml:space="preserve"> </w:t>
            </w:r>
            <w:r w:rsidR="00C11A3A">
              <w:rPr>
                <w:rFonts w:eastAsia="Times New Roman"/>
              </w:rPr>
              <w:tab/>
            </w:r>
            <w:r w:rsidRPr="00427FB1">
              <w:rPr>
                <w:rFonts w:eastAsia="Times New Roman"/>
              </w:rPr>
              <w:t>Water quality limited, 303(d) list</w:t>
            </w:r>
          </w:p>
        </w:tc>
        <w:tc>
          <w:tcPr>
            <w:tcW w:w="1890" w:type="dxa"/>
            <w:gridSpan w:val="2"/>
          </w:tcPr>
          <w:p w:rsidR="00DC5485" w:rsidRPr="00F92C17" w:rsidRDefault="00427FB1" w:rsidP="004D65A8">
            <w:pPr>
              <w:spacing w:line="276" w:lineRule="auto"/>
              <w:cnfStyle w:val="000000010000"/>
              <w:rPr>
                <w:rFonts w:eastAsia="Times New Roman"/>
                <w:bCs/>
              </w:rPr>
            </w:pPr>
            <w:r w:rsidRPr="00427FB1">
              <w:rPr>
                <w:rFonts w:eastAsia="Times New Roman"/>
                <w:bCs/>
              </w:rPr>
              <w:t>TMDL needed</w:t>
            </w:r>
          </w:p>
        </w:tc>
      </w:tr>
      <w:tr w:rsidR="00DC5485" w:rsidRPr="00640CD8" w:rsidTr="00C11A3A">
        <w:trPr>
          <w:gridAfter w:val="1"/>
          <w:cnfStyle w:val="000000100000"/>
          <w:wAfter w:w="90" w:type="dxa"/>
          <w:trHeight w:val="300"/>
        </w:trPr>
        <w:tc>
          <w:tcPr>
            <w:cnfStyle w:val="001000000000"/>
            <w:tcW w:w="2790" w:type="dxa"/>
            <w:noWrap/>
            <w:hideMark/>
          </w:tcPr>
          <w:p w:rsidR="00DC5485" w:rsidRPr="00C11A3A" w:rsidRDefault="00DC5485" w:rsidP="004D65A8">
            <w:pPr>
              <w:spacing w:line="276" w:lineRule="auto"/>
              <w:rPr>
                <w:rFonts w:eastAsia="Times New Roman"/>
                <w:b w:val="0"/>
              </w:rPr>
            </w:pPr>
          </w:p>
        </w:tc>
        <w:tc>
          <w:tcPr>
            <w:tcW w:w="2790" w:type="dxa"/>
            <w:gridSpan w:val="2"/>
            <w:noWrap/>
            <w:hideMark/>
          </w:tcPr>
          <w:p w:rsidR="00DC5485" w:rsidRPr="003F1F3C" w:rsidRDefault="00427FB1" w:rsidP="004D65A8">
            <w:pPr>
              <w:cnfStyle w:val="000000100000"/>
            </w:pPr>
            <w:r w:rsidRPr="00427FB1">
              <w:rPr>
                <w:rFonts w:eastAsia="Times New Roman"/>
              </w:rPr>
              <w:t>Klamath Riv</w:t>
            </w:r>
            <w:r w:rsidR="00DC5485" w:rsidRPr="003F1F3C">
              <w:t>er</w:t>
            </w:r>
          </w:p>
        </w:tc>
        <w:tc>
          <w:tcPr>
            <w:tcW w:w="2340" w:type="dxa"/>
            <w:gridSpan w:val="2"/>
            <w:noWrap/>
            <w:hideMark/>
          </w:tcPr>
          <w:p w:rsidR="000F4F6A" w:rsidRDefault="00DC5485">
            <w:pPr>
              <w:tabs>
                <w:tab w:val="right" w:pos="252"/>
                <w:tab w:val="left" w:pos="432"/>
              </w:tabs>
              <w:ind w:left="432" w:hanging="432"/>
              <w:cnfStyle w:val="000000100000"/>
              <w:rPr>
                <w:rFonts w:eastAsiaTheme="minorEastAsia"/>
                <w:lang w:eastAsia="ja-JP"/>
              </w:rPr>
            </w:pPr>
            <w:r w:rsidRPr="003F1F3C">
              <w:rPr>
                <w:b/>
                <w:bCs/>
              </w:rPr>
              <w:t xml:space="preserve"> 5</w:t>
            </w:r>
            <w:r w:rsidRPr="003F1F3C">
              <w:t xml:space="preserve"> </w:t>
            </w:r>
            <w:r w:rsidR="00C11A3A">
              <w:tab/>
            </w:r>
            <w:r w:rsidR="00C11A3A">
              <w:tab/>
            </w:r>
            <w:r w:rsidRPr="003F1F3C">
              <w:t>Water quality limited, 303(d) list</w:t>
            </w:r>
          </w:p>
        </w:tc>
        <w:tc>
          <w:tcPr>
            <w:tcW w:w="1890" w:type="dxa"/>
            <w:gridSpan w:val="2"/>
          </w:tcPr>
          <w:p w:rsidR="00DC5485" w:rsidRPr="006432F8" w:rsidRDefault="00DC5485" w:rsidP="004D65A8">
            <w:pPr>
              <w:cnfStyle w:val="000000100000"/>
              <w:rPr>
                <w:bCs/>
              </w:rPr>
            </w:pPr>
            <w:r w:rsidRPr="006432F8">
              <w:rPr>
                <w:bCs/>
              </w:rPr>
              <w:t>TMDL needed</w:t>
            </w:r>
          </w:p>
        </w:tc>
      </w:tr>
      <w:tr w:rsidR="00DC5485" w:rsidRPr="00640CD8" w:rsidTr="00C11A3A">
        <w:trPr>
          <w:gridAfter w:val="1"/>
          <w:cnfStyle w:val="000000010000"/>
          <w:wAfter w:w="90" w:type="dxa"/>
          <w:trHeight w:val="300"/>
        </w:trPr>
        <w:tc>
          <w:tcPr>
            <w:cnfStyle w:val="001000000000"/>
            <w:tcW w:w="2790" w:type="dxa"/>
            <w:noWrap/>
            <w:hideMark/>
          </w:tcPr>
          <w:p w:rsidR="00DC5485" w:rsidRPr="000C2A87" w:rsidRDefault="00DC5485" w:rsidP="004D65A8">
            <w:pPr>
              <w:spacing w:line="276" w:lineRule="auto"/>
            </w:pPr>
          </w:p>
        </w:tc>
        <w:tc>
          <w:tcPr>
            <w:tcW w:w="2790" w:type="dxa"/>
            <w:gridSpan w:val="2"/>
            <w:noWrap/>
            <w:hideMark/>
          </w:tcPr>
          <w:p w:rsidR="00DC5485" w:rsidRPr="003F1F3C" w:rsidRDefault="00DC5485" w:rsidP="004D65A8">
            <w:pPr>
              <w:cnfStyle w:val="000000010000"/>
            </w:pPr>
            <w:r w:rsidRPr="003F1F3C">
              <w:t>Klamath River / Ewauna, Lake</w:t>
            </w:r>
          </w:p>
        </w:tc>
        <w:tc>
          <w:tcPr>
            <w:tcW w:w="2340" w:type="dxa"/>
            <w:gridSpan w:val="2"/>
            <w:noWrap/>
            <w:hideMark/>
          </w:tcPr>
          <w:p w:rsidR="000F4F6A" w:rsidRDefault="00DC5485">
            <w:pPr>
              <w:tabs>
                <w:tab w:val="right" w:pos="252"/>
                <w:tab w:val="left" w:pos="432"/>
              </w:tabs>
              <w:ind w:left="432" w:hanging="432"/>
              <w:cnfStyle w:val="000000010000"/>
              <w:rPr>
                <w:rFonts w:eastAsiaTheme="minorEastAsia"/>
                <w:lang w:eastAsia="ja-JP"/>
              </w:rPr>
            </w:pPr>
            <w:r w:rsidRPr="003F1F3C">
              <w:rPr>
                <w:b/>
                <w:bCs/>
              </w:rPr>
              <w:t xml:space="preserve"> 5</w:t>
            </w:r>
            <w:r w:rsidRPr="003F1F3C">
              <w:t xml:space="preserve"> </w:t>
            </w:r>
            <w:r w:rsidR="00C11A3A">
              <w:tab/>
            </w:r>
            <w:r w:rsidR="00C11A3A">
              <w:tab/>
            </w:r>
            <w:r w:rsidRPr="003F1F3C">
              <w:t>Water quality limited, 303(d) list</w:t>
            </w:r>
          </w:p>
        </w:tc>
        <w:tc>
          <w:tcPr>
            <w:tcW w:w="1890" w:type="dxa"/>
            <w:gridSpan w:val="2"/>
          </w:tcPr>
          <w:p w:rsidR="00DC5485" w:rsidRPr="006432F8" w:rsidRDefault="00DC5485" w:rsidP="004D65A8">
            <w:pPr>
              <w:cnfStyle w:val="000000010000"/>
              <w:rPr>
                <w:bCs/>
              </w:rPr>
            </w:pPr>
            <w:r w:rsidRPr="006432F8">
              <w:rPr>
                <w:bCs/>
              </w:rPr>
              <w:t>TMDL needed</w:t>
            </w:r>
          </w:p>
        </w:tc>
      </w:tr>
      <w:tr w:rsidR="00DC5485" w:rsidRPr="00640CD8" w:rsidTr="00C11A3A">
        <w:trPr>
          <w:gridAfter w:val="1"/>
          <w:cnfStyle w:val="000000100000"/>
          <w:wAfter w:w="90" w:type="dxa"/>
          <w:trHeight w:val="300"/>
        </w:trPr>
        <w:tc>
          <w:tcPr>
            <w:cnfStyle w:val="001000000000"/>
            <w:tcW w:w="2790" w:type="dxa"/>
            <w:noWrap/>
            <w:hideMark/>
          </w:tcPr>
          <w:p w:rsidR="00DC5485" w:rsidRPr="000C2A87" w:rsidRDefault="006E1E97" w:rsidP="004D65A8">
            <w:pPr>
              <w:spacing w:line="276" w:lineRule="auto"/>
            </w:pPr>
            <w:r w:rsidRPr="000C2A87">
              <w:rPr>
                <w:bCs w:val="0"/>
              </w:rPr>
              <w:t>Willamette</w:t>
            </w:r>
          </w:p>
        </w:tc>
        <w:tc>
          <w:tcPr>
            <w:tcW w:w="2790" w:type="dxa"/>
            <w:gridSpan w:val="2"/>
            <w:noWrap/>
            <w:hideMark/>
          </w:tcPr>
          <w:p w:rsidR="00DC5485" w:rsidRPr="003F1F3C" w:rsidRDefault="00DC5485" w:rsidP="004D65A8">
            <w:pPr>
              <w:cnfStyle w:val="000000100000"/>
            </w:pPr>
            <w:r w:rsidRPr="003F1F3C">
              <w:t>Arata Creek / Blue Lake</w:t>
            </w:r>
          </w:p>
        </w:tc>
        <w:tc>
          <w:tcPr>
            <w:tcW w:w="2340" w:type="dxa"/>
            <w:gridSpan w:val="2"/>
            <w:noWrap/>
            <w:hideMark/>
          </w:tcPr>
          <w:p w:rsidR="000F4F6A" w:rsidRDefault="00DC5485">
            <w:pPr>
              <w:tabs>
                <w:tab w:val="right" w:pos="252"/>
                <w:tab w:val="left" w:pos="432"/>
              </w:tabs>
              <w:ind w:left="432" w:hanging="432"/>
              <w:cnfStyle w:val="000000100000"/>
              <w:rPr>
                <w:rFonts w:eastAsiaTheme="minorEastAsia"/>
                <w:lang w:eastAsia="ja-JP"/>
              </w:rPr>
            </w:pPr>
            <w:r w:rsidRPr="003F1F3C">
              <w:rPr>
                <w:b/>
                <w:bCs/>
              </w:rPr>
              <w:t xml:space="preserve"> 5</w:t>
            </w:r>
            <w:r w:rsidRPr="003F1F3C">
              <w:t xml:space="preserve"> </w:t>
            </w:r>
            <w:r w:rsidR="00C11A3A">
              <w:tab/>
            </w:r>
            <w:r w:rsidR="00C11A3A">
              <w:tab/>
            </w:r>
            <w:r w:rsidRPr="003F1F3C">
              <w:t>Water quality limited, 303(d) list</w:t>
            </w:r>
          </w:p>
        </w:tc>
        <w:tc>
          <w:tcPr>
            <w:tcW w:w="1890" w:type="dxa"/>
            <w:gridSpan w:val="2"/>
          </w:tcPr>
          <w:p w:rsidR="00DC5485" w:rsidRPr="006432F8" w:rsidRDefault="00DC5485" w:rsidP="00DC5485">
            <w:pPr>
              <w:cnfStyle w:val="000000100000"/>
              <w:rPr>
                <w:bCs/>
              </w:rPr>
            </w:pPr>
            <w:r w:rsidRPr="006432F8">
              <w:rPr>
                <w:bCs/>
              </w:rPr>
              <w:t>TMDL needed</w:t>
            </w:r>
          </w:p>
        </w:tc>
      </w:tr>
      <w:tr w:rsidR="00DC5485" w:rsidRPr="00640CD8" w:rsidTr="00C11A3A">
        <w:trPr>
          <w:gridAfter w:val="1"/>
          <w:cnfStyle w:val="000000010000"/>
          <w:wAfter w:w="90" w:type="dxa"/>
          <w:trHeight w:val="300"/>
        </w:trPr>
        <w:tc>
          <w:tcPr>
            <w:cnfStyle w:val="001000000000"/>
            <w:tcW w:w="2790" w:type="dxa"/>
            <w:noWrap/>
            <w:hideMark/>
          </w:tcPr>
          <w:p w:rsidR="00DC5485" w:rsidRPr="000C2A87" w:rsidRDefault="006E1E97" w:rsidP="004D65A8">
            <w:pPr>
              <w:spacing w:line="276" w:lineRule="auto"/>
            </w:pPr>
            <w:r w:rsidRPr="000C2A87">
              <w:rPr>
                <w:bCs w:val="0"/>
              </w:rPr>
              <w:t>Middle Columbia</w:t>
            </w:r>
          </w:p>
        </w:tc>
        <w:tc>
          <w:tcPr>
            <w:tcW w:w="2790" w:type="dxa"/>
            <w:gridSpan w:val="2"/>
            <w:noWrap/>
            <w:hideMark/>
          </w:tcPr>
          <w:p w:rsidR="00DC5485" w:rsidRPr="003F1F3C" w:rsidRDefault="00DC5485" w:rsidP="004D65A8">
            <w:pPr>
              <w:cnfStyle w:val="000000010000"/>
            </w:pPr>
            <w:r w:rsidRPr="003F1F3C">
              <w:t>Hermiston Ditch</w:t>
            </w:r>
          </w:p>
        </w:tc>
        <w:tc>
          <w:tcPr>
            <w:tcW w:w="2340" w:type="dxa"/>
            <w:gridSpan w:val="2"/>
            <w:noWrap/>
            <w:hideMark/>
          </w:tcPr>
          <w:p w:rsidR="000F4F6A" w:rsidRDefault="00DC5485">
            <w:pPr>
              <w:tabs>
                <w:tab w:val="right" w:pos="252"/>
                <w:tab w:val="left" w:pos="432"/>
              </w:tabs>
              <w:ind w:left="432" w:hanging="432"/>
              <w:cnfStyle w:val="000000010000"/>
              <w:rPr>
                <w:rFonts w:eastAsiaTheme="minorEastAsia"/>
                <w:lang w:eastAsia="ja-JP"/>
              </w:rPr>
            </w:pPr>
            <w:r w:rsidRPr="003F1F3C">
              <w:rPr>
                <w:b/>
                <w:bCs/>
              </w:rPr>
              <w:t xml:space="preserve"> 4A</w:t>
            </w:r>
            <w:r w:rsidRPr="003F1F3C">
              <w:t>  Water quality limited</w:t>
            </w:r>
          </w:p>
        </w:tc>
        <w:tc>
          <w:tcPr>
            <w:tcW w:w="1890" w:type="dxa"/>
            <w:gridSpan w:val="2"/>
          </w:tcPr>
          <w:p w:rsidR="00DC5485" w:rsidRPr="006432F8" w:rsidRDefault="00DC5485" w:rsidP="004D65A8">
            <w:pPr>
              <w:cnfStyle w:val="000000010000"/>
              <w:rPr>
                <w:bCs/>
              </w:rPr>
            </w:pPr>
            <w:r w:rsidRPr="006432F8">
              <w:rPr>
                <w:bCs/>
              </w:rPr>
              <w:t>TMDL approved</w:t>
            </w:r>
          </w:p>
        </w:tc>
      </w:tr>
      <w:tr w:rsidR="00DC5485" w:rsidRPr="00640CD8" w:rsidTr="00C11A3A">
        <w:trPr>
          <w:gridAfter w:val="1"/>
          <w:cnfStyle w:val="000000100000"/>
          <w:wAfter w:w="90" w:type="dxa"/>
          <w:trHeight w:val="300"/>
        </w:trPr>
        <w:tc>
          <w:tcPr>
            <w:cnfStyle w:val="001000000000"/>
            <w:tcW w:w="2790" w:type="dxa"/>
            <w:noWrap/>
            <w:hideMark/>
          </w:tcPr>
          <w:p w:rsidR="00DC5485" w:rsidRPr="000C2A87" w:rsidRDefault="00DC5485" w:rsidP="004D65A8">
            <w:pPr>
              <w:spacing w:line="276" w:lineRule="auto"/>
            </w:pPr>
          </w:p>
        </w:tc>
        <w:tc>
          <w:tcPr>
            <w:tcW w:w="2790" w:type="dxa"/>
            <w:gridSpan w:val="2"/>
            <w:noWrap/>
            <w:hideMark/>
          </w:tcPr>
          <w:p w:rsidR="00DC5485" w:rsidRPr="003F1F3C" w:rsidRDefault="00DC5485" w:rsidP="004D65A8">
            <w:pPr>
              <w:cnfStyle w:val="000000100000"/>
            </w:pPr>
            <w:r w:rsidRPr="003F1F3C">
              <w:t>Umatilla River (2 records)</w:t>
            </w:r>
          </w:p>
        </w:tc>
        <w:tc>
          <w:tcPr>
            <w:tcW w:w="2340" w:type="dxa"/>
            <w:gridSpan w:val="2"/>
            <w:noWrap/>
            <w:hideMark/>
          </w:tcPr>
          <w:p w:rsidR="000F4F6A" w:rsidRDefault="00DC5485">
            <w:pPr>
              <w:tabs>
                <w:tab w:val="right" w:pos="252"/>
                <w:tab w:val="left" w:pos="432"/>
              </w:tabs>
              <w:ind w:left="432" w:hanging="432"/>
              <w:cnfStyle w:val="000000100000"/>
              <w:rPr>
                <w:rFonts w:eastAsiaTheme="minorEastAsia"/>
                <w:b/>
                <w:bCs/>
                <w:lang w:eastAsia="ja-JP"/>
              </w:rPr>
            </w:pPr>
            <w:r w:rsidRPr="003F1F3C">
              <w:rPr>
                <w:b/>
                <w:bCs/>
              </w:rPr>
              <w:t xml:space="preserve"> 4A</w:t>
            </w:r>
            <w:r w:rsidRPr="003F1F3C">
              <w:t>  Water quality limited</w:t>
            </w:r>
          </w:p>
        </w:tc>
        <w:tc>
          <w:tcPr>
            <w:tcW w:w="1890" w:type="dxa"/>
            <w:gridSpan w:val="2"/>
          </w:tcPr>
          <w:p w:rsidR="00DC5485" w:rsidRPr="006432F8" w:rsidRDefault="00DC5485" w:rsidP="004D65A8">
            <w:pPr>
              <w:cnfStyle w:val="000000100000"/>
              <w:rPr>
                <w:bCs/>
              </w:rPr>
            </w:pPr>
            <w:r w:rsidRPr="006432F8">
              <w:rPr>
                <w:bCs/>
              </w:rPr>
              <w:t>TMDL approved</w:t>
            </w:r>
          </w:p>
        </w:tc>
      </w:tr>
      <w:tr w:rsidR="00DC5485" w:rsidRPr="00640CD8" w:rsidTr="00C11A3A">
        <w:trPr>
          <w:gridAfter w:val="1"/>
          <w:cnfStyle w:val="000000010000"/>
          <w:wAfter w:w="90" w:type="dxa"/>
          <w:trHeight w:val="300"/>
        </w:trPr>
        <w:tc>
          <w:tcPr>
            <w:cnfStyle w:val="001000000000"/>
            <w:tcW w:w="2790" w:type="dxa"/>
            <w:noWrap/>
            <w:hideMark/>
          </w:tcPr>
          <w:p w:rsidR="00DC5485" w:rsidRPr="000C2A87" w:rsidRDefault="006E1E97" w:rsidP="004D65A8">
            <w:pPr>
              <w:spacing w:line="276" w:lineRule="auto"/>
            </w:pPr>
            <w:r w:rsidRPr="000C2A87">
              <w:rPr>
                <w:bCs w:val="0"/>
              </w:rPr>
              <w:t>Southern Oregon Coastal</w:t>
            </w:r>
          </w:p>
        </w:tc>
        <w:tc>
          <w:tcPr>
            <w:tcW w:w="2790" w:type="dxa"/>
            <w:gridSpan w:val="2"/>
            <w:noWrap/>
            <w:hideMark/>
          </w:tcPr>
          <w:p w:rsidR="00DC5485" w:rsidRPr="003F1F3C" w:rsidRDefault="00DC5485" w:rsidP="004D65A8">
            <w:pPr>
              <w:cnfStyle w:val="000000010000"/>
            </w:pPr>
            <w:r w:rsidRPr="003F1F3C">
              <w:t>Ashland Creek</w:t>
            </w:r>
          </w:p>
        </w:tc>
        <w:tc>
          <w:tcPr>
            <w:tcW w:w="2340" w:type="dxa"/>
            <w:gridSpan w:val="2"/>
            <w:noWrap/>
            <w:hideMark/>
          </w:tcPr>
          <w:p w:rsidR="000F4F6A" w:rsidRDefault="00DC5485">
            <w:pPr>
              <w:tabs>
                <w:tab w:val="right" w:pos="252"/>
                <w:tab w:val="left" w:pos="432"/>
              </w:tabs>
              <w:ind w:left="432" w:hanging="432"/>
              <w:cnfStyle w:val="000000010000"/>
              <w:rPr>
                <w:rFonts w:eastAsiaTheme="minorEastAsia"/>
                <w:lang w:eastAsia="ja-JP"/>
              </w:rPr>
            </w:pPr>
            <w:r w:rsidRPr="003F1F3C">
              <w:rPr>
                <w:b/>
                <w:bCs/>
              </w:rPr>
              <w:t xml:space="preserve"> 4A</w:t>
            </w:r>
            <w:r w:rsidRPr="003F1F3C">
              <w:t>  Water quality limited</w:t>
            </w:r>
          </w:p>
        </w:tc>
        <w:tc>
          <w:tcPr>
            <w:tcW w:w="1890" w:type="dxa"/>
            <w:gridSpan w:val="2"/>
          </w:tcPr>
          <w:p w:rsidR="00DC5485" w:rsidRPr="006432F8" w:rsidRDefault="00DC5485" w:rsidP="004D65A8">
            <w:pPr>
              <w:cnfStyle w:val="000000010000"/>
              <w:rPr>
                <w:bCs/>
              </w:rPr>
            </w:pPr>
            <w:r w:rsidRPr="006432F8">
              <w:rPr>
                <w:bCs/>
              </w:rPr>
              <w:t>TMDL approved</w:t>
            </w:r>
          </w:p>
        </w:tc>
      </w:tr>
      <w:tr w:rsidR="00DC5485" w:rsidRPr="00640CD8" w:rsidTr="00C11A3A">
        <w:trPr>
          <w:gridAfter w:val="1"/>
          <w:cnfStyle w:val="000000100000"/>
          <w:wAfter w:w="90" w:type="dxa"/>
          <w:trHeight w:val="300"/>
        </w:trPr>
        <w:tc>
          <w:tcPr>
            <w:cnfStyle w:val="001000000000"/>
            <w:tcW w:w="2790" w:type="dxa"/>
            <w:noWrap/>
            <w:hideMark/>
          </w:tcPr>
          <w:p w:rsidR="00DC5485" w:rsidRPr="000C2A87" w:rsidRDefault="00DC5485" w:rsidP="004D65A8">
            <w:pPr>
              <w:spacing w:line="276" w:lineRule="auto"/>
            </w:pPr>
          </w:p>
        </w:tc>
        <w:tc>
          <w:tcPr>
            <w:tcW w:w="2790" w:type="dxa"/>
            <w:gridSpan w:val="2"/>
            <w:noWrap/>
            <w:hideMark/>
          </w:tcPr>
          <w:p w:rsidR="00DC5485" w:rsidRPr="003F1F3C" w:rsidRDefault="00DC5485" w:rsidP="004D65A8">
            <w:pPr>
              <w:cnfStyle w:val="000000100000"/>
            </w:pPr>
            <w:r w:rsidRPr="003F1F3C">
              <w:t>North Myrtle Creek</w:t>
            </w:r>
          </w:p>
        </w:tc>
        <w:tc>
          <w:tcPr>
            <w:tcW w:w="2340" w:type="dxa"/>
            <w:gridSpan w:val="2"/>
            <w:noWrap/>
            <w:hideMark/>
          </w:tcPr>
          <w:p w:rsidR="000F4F6A" w:rsidRDefault="00DC5485">
            <w:pPr>
              <w:tabs>
                <w:tab w:val="right" w:pos="252"/>
                <w:tab w:val="left" w:pos="432"/>
              </w:tabs>
              <w:ind w:left="432" w:hanging="432"/>
              <w:cnfStyle w:val="000000100000"/>
              <w:rPr>
                <w:rFonts w:eastAsiaTheme="minorEastAsia"/>
                <w:lang w:eastAsia="ja-JP"/>
              </w:rPr>
            </w:pPr>
            <w:r w:rsidRPr="003F1F3C">
              <w:rPr>
                <w:b/>
                <w:bCs/>
              </w:rPr>
              <w:t xml:space="preserve"> 4B</w:t>
            </w:r>
            <w:r w:rsidRPr="003F1F3C">
              <w:t>  Water quality limited</w:t>
            </w:r>
          </w:p>
        </w:tc>
        <w:tc>
          <w:tcPr>
            <w:tcW w:w="1890" w:type="dxa"/>
            <w:gridSpan w:val="2"/>
          </w:tcPr>
          <w:p w:rsidR="00DC5485" w:rsidRPr="006432F8" w:rsidRDefault="006432F8" w:rsidP="004D65A8">
            <w:pPr>
              <w:cnfStyle w:val="000000100000"/>
              <w:rPr>
                <w:bCs/>
              </w:rPr>
            </w:pPr>
            <w:r w:rsidRPr="006432F8">
              <w:t>O</w:t>
            </w:r>
            <w:r w:rsidR="00DC5485" w:rsidRPr="006432F8">
              <w:t>ther control measures</w:t>
            </w:r>
          </w:p>
        </w:tc>
      </w:tr>
      <w:tr w:rsidR="00DC5485" w:rsidRPr="00640CD8" w:rsidTr="00C11A3A">
        <w:trPr>
          <w:gridAfter w:val="1"/>
          <w:cnfStyle w:val="000000010000"/>
          <w:wAfter w:w="90" w:type="dxa"/>
          <w:trHeight w:val="300"/>
        </w:trPr>
        <w:tc>
          <w:tcPr>
            <w:cnfStyle w:val="001000000000"/>
            <w:tcW w:w="2790" w:type="dxa"/>
            <w:noWrap/>
            <w:hideMark/>
          </w:tcPr>
          <w:p w:rsidR="00DC5485" w:rsidRPr="000C2A87" w:rsidRDefault="006E1E97" w:rsidP="004D65A8">
            <w:pPr>
              <w:spacing w:line="276" w:lineRule="auto"/>
            </w:pPr>
            <w:r w:rsidRPr="000C2A87">
              <w:rPr>
                <w:bCs w:val="0"/>
              </w:rPr>
              <w:t>Willamette</w:t>
            </w:r>
          </w:p>
        </w:tc>
        <w:tc>
          <w:tcPr>
            <w:tcW w:w="2790" w:type="dxa"/>
            <w:gridSpan w:val="2"/>
            <w:noWrap/>
            <w:hideMark/>
          </w:tcPr>
          <w:p w:rsidR="00DC5485" w:rsidRPr="003F1F3C" w:rsidRDefault="00DC5485" w:rsidP="004D65A8">
            <w:pPr>
              <w:cnfStyle w:val="000000010000"/>
            </w:pPr>
            <w:r w:rsidRPr="003F1F3C">
              <w:t>Chicken Creek</w:t>
            </w:r>
          </w:p>
        </w:tc>
        <w:tc>
          <w:tcPr>
            <w:tcW w:w="2340" w:type="dxa"/>
            <w:gridSpan w:val="2"/>
            <w:noWrap/>
            <w:hideMark/>
          </w:tcPr>
          <w:p w:rsidR="000F4F6A" w:rsidRDefault="00DC5485">
            <w:pPr>
              <w:tabs>
                <w:tab w:val="right" w:pos="252"/>
                <w:tab w:val="left" w:pos="432"/>
              </w:tabs>
              <w:ind w:left="432" w:hanging="432"/>
              <w:cnfStyle w:val="000000010000"/>
              <w:rPr>
                <w:rFonts w:eastAsiaTheme="minorEastAsia"/>
                <w:lang w:eastAsia="ja-JP"/>
              </w:rPr>
            </w:pPr>
            <w:r w:rsidRPr="003F1F3C">
              <w:rPr>
                <w:b/>
                <w:bCs/>
              </w:rPr>
              <w:t xml:space="preserve"> 4A</w:t>
            </w:r>
            <w:r w:rsidRPr="003F1F3C">
              <w:t>  Water quality limited</w:t>
            </w:r>
          </w:p>
        </w:tc>
        <w:tc>
          <w:tcPr>
            <w:tcW w:w="1890" w:type="dxa"/>
            <w:gridSpan w:val="2"/>
          </w:tcPr>
          <w:p w:rsidR="00DC5485" w:rsidRPr="006432F8" w:rsidRDefault="00DC5485" w:rsidP="004D65A8">
            <w:pPr>
              <w:cnfStyle w:val="000000010000"/>
              <w:rPr>
                <w:bCs/>
              </w:rPr>
            </w:pPr>
            <w:r w:rsidRPr="006432F8">
              <w:rPr>
                <w:bCs/>
              </w:rPr>
              <w:t>TMDL approved</w:t>
            </w:r>
          </w:p>
        </w:tc>
      </w:tr>
      <w:tr w:rsidR="00DC5485" w:rsidRPr="00640CD8" w:rsidTr="00C11A3A">
        <w:trPr>
          <w:gridAfter w:val="1"/>
          <w:cnfStyle w:val="000000100000"/>
          <w:wAfter w:w="90" w:type="dxa"/>
          <w:trHeight w:val="300"/>
        </w:trPr>
        <w:tc>
          <w:tcPr>
            <w:cnfStyle w:val="001000000000"/>
            <w:tcW w:w="2790" w:type="dxa"/>
            <w:noWrap/>
            <w:hideMark/>
          </w:tcPr>
          <w:p w:rsidR="00DC5485" w:rsidRPr="00C11A3A" w:rsidRDefault="00DC5485" w:rsidP="004D65A8">
            <w:pPr>
              <w:spacing w:line="276" w:lineRule="auto"/>
              <w:rPr>
                <w:b w:val="0"/>
              </w:rPr>
            </w:pPr>
          </w:p>
        </w:tc>
        <w:tc>
          <w:tcPr>
            <w:tcW w:w="2790" w:type="dxa"/>
            <w:gridSpan w:val="2"/>
            <w:noWrap/>
            <w:hideMark/>
          </w:tcPr>
          <w:p w:rsidR="00DC5485" w:rsidRPr="003F1F3C" w:rsidRDefault="00DC5485" w:rsidP="004D65A8">
            <w:pPr>
              <w:cnfStyle w:val="000000100000"/>
            </w:pPr>
            <w:r w:rsidRPr="003F1F3C">
              <w:t>Dairy Creek</w:t>
            </w:r>
          </w:p>
        </w:tc>
        <w:tc>
          <w:tcPr>
            <w:tcW w:w="2340" w:type="dxa"/>
            <w:gridSpan w:val="2"/>
            <w:noWrap/>
            <w:hideMark/>
          </w:tcPr>
          <w:p w:rsidR="000F4F6A" w:rsidRDefault="00DC5485">
            <w:pPr>
              <w:tabs>
                <w:tab w:val="right" w:pos="252"/>
                <w:tab w:val="left" w:pos="432"/>
              </w:tabs>
              <w:ind w:left="432" w:hanging="432"/>
              <w:cnfStyle w:val="000000100000"/>
              <w:rPr>
                <w:rFonts w:eastAsiaTheme="minorEastAsia"/>
                <w:b/>
                <w:bCs/>
                <w:lang w:eastAsia="ja-JP"/>
              </w:rPr>
            </w:pPr>
            <w:r w:rsidRPr="003F1F3C">
              <w:rPr>
                <w:b/>
                <w:bCs/>
              </w:rPr>
              <w:t xml:space="preserve"> 4A</w:t>
            </w:r>
            <w:r w:rsidRPr="003F1F3C">
              <w:t>  Water quality limited</w:t>
            </w:r>
          </w:p>
        </w:tc>
        <w:tc>
          <w:tcPr>
            <w:tcW w:w="1890" w:type="dxa"/>
            <w:gridSpan w:val="2"/>
          </w:tcPr>
          <w:p w:rsidR="00DC5485" w:rsidRPr="006432F8" w:rsidRDefault="00DC5485" w:rsidP="004D65A8">
            <w:pPr>
              <w:cnfStyle w:val="000000100000"/>
              <w:rPr>
                <w:bCs/>
              </w:rPr>
            </w:pPr>
            <w:r w:rsidRPr="006432F8">
              <w:rPr>
                <w:bCs/>
              </w:rPr>
              <w:t>TMDL approved</w:t>
            </w:r>
          </w:p>
        </w:tc>
      </w:tr>
      <w:tr w:rsidR="00DC5485" w:rsidRPr="00640CD8" w:rsidTr="00C11A3A">
        <w:trPr>
          <w:gridAfter w:val="1"/>
          <w:cnfStyle w:val="000000010000"/>
          <w:wAfter w:w="90" w:type="dxa"/>
          <w:trHeight w:val="300"/>
        </w:trPr>
        <w:tc>
          <w:tcPr>
            <w:cnfStyle w:val="001000000000"/>
            <w:tcW w:w="2790" w:type="dxa"/>
            <w:noWrap/>
            <w:hideMark/>
          </w:tcPr>
          <w:p w:rsidR="00DC5485" w:rsidRPr="00C11A3A" w:rsidRDefault="00DC5485" w:rsidP="004D65A8">
            <w:pPr>
              <w:spacing w:line="276" w:lineRule="auto"/>
              <w:rPr>
                <w:b w:val="0"/>
              </w:rPr>
            </w:pPr>
          </w:p>
        </w:tc>
        <w:tc>
          <w:tcPr>
            <w:tcW w:w="2790" w:type="dxa"/>
            <w:gridSpan w:val="2"/>
            <w:noWrap/>
            <w:hideMark/>
          </w:tcPr>
          <w:p w:rsidR="00DC5485" w:rsidRPr="003F1F3C" w:rsidRDefault="00DC5485" w:rsidP="004D65A8">
            <w:pPr>
              <w:cnfStyle w:val="000000010000"/>
            </w:pPr>
            <w:r w:rsidRPr="003F1F3C">
              <w:t>McKay Creek</w:t>
            </w:r>
          </w:p>
        </w:tc>
        <w:tc>
          <w:tcPr>
            <w:tcW w:w="2340" w:type="dxa"/>
            <w:gridSpan w:val="2"/>
            <w:noWrap/>
            <w:hideMark/>
          </w:tcPr>
          <w:p w:rsidR="000F4F6A" w:rsidRDefault="00DC5485">
            <w:pPr>
              <w:tabs>
                <w:tab w:val="right" w:pos="252"/>
                <w:tab w:val="left" w:pos="432"/>
              </w:tabs>
              <w:ind w:left="432" w:hanging="432"/>
              <w:cnfStyle w:val="000000010000"/>
              <w:rPr>
                <w:rFonts w:eastAsiaTheme="minorEastAsia"/>
                <w:lang w:eastAsia="ja-JP"/>
              </w:rPr>
            </w:pPr>
            <w:r w:rsidRPr="003F1F3C">
              <w:rPr>
                <w:b/>
                <w:bCs/>
              </w:rPr>
              <w:t xml:space="preserve"> 4A</w:t>
            </w:r>
            <w:r w:rsidRPr="003F1F3C">
              <w:t>  Water quality limited</w:t>
            </w:r>
          </w:p>
        </w:tc>
        <w:tc>
          <w:tcPr>
            <w:tcW w:w="1890" w:type="dxa"/>
            <w:gridSpan w:val="2"/>
          </w:tcPr>
          <w:p w:rsidR="00DC5485" w:rsidRPr="006432F8" w:rsidRDefault="00DC5485" w:rsidP="004D65A8">
            <w:pPr>
              <w:cnfStyle w:val="000000010000"/>
              <w:rPr>
                <w:bCs/>
              </w:rPr>
            </w:pPr>
            <w:r w:rsidRPr="006432F8">
              <w:rPr>
                <w:bCs/>
              </w:rPr>
              <w:t>TMDL approved</w:t>
            </w:r>
          </w:p>
        </w:tc>
      </w:tr>
      <w:tr w:rsidR="00DC5485" w:rsidRPr="00640CD8" w:rsidTr="00C11A3A">
        <w:trPr>
          <w:gridAfter w:val="1"/>
          <w:cnfStyle w:val="000000100000"/>
          <w:wAfter w:w="90" w:type="dxa"/>
          <w:trHeight w:val="300"/>
        </w:trPr>
        <w:tc>
          <w:tcPr>
            <w:cnfStyle w:val="001000000000"/>
            <w:tcW w:w="2790" w:type="dxa"/>
            <w:noWrap/>
            <w:hideMark/>
          </w:tcPr>
          <w:p w:rsidR="00DC5485" w:rsidRPr="00C11A3A" w:rsidRDefault="00DC5485" w:rsidP="004D65A8">
            <w:pPr>
              <w:spacing w:line="276" w:lineRule="auto"/>
              <w:rPr>
                <w:b w:val="0"/>
              </w:rPr>
            </w:pPr>
          </w:p>
        </w:tc>
        <w:tc>
          <w:tcPr>
            <w:tcW w:w="2790" w:type="dxa"/>
            <w:gridSpan w:val="2"/>
            <w:noWrap/>
            <w:hideMark/>
          </w:tcPr>
          <w:p w:rsidR="00DC5485" w:rsidRPr="003F1F3C" w:rsidRDefault="00DC5485" w:rsidP="004D65A8">
            <w:pPr>
              <w:cnfStyle w:val="000000100000"/>
            </w:pPr>
            <w:r w:rsidRPr="003F1F3C">
              <w:t>Rock Creek</w:t>
            </w:r>
          </w:p>
        </w:tc>
        <w:tc>
          <w:tcPr>
            <w:tcW w:w="2340" w:type="dxa"/>
            <w:gridSpan w:val="2"/>
            <w:noWrap/>
            <w:hideMark/>
          </w:tcPr>
          <w:p w:rsidR="000F4F6A" w:rsidRDefault="00DC5485">
            <w:pPr>
              <w:tabs>
                <w:tab w:val="right" w:pos="252"/>
                <w:tab w:val="left" w:pos="432"/>
              </w:tabs>
              <w:ind w:left="432" w:hanging="432"/>
              <w:cnfStyle w:val="000000100000"/>
              <w:rPr>
                <w:rFonts w:eastAsiaTheme="minorEastAsia"/>
                <w:lang w:eastAsia="ja-JP"/>
              </w:rPr>
            </w:pPr>
            <w:r w:rsidRPr="003F1F3C">
              <w:rPr>
                <w:b/>
                <w:bCs/>
              </w:rPr>
              <w:t xml:space="preserve"> 4A</w:t>
            </w:r>
            <w:r w:rsidRPr="003F1F3C">
              <w:t>  Water quality limited</w:t>
            </w:r>
          </w:p>
        </w:tc>
        <w:tc>
          <w:tcPr>
            <w:tcW w:w="1890" w:type="dxa"/>
            <w:gridSpan w:val="2"/>
          </w:tcPr>
          <w:p w:rsidR="00DC5485" w:rsidRPr="006432F8" w:rsidRDefault="00DC5485" w:rsidP="004D65A8">
            <w:pPr>
              <w:cnfStyle w:val="000000100000"/>
              <w:rPr>
                <w:bCs/>
              </w:rPr>
            </w:pPr>
            <w:r w:rsidRPr="006432F8">
              <w:rPr>
                <w:bCs/>
              </w:rPr>
              <w:t>TMDL approved</w:t>
            </w:r>
          </w:p>
        </w:tc>
      </w:tr>
      <w:tr w:rsidR="00DC5485" w:rsidRPr="00640CD8" w:rsidTr="00C11A3A">
        <w:trPr>
          <w:gridAfter w:val="1"/>
          <w:cnfStyle w:val="000000010000"/>
          <w:wAfter w:w="90" w:type="dxa"/>
          <w:trHeight w:val="300"/>
        </w:trPr>
        <w:tc>
          <w:tcPr>
            <w:cnfStyle w:val="001000000000"/>
            <w:tcW w:w="2790" w:type="dxa"/>
            <w:noWrap/>
            <w:hideMark/>
          </w:tcPr>
          <w:p w:rsidR="00DC5485" w:rsidRPr="00C11A3A" w:rsidRDefault="00DC5485" w:rsidP="004D65A8">
            <w:pPr>
              <w:spacing w:line="276" w:lineRule="auto"/>
              <w:rPr>
                <w:b w:val="0"/>
              </w:rPr>
            </w:pPr>
          </w:p>
        </w:tc>
        <w:tc>
          <w:tcPr>
            <w:tcW w:w="2790" w:type="dxa"/>
            <w:gridSpan w:val="2"/>
            <w:noWrap/>
            <w:hideMark/>
          </w:tcPr>
          <w:p w:rsidR="00DC5485" w:rsidRPr="003F1F3C" w:rsidRDefault="00DC5485" w:rsidP="004D65A8">
            <w:pPr>
              <w:cnfStyle w:val="000000010000"/>
            </w:pPr>
            <w:r w:rsidRPr="003F1F3C">
              <w:t>Scoggins Creek</w:t>
            </w:r>
          </w:p>
        </w:tc>
        <w:tc>
          <w:tcPr>
            <w:tcW w:w="2340" w:type="dxa"/>
            <w:gridSpan w:val="2"/>
            <w:noWrap/>
            <w:hideMark/>
          </w:tcPr>
          <w:p w:rsidR="000F4F6A" w:rsidRDefault="00DC5485">
            <w:pPr>
              <w:tabs>
                <w:tab w:val="right" w:pos="252"/>
                <w:tab w:val="left" w:pos="432"/>
              </w:tabs>
              <w:ind w:left="432" w:hanging="432"/>
              <w:cnfStyle w:val="000000010000"/>
              <w:rPr>
                <w:rFonts w:eastAsiaTheme="minorEastAsia"/>
                <w:lang w:eastAsia="ja-JP"/>
              </w:rPr>
            </w:pPr>
            <w:r w:rsidRPr="003F1F3C">
              <w:rPr>
                <w:b/>
                <w:bCs/>
              </w:rPr>
              <w:t xml:space="preserve"> 4A</w:t>
            </w:r>
            <w:r w:rsidRPr="003F1F3C">
              <w:t>  Water quality limited</w:t>
            </w:r>
          </w:p>
        </w:tc>
        <w:tc>
          <w:tcPr>
            <w:tcW w:w="1890" w:type="dxa"/>
            <w:gridSpan w:val="2"/>
          </w:tcPr>
          <w:p w:rsidR="00DC5485" w:rsidRPr="006432F8" w:rsidRDefault="00DC5485" w:rsidP="004D65A8">
            <w:pPr>
              <w:cnfStyle w:val="000000010000"/>
              <w:rPr>
                <w:bCs/>
              </w:rPr>
            </w:pPr>
            <w:r w:rsidRPr="006432F8">
              <w:rPr>
                <w:bCs/>
              </w:rPr>
              <w:t>TMDL approved</w:t>
            </w:r>
          </w:p>
        </w:tc>
      </w:tr>
      <w:tr w:rsidR="00DC5485" w:rsidRPr="00640CD8" w:rsidTr="00C11A3A">
        <w:trPr>
          <w:gridAfter w:val="1"/>
          <w:cnfStyle w:val="000000100000"/>
          <w:wAfter w:w="90" w:type="dxa"/>
          <w:trHeight w:val="300"/>
        </w:trPr>
        <w:tc>
          <w:tcPr>
            <w:cnfStyle w:val="001000000000"/>
            <w:tcW w:w="2790" w:type="dxa"/>
            <w:noWrap/>
            <w:hideMark/>
          </w:tcPr>
          <w:p w:rsidR="00DC5485" w:rsidRPr="00C11A3A" w:rsidRDefault="00DC5485" w:rsidP="004D65A8">
            <w:pPr>
              <w:spacing w:line="276" w:lineRule="auto"/>
              <w:rPr>
                <w:b w:val="0"/>
              </w:rPr>
            </w:pPr>
          </w:p>
        </w:tc>
        <w:tc>
          <w:tcPr>
            <w:tcW w:w="2790" w:type="dxa"/>
            <w:gridSpan w:val="2"/>
            <w:noWrap/>
            <w:hideMark/>
          </w:tcPr>
          <w:p w:rsidR="00DC5485" w:rsidRPr="003F1F3C" w:rsidRDefault="00DC5485" w:rsidP="004D65A8">
            <w:pPr>
              <w:cnfStyle w:val="000000100000"/>
            </w:pPr>
            <w:r>
              <w:t>Tualatin River</w:t>
            </w:r>
          </w:p>
        </w:tc>
        <w:tc>
          <w:tcPr>
            <w:tcW w:w="2340" w:type="dxa"/>
            <w:gridSpan w:val="2"/>
            <w:noWrap/>
            <w:hideMark/>
          </w:tcPr>
          <w:p w:rsidR="000F4F6A" w:rsidRDefault="00DC5485">
            <w:pPr>
              <w:tabs>
                <w:tab w:val="right" w:pos="252"/>
                <w:tab w:val="left" w:pos="432"/>
              </w:tabs>
              <w:ind w:left="432" w:hanging="432"/>
              <w:cnfStyle w:val="000000100000"/>
              <w:rPr>
                <w:rFonts w:eastAsiaTheme="minorEastAsia"/>
                <w:lang w:eastAsia="ja-JP"/>
              </w:rPr>
            </w:pPr>
            <w:r w:rsidRPr="003F1F3C">
              <w:rPr>
                <w:b/>
                <w:bCs/>
              </w:rPr>
              <w:t xml:space="preserve"> 4A</w:t>
            </w:r>
            <w:r w:rsidRPr="003F1F3C">
              <w:t>  Water quality limited</w:t>
            </w:r>
          </w:p>
        </w:tc>
        <w:tc>
          <w:tcPr>
            <w:tcW w:w="1890" w:type="dxa"/>
            <w:gridSpan w:val="2"/>
          </w:tcPr>
          <w:p w:rsidR="00DC5485" w:rsidRPr="006432F8" w:rsidRDefault="00DC5485" w:rsidP="004D65A8">
            <w:pPr>
              <w:cnfStyle w:val="000000100000"/>
              <w:rPr>
                <w:bCs/>
              </w:rPr>
            </w:pPr>
            <w:r w:rsidRPr="006432F8">
              <w:rPr>
                <w:bCs/>
              </w:rPr>
              <w:t>TMDL approved</w:t>
            </w:r>
          </w:p>
        </w:tc>
      </w:tr>
    </w:tbl>
    <w:p w:rsidR="00640CD8" w:rsidRPr="00640CD8" w:rsidRDefault="00640CD8" w:rsidP="004D65A8"/>
    <w:p w:rsidR="00B22590" w:rsidRDefault="00B22590">
      <w:pPr>
        <w:spacing w:after="200"/>
        <w:rPr>
          <w:rFonts w:asciiTheme="majorHAnsi" w:eastAsiaTheme="majorEastAsia" w:hAnsiTheme="majorHAnsi" w:cstheme="majorBidi"/>
          <w:color w:val="2B8F91"/>
          <w:sz w:val="28"/>
          <w:szCs w:val="26"/>
        </w:rPr>
      </w:pPr>
      <w:r>
        <w:lastRenderedPageBreak/>
        <w:br w:type="page"/>
      </w:r>
    </w:p>
    <w:p w:rsidR="0001197E" w:rsidRPr="00B56BFF" w:rsidRDefault="0001197E" w:rsidP="004D65A8">
      <w:pPr>
        <w:pStyle w:val="Heading2"/>
        <w:rPr>
          <w:rFonts w:asciiTheme="minorHAnsi" w:hAnsiTheme="minorHAnsi"/>
        </w:rPr>
      </w:pPr>
      <w:bookmarkStart w:id="23" w:name="_Toc395516166"/>
      <w:r w:rsidRPr="00B56BFF">
        <w:rPr>
          <w:rFonts w:asciiTheme="minorHAnsi" w:hAnsiTheme="minorHAnsi"/>
        </w:rPr>
        <w:lastRenderedPageBreak/>
        <w:t>V</w:t>
      </w:r>
      <w:r w:rsidR="006A2A5F" w:rsidRPr="00B56BFF">
        <w:rPr>
          <w:rFonts w:asciiTheme="minorHAnsi" w:hAnsiTheme="minorHAnsi"/>
        </w:rPr>
        <w:t>I</w:t>
      </w:r>
      <w:r w:rsidRPr="00B56BFF">
        <w:rPr>
          <w:rFonts w:asciiTheme="minorHAnsi" w:hAnsiTheme="minorHAnsi"/>
        </w:rPr>
        <w:t>.D. Total Maximum Daily Load Program</w:t>
      </w:r>
      <w:bookmarkEnd w:id="23"/>
    </w:p>
    <w:p w:rsidR="00282A16" w:rsidRDefault="00762F40" w:rsidP="004D65A8">
      <w:r>
        <w:t xml:space="preserve">A Total Maximum Daily Load (TMDL) is a calculation of the maximum amount of a pollutant that a waterbody can receive and still safely meet water quality standards. If </w:t>
      </w:r>
      <w:r w:rsidR="00BE2D31">
        <w:t xml:space="preserve">DEQ </w:t>
      </w:r>
      <w:r w:rsidR="00B44743">
        <w:t xml:space="preserve">includes </w:t>
      </w:r>
      <w:r>
        <w:t>a w</w:t>
      </w:r>
      <w:r w:rsidR="00BE2D31">
        <w:t>aterbody on the</w:t>
      </w:r>
      <w:r>
        <w:t xml:space="preserve"> 303(d) list, </w:t>
      </w:r>
      <w:r w:rsidR="00BE2D31">
        <w:t xml:space="preserve">DEQ must develop </w:t>
      </w:r>
      <w:r>
        <w:t>a TMDL</w:t>
      </w:r>
      <w:r w:rsidR="00F72314">
        <w:t>,</w:t>
      </w:r>
      <w:r>
        <w:t xml:space="preserve"> or other control measures in limited c</w:t>
      </w:r>
      <w:r w:rsidR="00BE2D31">
        <w:t>ircumstances</w:t>
      </w:r>
      <w:r w:rsidR="00F72314">
        <w:t>,</w:t>
      </w:r>
      <w:r w:rsidR="00BE2D31">
        <w:t xml:space="preserve"> </w:t>
      </w:r>
      <w:r>
        <w:t>to bring the waterbody back into compliance by meeting water quality standards.</w:t>
      </w:r>
      <w:r w:rsidR="00282A16">
        <w:t xml:space="preserve"> Through an extensive evaluation, DEQ develops pollutant allocations for point and nonpoint sources for the pollutant of concern. </w:t>
      </w:r>
    </w:p>
    <w:p w:rsidR="000F4F6A" w:rsidRDefault="000F4F6A"/>
    <w:p w:rsidR="00177543" w:rsidRDefault="00762F40" w:rsidP="00177543">
      <w:pPr>
        <w:rPr>
          <w:rFonts w:cstheme="minorHAnsi"/>
        </w:rPr>
      </w:pPr>
      <w:r>
        <w:t xml:space="preserve">As indicated </w:t>
      </w:r>
      <w:r w:rsidR="00F72314">
        <w:t xml:space="preserve">in Table 5 </w:t>
      </w:r>
      <w:r>
        <w:t xml:space="preserve">above, several waterbodies </w:t>
      </w:r>
      <w:r w:rsidR="00F72314">
        <w:t xml:space="preserve">need </w:t>
      </w:r>
      <w:r>
        <w:t xml:space="preserve">TMDLs for ammonia listings. In addition, there are a number of waterbodies where </w:t>
      </w:r>
      <w:r w:rsidR="00F72314">
        <w:t xml:space="preserve">DEQ has already developed </w:t>
      </w:r>
      <w:r>
        <w:t>TMDLs to address ammonia impairments.</w:t>
      </w:r>
      <w:r w:rsidR="00282A16">
        <w:t xml:space="preserve"> Following adoption and subsequent </w:t>
      </w:r>
      <w:r w:rsidR="00F81452">
        <w:t xml:space="preserve">EPA </w:t>
      </w:r>
      <w:r w:rsidR="00282A16">
        <w:t xml:space="preserve">approval of revised ammonia criteria, DEQ will </w:t>
      </w:r>
      <w:r w:rsidR="00F72314">
        <w:t xml:space="preserve">likely </w:t>
      </w:r>
      <w:r w:rsidR="00282A16">
        <w:t>need to re-assess wasteload and load allocations that DEQ developed for existing ammonia TMDLs</w:t>
      </w:r>
      <w:r w:rsidR="00F81452">
        <w:t xml:space="preserve"> to evaluate whether the existing pollutant allocations are still appropriate</w:t>
      </w:r>
      <w:r w:rsidR="00282A16">
        <w:t xml:space="preserve">. </w:t>
      </w:r>
      <w:r w:rsidR="000C2A87" w:rsidRPr="0057523F">
        <w:rPr>
          <w:rFonts w:cstheme="minorHAnsi"/>
        </w:rPr>
        <w:t>For example, it is not yet clear whether Waste Load Allocations w</w:t>
      </w:r>
      <w:r w:rsidR="00B44743">
        <w:rPr>
          <w:rFonts w:cstheme="minorHAnsi"/>
        </w:rPr>
        <w:t>ill</w:t>
      </w:r>
      <w:r w:rsidR="000C2A87" w:rsidRPr="0057523F">
        <w:rPr>
          <w:rFonts w:cstheme="minorHAnsi"/>
        </w:rPr>
        <w:t xml:space="preserve"> be based on the chronic 30-day rolling average, the 2.5 times the chronic criterion </w:t>
      </w:r>
      <w:r w:rsidR="000C2A87">
        <w:rPr>
          <w:rFonts w:cstheme="minorHAnsi"/>
        </w:rPr>
        <w:t xml:space="preserve">four-day </w:t>
      </w:r>
      <w:r w:rsidR="000C2A87" w:rsidRPr="0057523F">
        <w:rPr>
          <w:rFonts w:cstheme="minorHAnsi"/>
        </w:rPr>
        <w:t>average within the 30-day rolling average, or even the acut</w:t>
      </w:r>
      <w:r w:rsidR="00694707">
        <w:rPr>
          <w:rFonts w:cstheme="minorHAnsi"/>
        </w:rPr>
        <w:t xml:space="preserve">e criteria duration based on a one-hour average. </w:t>
      </w:r>
      <w:r w:rsidR="00177543" w:rsidRPr="0057523F">
        <w:rPr>
          <w:rFonts w:cstheme="minorHAnsi"/>
        </w:rPr>
        <w:t xml:space="preserve">Waste </w:t>
      </w:r>
      <w:r w:rsidR="00177543">
        <w:rPr>
          <w:rFonts w:cstheme="minorHAnsi"/>
        </w:rPr>
        <w:t>l</w:t>
      </w:r>
      <w:r w:rsidR="00177543" w:rsidRPr="0057523F">
        <w:rPr>
          <w:rFonts w:cstheme="minorHAnsi"/>
        </w:rPr>
        <w:t xml:space="preserve">oad </w:t>
      </w:r>
      <w:r w:rsidR="00177543">
        <w:rPr>
          <w:rFonts w:cstheme="minorHAnsi"/>
        </w:rPr>
        <w:t>a</w:t>
      </w:r>
      <w:r w:rsidR="00177543" w:rsidRPr="0057523F">
        <w:rPr>
          <w:rFonts w:cstheme="minorHAnsi"/>
        </w:rPr>
        <w:t xml:space="preserve">llocations may need to be based on both, with different compliance averaging periods. For example, </w:t>
      </w:r>
      <w:r w:rsidR="00177543">
        <w:rPr>
          <w:rFonts w:cstheme="minorHAnsi"/>
        </w:rPr>
        <w:t>DEQ could base one w</w:t>
      </w:r>
      <w:r w:rsidR="00177543" w:rsidRPr="0057523F">
        <w:rPr>
          <w:rFonts w:cstheme="minorHAnsi"/>
        </w:rPr>
        <w:t xml:space="preserve">aste </w:t>
      </w:r>
      <w:r w:rsidR="00177543">
        <w:rPr>
          <w:rFonts w:cstheme="minorHAnsi"/>
        </w:rPr>
        <w:t>load a</w:t>
      </w:r>
      <w:r w:rsidR="00177543" w:rsidRPr="0057523F">
        <w:rPr>
          <w:rFonts w:cstheme="minorHAnsi"/>
        </w:rPr>
        <w:t xml:space="preserve">llocation on a maximum monthly </w:t>
      </w:r>
      <w:r w:rsidR="00177543">
        <w:rPr>
          <w:rFonts w:cstheme="minorHAnsi"/>
        </w:rPr>
        <w:t>four</w:t>
      </w:r>
      <w:r w:rsidR="00177543" w:rsidRPr="0057523F">
        <w:rPr>
          <w:rFonts w:cstheme="minorHAnsi"/>
        </w:rPr>
        <w:t xml:space="preserve">-day average and the other on </w:t>
      </w:r>
      <w:r w:rsidR="00177543">
        <w:rPr>
          <w:rFonts w:cstheme="minorHAnsi"/>
        </w:rPr>
        <w:t xml:space="preserve">a </w:t>
      </w:r>
      <w:r w:rsidR="00177543" w:rsidRPr="0057523F">
        <w:rPr>
          <w:rFonts w:cstheme="minorHAnsi"/>
        </w:rPr>
        <w:t>max</w:t>
      </w:r>
      <w:r w:rsidR="00177543">
        <w:rPr>
          <w:rFonts w:cstheme="minorHAnsi"/>
        </w:rPr>
        <w:t>imum</w:t>
      </w:r>
      <w:r w:rsidR="00177543" w:rsidRPr="0057523F">
        <w:rPr>
          <w:rFonts w:cstheme="minorHAnsi"/>
        </w:rPr>
        <w:t xml:space="preserve"> </w:t>
      </w:r>
      <w:r w:rsidR="00177543">
        <w:rPr>
          <w:rFonts w:cstheme="minorHAnsi"/>
        </w:rPr>
        <w:t>one</w:t>
      </w:r>
      <w:r w:rsidR="00177543" w:rsidRPr="0057523F">
        <w:rPr>
          <w:rFonts w:cstheme="minorHAnsi"/>
        </w:rPr>
        <w:t>-day average</w:t>
      </w:r>
      <w:r w:rsidR="00177543">
        <w:rPr>
          <w:rFonts w:cstheme="minorHAnsi"/>
        </w:rPr>
        <w:t xml:space="preserve">. </w:t>
      </w:r>
    </w:p>
    <w:p w:rsidR="00177543" w:rsidRDefault="00177543" w:rsidP="00177543">
      <w:pPr>
        <w:rPr>
          <w:rFonts w:cstheme="minorHAnsi"/>
        </w:rPr>
      </w:pPr>
    </w:p>
    <w:p w:rsidR="009129A1" w:rsidRDefault="009129A1" w:rsidP="004D65A8"/>
    <w:p w:rsidR="009006C9" w:rsidRDefault="009006C9" w:rsidP="004D65A8"/>
    <w:p w:rsidR="000F4F6A" w:rsidRDefault="000F4F6A"/>
    <w:p w:rsidR="000F4F6A" w:rsidRPr="00B56BFF" w:rsidRDefault="0046670D">
      <w:pPr>
        <w:pStyle w:val="Heading1"/>
        <w:rPr>
          <w:rFonts w:asciiTheme="minorHAnsi" w:hAnsiTheme="minorHAnsi"/>
        </w:rPr>
      </w:pPr>
      <w:bookmarkStart w:id="24" w:name="_Toc395516167"/>
      <w:r w:rsidRPr="00B56BFF">
        <w:rPr>
          <w:rFonts w:asciiTheme="minorHAnsi" w:hAnsiTheme="minorHAnsi"/>
        </w:rPr>
        <w:lastRenderedPageBreak/>
        <w:t>appendix a</w:t>
      </w:r>
      <w:r w:rsidR="00EA063C" w:rsidRPr="00B56BFF">
        <w:rPr>
          <w:rFonts w:asciiTheme="minorHAnsi" w:hAnsiTheme="minorHAnsi"/>
        </w:rPr>
        <w:t>: epa letter to oregon deq</w:t>
      </w:r>
      <w:bookmarkEnd w:id="24"/>
    </w:p>
    <w:p w:rsidR="000F4F6A" w:rsidRDefault="000F4F6A">
      <w:pPr>
        <w:pStyle w:val="Heading1"/>
      </w:pPr>
    </w:p>
    <w:p w:rsidR="000F4F6A" w:rsidRDefault="000F4F6A">
      <w:pPr>
        <w:pStyle w:val="Heading1"/>
      </w:pPr>
    </w:p>
    <w:p w:rsidR="000F4F6A" w:rsidRDefault="000F4F6A">
      <w:pPr>
        <w:pStyle w:val="Heading1"/>
      </w:pPr>
    </w:p>
    <w:p w:rsidR="000F4F6A" w:rsidRDefault="000F4F6A">
      <w:pPr>
        <w:pStyle w:val="Heading1"/>
      </w:pPr>
    </w:p>
    <w:p w:rsidR="000F4F6A" w:rsidRDefault="000F4F6A">
      <w:pPr>
        <w:pStyle w:val="Heading1"/>
      </w:pPr>
    </w:p>
    <w:p w:rsidR="000F4F6A" w:rsidRDefault="000F4F6A">
      <w:pPr>
        <w:pStyle w:val="Heading1"/>
      </w:pPr>
    </w:p>
    <w:p w:rsidR="000F4F6A" w:rsidRDefault="000F4F6A">
      <w:pPr>
        <w:pStyle w:val="Heading1"/>
      </w:pPr>
    </w:p>
    <w:p w:rsidR="000F4F6A" w:rsidRDefault="000F4F6A">
      <w:pPr>
        <w:pStyle w:val="Heading1"/>
      </w:pPr>
    </w:p>
    <w:p w:rsidR="000F4F6A" w:rsidRDefault="000F4F6A">
      <w:pPr>
        <w:pStyle w:val="Heading1"/>
      </w:pPr>
    </w:p>
    <w:p w:rsidR="000F4F6A" w:rsidRDefault="000F4F6A">
      <w:pPr>
        <w:pStyle w:val="Heading1"/>
      </w:pPr>
    </w:p>
    <w:p w:rsidR="00EA063C" w:rsidRDefault="00EA063C" w:rsidP="004D65A8">
      <w:pPr>
        <w:pStyle w:val="Heading1"/>
      </w:pPr>
    </w:p>
    <w:p w:rsidR="008E0D44" w:rsidRDefault="008E0D44" w:rsidP="004D65A8">
      <w:r w:rsidRPr="008E0D44">
        <w:rPr>
          <w:noProof/>
          <w:lang w:eastAsia="en-US"/>
        </w:rPr>
        <w:lastRenderedPageBreak/>
        <w:drawing>
          <wp:inline distT="0" distB="0" distL="0" distR="0">
            <wp:extent cx="5745193" cy="8353958"/>
            <wp:effectExtent l="19050" t="0" r="7907"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5748328" cy="8358517"/>
                    </a:xfrm>
                    <a:prstGeom prst="rect">
                      <a:avLst/>
                    </a:prstGeom>
                    <a:noFill/>
                    <a:ln w="9525">
                      <a:noFill/>
                      <a:miter lim="800000"/>
                      <a:headEnd/>
                      <a:tailEnd/>
                    </a:ln>
                  </pic:spPr>
                </pic:pic>
              </a:graphicData>
            </a:graphic>
          </wp:inline>
        </w:drawing>
      </w:r>
    </w:p>
    <w:p w:rsidR="008E0D44" w:rsidRDefault="008E0D44" w:rsidP="004D65A8"/>
    <w:p w:rsidR="008E0D44" w:rsidRDefault="008E0D44" w:rsidP="004D65A8"/>
    <w:p w:rsidR="008E0D44" w:rsidRPr="008D72EE" w:rsidRDefault="008E0D44" w:rsidP="004D65A8">
      <w:pPr>
        <w:sectPr w:rsidR="008E0D44" w:rsidRPr="008D72EE" w:rsidSect="006A288A">
          <w:footerReference w:type="default" r:id="rId27"/>
          <w:pgSz w:w="12240" w:h="15840"/>
          <w:pgMar w:top="1440" w:right="1080" w:bottom="1440" w:left="1620" w:header="720" w:footer="720" w:gutter="0"/>
          <w:cols w:space="720"/>
          <w:docGrid w:linePitch="360"/>
        </w:sectPr>
      </w:pPr>
      <w:r w:rsidRPr="008E0D44">
        <w:rPr>
          <w:noProof/>
          <w:lang w:eastAsia="en-US"/>
        </w:rPr>
        <w:drawing>
          <wp:inline distT="0" distB="0" distL="0" distR="0">
            <wp:extent cx="6400800" cy="6236203"/>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6400800" cy="6236203"/>
                    </a:xfrm>
                    <a:prstGeom prst="rect">
                      <a:avLst/>
                    </a:prstGeom>
                    <a:noFill/>
                    <a:ln w="9525">
                      <a:noFill/>
                      <a:miter lim="800000"/>
                      <a:headEnd/>
                      <a:tailEnd/>
                    </a:ln>
                  </pic:spPr>
                </pic:pic>
              </a:graphicData>
            </a:graphic>
          </wp:inline>
        </w:drawing>
      </w:r>
    </w:p>
    <w:p w:rsidR="00C10435" w:rsidRDefault="008E0D44" w:rsidP="004D65A8">
      <w:pPr>
        <w:sectPr w:rsidR="00C10435" w:rsidSect="009620EC">
          <w:pgSz w:w="12240" w:h="15840"/>
          <w:pgMar w:top="1440" w:right="1080" w:bottom="1440" w:left="1080" w:header="720" w:footer="720" w:gutter="0"/>
          <w:cols w:space="720"/>
          <w:docGrid w:linePitch="360"/>
        </w:sectPr>
      </w:pPr>
      <w:r w:rsidRPr="008E0D44">
        <w:rPr>
          <w:noProof/>
          <w:lang w:eastAsia="en-US"/>
        </w:rPr>
        <w:lastRenderedPageBreak/>
        <w:drawing>
          <wp:inline distT="0" distB="0" distL="0" distR="0">
            <wp:extent cx="6400800" cy="818147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6400800" cy="8181470"/>
                    </a:xfrm>
                    <a:prstGeom prst="rect">
                      <a:avLst/>
                    </a:prstGeom>
                    <a:noFill/>
                    <a:ln w="9525">
                      <a:noFill/>
                      <a:miter lim="800000"/>
                      <a:headEnd/>
                      <a:tailEnd/>
                    </a:ln>
                  </pic:spPr>
                </pic:pic>
              </a:graphicData>
            </a:graphic>
          </wp:inline>
        </w:drawing>
      </w:r>
    </w:p>
    <w:p w:rsidR="000F4F6A" w:rsidRPr="00B56BFF" w:rsidRDefault="0046670D">
      <w:pPr>
        <w:pStyle w:val="Heading1"/>
        <w:rPr>
          <w:rFonts w:asciiTheme="minorHAnsi" w:hAnsiTheme="minorHAnsi"/>
        </w:rPr>
      </w:pPr>
      <w:bookmarkStart w:id="25" w:name="_Toc395516168"/>
      <w:r w:rsidRPr="00B56BFF">
        <w:rPr>
          <w:rFonts w:asciiTheme="minorHAnsi" w:hAnsiTheme="minorHAnsi"/>
        </w:rPr>
        <w:lastRenderedPageBreak/>
        <w:t>a</w:t>
      </w:r>
      <w:r w:rsidR="00EA063C" w:rsidRPr="00B56BFF">
        <w:rPr>
          <w:rFonts w:asciiTheme="minorHAnsi" w:hAnsiTheme="minorHAnsi"/>
        </w:rPr>
        <w:t>p</w:t>
      </w:r>
      <w:r w:rsidRPr="00B56BFF">
        <w:rPr>
          <w:rFonts w:asciiTheme="minorHAnsi" w:hAnsiTheme="minorHAnsi"/>
        </w:rPr>
        <w:t>pendix b</w:t>
      </w:r>
      <w:r w:rsidR="00EA063C" w:rsidRPr="00B56BFF">
        <w:rPr>
          <w:rFonts w:asciiTheme="minorHAnsi" w:hAnsiTheme="minorHAnsi"/>
        </w:rPr>
        <w:t>: presence of mussels and snails in oregon</w:t>
      </w:r>
      <w:bookmarkEnd w:id="25"/>
    </w:p>
    <w:p w:rsidR="00EA063C" w:rsidRDefault="00EA063C" w:rsidP="004D65A8">
      <w:pPr>
        <w:pStyle w:val="Heading1"/>
      </w:pPr>
    </w:p>
    <w:p w:rsidR="000F4F6A" w:rsidRDefault="000F4F6A">
      <w:pPr>
        <w:pStyle w:val="Heading1"/>
      </w:pPr>
    </w:p>
    <w:p w:rsidR="00EA063C" w:rsidRDefault="00EA063C" w:rsidP="004D65A8">
      <w:pPr>
        <w:pStyle w:val="Heading1"/>
      </w:pPr>
    </w:p>
    <w:p w:rsidR="00EA063C" w:rsidRDefault="00EA063C" w:rsidP="004D65A8">
      <w:pPr>
        <w:pStyle w:val="Heading1"/>
      </w:pPr>
    </w:p>
    <w:p w:rsidR="00EA063C" w:rsidRDefault="00EA063C" w:rsidP="004D65A8">
      <w:pPr>
        <w:pStyle w:val="Heading1"/>
      </w:pPr>
    </w:p>
    <w:p w:rsidR="00A87FF2" w:rsidRDefault="00A87FF2" w:rsidP="004D65A8"/>
    <w:p w:rsidR="00A87FF2" w:rsidRDefault="00A87FF2" w:rsidP="004D65A8"/>
    <w:p w:rsidR="00A87FF2" w:rsidRDefault="00A87FF2" w:rsidP="004D65A8"/>
    <w:p w:rsidR="00A87FF2" w:rsidRDefault="00A87FF2" w:rsidP="004D65A8"/>
    <w:p w:rsidR="00A87FF2" w:rsidRDefault="00A87FF2" w:rsidP="004D65A8"/>
    <w:p w:rsidR="00A87FF2" w:rsidRDefault="00A87FF2" w:rsidP="004D65A8"/>
    <w:p w:rsidR="00A87FF2" w:rsidRDefault="00A87FF2" w:rsidP="004D65A8"/>
    <w:p w:rsidR="00A87FF2" w:rsidRDefault="00A87FF2" w:rsidP="004D65A8"/>
    <w:p w:rsidR="00A87FF2" w:rsidRDefault="00A87FF2" w:rsidP="004D65A8"/>
    <w:p w:rsidR="00A87FF2" w:rsidRDefault="00A87FF2" w:rsidP="004D65A8"/>
    <w:p w:rsidR="00A87FF2" w:rsidRDefault="00A87FF2" w:rsidP="004D65A8"/>
    <w:p w:rsidR="00A87FF2" w:rsidRDefault="00A87FF2" w:rsidP="004D65A8"/>
    <w:p w:rsidR="00A87FF2" w:rsidRDefault="00A87FF2" w:rsidP="004D65A8"/>
    <w:p w:rsidR="00A87FF2" w:rsidRDefault="00282A16" w:rsidP="004D65A8">
      <w:r>
        <w:rPr>
          <w:noProof/>
          <w:lang w:eastAsia="en-US"/>
        </w:rPr>
        <w:lastRenderedPageBreak/>
        <w:drawing>
          <wp:inline distT="0" distB="0" distL="0" distR="0">
            <wp:extent cx="8229600" cy="6359525"/>
            <wp:effectExtent l="19050" t="0" r="0" b="0"/>
            <wp:docPr id="1" name="Picture 0" descr="OregonMolluskPresenceCombined_18JUN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egonMolluskPresenceCombined_18JUN2014.jpg"/>
                    <pic:cNvPicPr/>
                  </pic:nvPicPr>
                  <pic:blipFill>
                    <a:blip r:embed="rId30"/>
                    <a:stretch>
                      <a:fillRect/>
                    </a:stretch>
                  </pic:blipFill>
                  <pic:spPr>
                    <a:xfrm>
                      <a:off x="0" y="0"/>
                      <a:ext cx="8229600" cy="6359525"/>
                    </a:xfrm>
                    <a:prstGeom prst="rect">
                      <a:avLst/>
                    </a:prstGeom>
                  </pic:spPr>
                </pic:pic>
              </a:graphicData>
            </a:graphic>
          </wp:inline>
        </w:drawing>
      </w:r>
    </w:p>
    <w:p w:rsidR="00282A16" w:rsidRPr="00A87FF2" w:rsidRDefault="00282A16" w:rsidP="004D65A8">
      <w:r>
        <w:rPr>
          <w:noProof/>
          <w:lang w:eastAsia="en-US"/>
        </w:rPr>
        <w:lastRenderedPageBreak/>
        <w:drawing>
          <wp:inline distT="0" distB="0" distL="0" distR="0">
            <wp:extent cx="8229600" cy="6359525"/>
            <wp:effectExtent l="19050" t="0" r="0" b="0"/>
            <wp:docPr id="4" name="Picture 3" descr="OregonMolluskPresence6Species_18JUN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egonMolluskPresence6Species_18JUN2014.jpg"/>
                    <pic:cNvPicPr/>
                  </pic:nvPicPr>
                  <pic:blipFill>
                    <a:blip r:embed="rId31"/>
                    <a:stretch>
                      <a:fillRect/>
                    </a:stretch>
                  </pic:blipFill>
                  <pic:spPr>
                    <a:xfrm>
                      <a:off x="0" y="0"/>
                      <a:ext cx="8229600" cy="6359525"/>
                    </a:xfrm>
                    <a:prstGeom prst="rect">
                      <a:avLst/>
                    </a:prstGeom>
                  </pic:spPr>
                </pic:pic>
              </a:graphicData>
            </a:graphic>
          </wp:inline>
        </w:drawing>
      </w:r>
    </w:p>
    <w:p w:rsidR="000F4F6A" w:rsidRDefault="004E5DE0">
      <w:pPr>
        <w:rPr>
          <w:rFonts w:asciiTheme="majorHAnsi" w:hAnsiTheme="majorHAnsi"/>
          <w:b/>
        </w:rPr>
      </w:pPr>
      <w:r w:rsidRPr="00B56BFF">
        <w:rPr>
          <w:b/>
          <w:noProof/>
          <w:sz w:val="28"/>
          <w:szCs w:val="28"/>
          <w:lang w:eastAsia="en-US"/>
        </w:rPr>
        <w:lastRenderedPageBreak/>
        <w:drawing>
          <wp:anchor distT="0" distB="0" distL="114300" distR="114300" simplePos="0" relativeHeight="251660288" behindDoc="0" locked="0" layoutInCell="1" allowOverlap="1">
            <wp:simplePos x="0" y="0"/>
            <wp:positionH relativeFrom="margin">
              <wp:posOffset>273050</wp:posOffset>
            </wp:positionH>
            <wp:positionV relativeFrom="margin">
              <wp:posOffset>-431800</wp:posOffset>
            </wp:positionV>
            <wp:extent cx="254000" cy="584200"/>
            <wp:effectExtent l="19050" t="0" r="0" b="0"/>
            <wp:wrapSquare wrapText="bothSides"/>
            <wp:docPr id="15" name="Picture 14" descr="DEQ logo colo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Q logo color.tiff"/>
                    <pic:cNvPicPr/>
                  </pic:nvPicPr>
                  <pic:blipFill>
                    <a:blip r:embed="rId32"/>
                    <a:stretch>
                      <a:fillRect/>
                    </a:stretch>
                  </pic:blipFill>
                  <pic:spPr>
                    <a:xfrm>
                      <a:off x="0" y="0"/>
                      <a:ext cx="254000" cy="584200"/>
                    </a:xfrm>
                    <a:prstGeom prst="rect">
                      <a:avLst/>
                    </a:prstGeom>
                  </pic:spPr>
                </pic:pic>
              </a:graphicData>
            </a:graphic>
          </wp:anchor>
        </w:drawing>
      </w:r>
      <w:r w:rsidR="00F713A0" w:rsidRPr="00B56BFF">
        <w:rPr>
          <w:b/>
          <w:sz w:val="28"/>
          <w:szCs w:val="28"/>
        </w:rPr>
        <w:t>Oregon Snail P</w:t>
      </w:r>
      <w:r w:rsidR="00A87FF2" w:rsidRPr="00B56BFF">
        <w:rPr>
          <w:b/>
          <w:sz w:val="28"/>
          <w:szCs w:val="28"/>
        </w:rPr>
        <w:t>resence</w:t>
      </w:r>
      <w:r w:rsidR="00A87FF2" w:rsidRPr="00BE4DAB">
        <w:rPr>
          <w:noProof/>
          <w:lang w:eastAsia="en-US"/>
        </w:rPr>
        <w:drawing>
          <wp:inline distT="0" distB="0" distL="0" distR="0">
            <wp:extent cx="7162800" cy="4533900"/>
            <wp:effectExtent l="19050" t="0" r="0" b="0"/>
            <wp:docPr id="14" name="Picture 1" descr="11_all snails.jpg"/>
            <wp:cNvGraphicFramePr/>
            <a:graphic xmlns:a="http://schemas.openxmlformats.org/drawingml/2006/main">
              <a:graphicData uri="http://schemas.openxmlformats.org/drawingml/2006/picture">
                <pic:pic xmlns:pic="http://schemas.openxmlformats.org/drawingml/2006/picture">
                  <pic:nvPicPr>
                    <pic:cNvPr id="4" name="Content Placeholder 3" descr="11_all snails.jpg"/>
                    <pic:cNvPicPr>
                      <a:picLocks noGrp="1" noChangeAspect="1"/>
                    </pic:cNvPicPr>
                  </pic:nvPicPr>
                  <pic:blipFill>
                    <a:blip r:embed="rId33" cstate="print"/>
                    <a:stretch>
                      <a:fillRect/>
                    </a:stretch>
                  </pic:blipFill>
                  <pic:spPr>
                    <a:xfrm>
                      <a:off x="0" y="0"/>
                      <a:ext cx="7162800" cy="4533900"/>
                    </a:xfrm>
                    <a:prstGeom prst="rect">
                      <a:avLst/>
                    </a:prstGeom>
                  </pic:spPr>
                </pic:pic>
              </a:graphicData>
            </a:graphic>
          </wp:inline>
        </w:drawing>
      </w:r>
      <w:r w:rsidRPr="00BE4DAB">
        <w:rPr>
          <w:noProof/>
          <w:lang w:eastAsia="en-US"/>
        </w:rPr>
        <w:drawing>
          <wp:inline distT="0" distB="0" distL="0" distR="0">
            <wp:extent cx="1962150" cy="895350"/>
            <wp:effectExtent l="0" t="0" r="0" b="0"/>
            <wp:docPr id="19"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44800" cy="1207532"/>
                      <a:chOff x="9347200" y="3581400"/>
                      <a:chExt cx="2844800" cy="1207532"/>
                    </a:xfrm>
                  </a:grpSpPr>
                  <a:grpSp>
                    <a:nvGrpSpPr>
                      <a:cNvPr id="5" name="Group 10"/>
                      <a:cNvGrpSpPr/>
                    </a:nvGrpSpPr>
                    <a:grpSpPr>
                      <a:xfrm>
                        <a:off x="9347200" y="3581400"/>
                        <a:ext cx="2844800" cy="1207532"/>
                        <a:chOff x="7010400" y="1600200"/>
                        <a:chExt cx="2133600" cy="1207532"/>
                      </a:xfrm>
                    </a:grpSpPr>
                    <a:sp>
                      <a:nvSpPr>
                        <a:cNvPr id="12" name="Regular Pentagon 11"/>
                        <a:cNvSpPr/>
                      </a:nvSpPr>
                      <a:spPr>
                        <a:xfrm>
                          <a:off x="7086600" y="2133600"/>
                          <a:ext cx="152400" cy="228600"/>
                        </a:xfrm>
                        <a:prstGeom prst="pentagon">
                          <a:avLst/>
                        </a:prstGeom>
                        <a:solidFill>
                          <a:srgbClr val="008000"/>
                        </a:solidFill>
                        <a:ln>
                          <a:solidFill>
                            <a:srgbClr val="008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Oval 12"/>
                        <a:cNvSpPr/>
                      </a:nvSpPr>
                      <a:spPr>
                        <a:xfrm>
                          <a:off x="7086600" y="2514600"/>
                          <a:ext cx="152400" cy="228600"/>
                        </a:xfrm>
                        <a:prstGeom prst="ellipse">
                          <a:avLst/>
                        </a:prstGeom>
                        <a:solidFill>
                          <a:srgbClr val="008000"/>
                        </a:solidFill>
                        <a:ln>
                          <a:solidFill>
                            <a:srgbClr val="008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TextBox 13"/>
                        <a:cNvSpPr txBox="1"/>
                      </a:nvSpPr>
                      <a:spPr>
                        <a:xfrm>
                          <a:off x="7239000" y="2057400"/>
                          <a:ext cx="19050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DEQ database</a:t>
                            </a:r>
                            <a:endParaRPr lang="en-US" dirty="0"/>
                          </a:p>
                        </a:txBody>
                        <a:useSpRect/>
                      </a:txSp>
                    </a:sp>
                    <a:sp>
                      <a:nvSpPr>
                        <a:cNvPr id="15" name="TextBox 14"/>
                        <a:cNvSpPr txBox="1"/>
                      </a:nvSpPr>
                      <a:spPr>
                        <a:xfrm>
                          <a:off x="7239000" y="2438400"/>
                          <a:ext cx="19050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WMC database</a:t>
                            </a:r>
                            <a:endParaRPr lang="en-US" dirty="0"/>
                          </a:p>
                        </a:txBody>
                        <a:useSpRect/>
                      </a:txSp>
                    </a:sp>
                    <a:sp>
                      <a:nvSpPr>
                        <a:cNvPr id="16" name="TextBox 15"/>
                        <a:cNvSpPr txBox="1"/>
                      </a:nvSpPr>
                      <a:spPr>
                        <a:xfrm>
                          <a:off x="7010400" y="1600200"/>
                          <a:ext cx="19050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err="1" smtClean="0"/>
                              <a:t>Pulmonate</a:t>
                            </a:r>
                            <a:r>
                              <a:rPr lang="en-US" dirty="0" smtClean="0"/>
                              <a:t> snails</a:t>
                            </a:r>
                            <a:endParaRPr lang="en-US" dirty="0"/>
                          </a:p>
                        </a:txBody>
                        <a:useSpRect/>
                      </a:txSp>
                    </a:sp>
                  </a:grpSp>
                </lc:lockedCanvas>
              </a:graphicData>
            </a:graphic>
          </wp:inline>
        </w:drawing>
      </w:r>
      <w:r w:rsidRPr="00BE4DAB">
        <w:rPr>
          <w:noProof/>
          <w:lang w:eastAsia="en-US"/>
        </w:rPr>
        <w:drawing>
          <wp:inline distT="0" distB="0" distL="0" distR="0">
            <wp:extent cx="2019300" cy="908050"/>
            <wp:effectExtent l="0" t="0" r="0" b="0"/>
            <wp:docPr id="21"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44800" cy="1436132"/>
                      <a:chOff x="9347200" y="1371600"/>
                      <a:chExt cx="2844800" cy="1436132"/>
                    </a:xfrm>
                  </a:grpSpPr>
                  <a:grpSp>
                    <a:nvGrpSpPr>
                      <a:cNvPr id="3" name="Group 4"/>
                      <a:cNvGrpSpPr/>
                    </a:nvGrpSpPr>
                    <a:grpSpPr>
                      <a:xfrm>
                        <a:off x="9347200" y="1371600"/>
                        <a:ext cx="2844800" cy="1436132"/>
                        <a:chOff x="7010400" y="1371600"/>
                        <a:chExt cx="2133600" cy="1436132"/>
                      </a:xfrm>
                    </a:grpSpPr>
                    <a:sp>
                      <a:nvSpPr>
                        <a:cNvPr id="6" name="Regular Pentagon 5"/>
                        <a:cNvSpPr/>
                      </a:nvSpPr>
                      <a:spPr>
                        <a:xfrm>
                          <a:off x="7086600" y="2133600"/>
                          <a:ext cx="152400" cy="228600"/>
                        </a:xfrm>
                        <a:prstGeom prst="pentagon">
                          <a:avLst/>
                        </a:prstGeom>
                        <a:solidFill>
                          <a:srgbClr val="FFC000"/>
                        </a:solidFill>
                        <a:ln>
                          <a:solidFill>
                            <a:srgbClr val="FFC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Oval 6"/>
                        <a:cNvSpPr/>
                      </a:nvSpPr>
                      <a:spPr>
                        <a:xfrm>
                          <a:off x="7086600" y="2514600"/>
                          <a:ext cx="152400" cy="228600"/>
                        </a:xfrm>
                        <a:prstGeom prst="ellipse">
                          <a:avLst/>
                        </a:prstGeom>
                        <a:solidFill>
                          <a:srgbClr val="FF0000"/>
                        </a:solid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TextBox 7"/>
                        <a:cNvSpPr txBox="1"/>
                      </a:nvSpPr>
                      <a:spPr>
                        <a:xfrm>
                          <a:off x="7239000" y="2057400"/>
                          <a:ext cx="19050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DEQ database</a:t>
                            </a:r>
                            <a:endParaRPr lang="en-US" dirty="0"/>
                          </a:p>
                        </a:txBody>
                        <a:useSpRect/>
                      </a:txSp>
                    </a:sp>
                    <a:sp>
                      <a:nvSpPr>
                        <a:cNvPr id="9" name="TextBox 8"/>
                        <a:cNvSpPr txBox="1"/>
                      </a:nvSpPr>
                      <a:spPr>
                        <a:xfrm>
                          <a:off x="7239000" y="2438400"/>
                          <a:ext cx="19050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WMC database</a:t>
                            </a:r>
                            <a:endParaRPr lang="en-US" dirty="0"/>
                          </a:p>
                        </a:txBody>
                        <a:useSpRect/>
                      </a:txSp>
                    </a:sp>
                    <a:sp>
                      <a:nvSpPr>
                        <a:cNvPr id="10" name="TextBox 9"/>
                        <a:cNvSpPr txBox="1"/>
                      </a:nvSpPr>
                      <a:spPr>
                        <a:xfrm>
                          <a:off x="7010400" y="1371600"/>
                          <a:ext cx="19050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Non-</a:t>
                            </a:r>
                            <a:r>
                              <a:rPr lang="en-US" dirty="0" err="1" smtClean="0"/>
                              <a:t>pulmonate</a:t>
                            </a:r>
                            <a:r>
                              <a:rPr lang="en-US" dirty="0" smtClean="0"/>
                              <a:t> (gilled) snails</a:t>
                            </a:r>
                            <a:endParaRPr lang="en-US" dirty="0"/>
                          </a:p>
                        </a:txBody>
                        <a:useSpRect/>
                      </a:txSp>
                    </a:sp>
                  </a:grpSp>
                </lc:lockedCanvas>
              </a:graphicData>
            </a:graphic>
          </wp:inline>
        </w:drawing>
      </w:r>
      <w:bookmarkStart w:id="26" w:name="_Toc394307835"/>
      <w:bookmarkEnd w:id="26"/>
      <w:r w:rsidR="0024562E" w:rsidRPr="00822E83">
        <w:pict>
          <v:shapetype id="_x0000_t202" coordsize="21600,21600" o:spt="202" path="m,l,21600r21600,l21600,xe">
            <v:stroke joinstyle="miter"/>
            <v:path gradientshapeok="t" o:connecttype="rect"/>
          </v:shapetype>
          <v:shape id="_x0000_s1026" type="#_x0000_t202" style="width:186.35pt;height:110.6pt;mso-width-percent:400;mso-height-percent:200;mso-left-percent:-10001;mso-top-percent:-10001;mso-position-horizontal:absolute;mso-position-horizontal-relative:char;mso-position-vertical:absolute;mso-position-vertical-relative:line;mso-width-percent:400;mso-height-percent:200;mso-left-percent:-10001;mso-top-percent:-10001;mso-width-relative:margin;mso-height-relative:margin" stroked="f">
            <v:textbox style="mso-next-textbox:#_x0000_s1026;mso-fit-shape-to-text:t">
              <w:txbxContent>
                <w:p w:rsidR="00330D9E" w:rsidRPr="00F713A0" w:rsidRDefault="00330D9E" w:rsidP="004D65A8">
                  <w:r w:rsidRPr="00F713A0">
                    <w:t>WMC = Western Monitoring Center</w:t>
                  </w:r>
                </w:p>
              </w:txbxContent>
            </v:textbox>
            <w10:wrap type="none"/>
            <w10:anchorlock/>
          </v:shape>
        </w:pict>
      </w:r>
      <w:r>
        <w:br w:type="page"/>
      </w:r>
    </w:p>
    <w:p w:rsidR="000B03FC" w:rsidRDefault="00BE4DAB" w:rsidP="000B03FC">
      <w:pPr>
        <w:pStyle w:val="Heading1"/>
        <w:spacing w:before="0" w:line="240" w:lineRule="auto"/>
        <w:rPr>
          <w:rFonts w:asciiTheme="minorHAnsi" w:hAnsiTheme="minorHAnsi"/>
        </w:rPr>
      </w:pPr>
      <w:bookmarkStart w:id="27" w:name="_Toc395516169"/>
      <w:r w:rsidRPr="00B56BFF">
        <w:rPr>
          <w:rFonts w:asciiTheme="minorHAnsi" w:hAnsiTheme="minorHAnsi"/>
        </w:rPr>
        <w:lastRenderedPageBreak/>
        <w:t>appendix c</w:t>
      </w:r>
      <w:r w:rsidR="00290DBB" w:rsidRPr="00B56BFF">
        <w:rPr>
          <w:rFonts w:asciiTheme="minorHAnsi" w:hAnsiTheme="minorHAnsi"/>
        </w:rPr>
        <w:t xml:space="preserve">: </w:t>
      </w:r>
      <w:r w:rsidR="00B56BFF" w:rsidRPr="00B56BFF">
        <w:rPr>
          <w:rFonts w:asciiTheme="minorHAnsi" w:hAnsiTheme="minorHAnsi"/>
        </w:rPr>
        <w:t>c</w:t>
      </w:r>
      <w:r w:rsidR="00290DBB" w:rsidRPr="00B56BFF">
        <w:rPr>
          <w:rFonts w:asciiTheme="minorHAnsi" w:hAnsiTheme="minorHAnsi"/>
        </w:rPr>
        <w:t>omparison of species used to calculate the acute and chronic criteria</w:t>
      </w:r>
      <w:r w:rsidR="00B56BFF" w:rsidRPr="00B56BFF">
        <w:rPr>
          <w:rFonts w:asciiTheme="minorHAnsi" w:hAnsiTheme="minorHAnsi"/>
        </w:rPr>
        <w:t xml:space="preserve"> from epa </w:t>
      </w:r>
      <w:r w:rsidR="00B56BFF" w:rsidRPr="00B56BFF">
        <w:rPr>
          <w:rFonts w:asciiTheme="minorHAnsi" w:hAnsiTheme="minorHAnsi"/>
          <w:sz w:val="32"/>
        </w:rPr>
        <w:t>2013</w:t>
      </w:r>
      <w:r w:rsidR="00864DAE" w:rsidRPr="00B56BFF">
        <w:rPr>
          <w:rFonts w:asciiTheme="minorHAnsi" w:hAnsiTheme="minorHAnsi"/>
        </w:rPr>
        <w:t xml:space="preserve"> criteria document</w:t>
      </w:r>
      <w:bookmarkEnd w:id="27"/>
    </w:p>
    <w:tbl>
      <w:tblPr>
        <w:tblStyle w:val="TableGrid"/>
        <w:tblW w:w="13677" w:type="dxa"/>
        <w:jc w:val="center"/>
        <w:tblInd w:w="-931" w:type="dxa"/>
        <w:tblLayout w:type="fixed"/>
        <w:tblCellMar>
          <w:left w:w="72" w:type="dxa"/>
          <w:right w:w="72" w:type="dxa"/>
        </w:tblCellMar>
        <w:tblLook w:val="04A0"/>
      </w:tblPr>
      <w:tblGrid>
        <w:gridCol w:w="2713"/>
        <w:gridCol w:w="1080"/>
        <w:gridCol w:w="1058"/>
        <w:gridCol w:w="2348"/>
        <w:gridCol w:w="1252"/>
        <w:gridCol w:w="1260"/>
        <w:gridCol w:w="2520"/>
        <w:gridCol w:w="1446"/>
      </w:tblGrid>
      <w:tr w:rsidR="006A37B4" w:rsidRPr="006A37B4" w:rsidTr="006A37B4">
        <w:trPr>
          <w:trHeight w:val="503"/>
          <w:jc w:val="center"/>
        </w:trPr>
        <w:tc>
          <w:tcPr>
            <w:tcW w:w="13677" w:type="dxa"/>
            <w:gridSpan w:val="8"/>
            <w:tcBorders>
              <w:top w:val="double" w:sz="4" w:space="0" w:color="auto"/>
              <w:left w:val="double" w:sz="4" w:space="0" w:color="auto"/>
              <w:right w:val="double" w:sz="4" w:space="0" w:color="auto"/>
            </w:tcBorders>
            <w:shd w:val="clear" w:color="auto" w:fill="008272"/>
            <w:vAlign w:val="center"/>
          </w:tcPr>
          <w:p w:rsidR="006A37B4" w:rsidRPr="00926E85" w:rsidRDefault="006A37B4" w:rsidP="006A37B4">
            <w:pPr>
              <w:pStyle w:val="TABLE"/>
              <w:spacing w:line="240" w:lineRule="auto"/>
              <w:jc w:val="center"/>
              <w:rPr>
                <w:rFonts w:ascii="Arial" w:hAnsi="Arial" w:cs="Arial"/>
                <w:color w:val="FFFFFF" w:themeColor="background1"/>
                <w:sz w:val="28"/>
                <w:szCs w:val="28"/>
              </w:rPr>
            </w:pPr>
            <w:r w:rsidRPr="00926E85">
              <w:rPr>
                <w:rFonts w:ascii="Arial" w:hAnsi="Arial" w:cs="Arial"/>
                <w:color w:val="FFFFFF" w:themeColor="background1"/>
                <w:sz w:val="28"/>
                <w:szCs w:val="28"/>
              </w:rPr>
              <w:t xml:space="preserve">Table 1  </w:t>
            </w:r>
          </w:p>
          <w:p w:rsidR="006A37B4" w:rsidRDefault="006A37B4" w:rsidP="006A37B4">
            <w:pPr>
              <w:pStyle w:val="TABLE"/>
              <w:spacing w:line="240" w:lineRule="auto"/>
              <w:jc w:val="center"/>
              <w:rPr>
                <w:rFonts w:ascii="Arial" w:hAnsi="Arial" w:cs="Arial"/>
                <w:color w:val="FFFFFF" w:themeColor="background1"/>
                <w:sz w:val="22"/>
              </w:rPr>
            </w:pPr>
            <w:r w:rsidRPr="006A37B4">
              <w:rPr>
                <w:rFonts w:ascii="Arial" w:hAnsi="Arial" w:cs="Arial"/>
                <w:color w:val="FFFFFF" w:themeColor="background1"/>
                <w:sz w:val="22"/>
              </w:rPr>
              <w:t xml:space="preserve">Comparison of the four taxa used to calculate the final acute value (FAV) and CMC </w:t>
            </w:r>
          </w:p>
          <w:p w:rsidR="006A37B4" w:rsidRPr="006A37B4" w:rsidRDefault="006A37B4" w:rsidP="006A37B4">
            <w:pPr>
              <w:pStyle w:val="TABLE"/>
              <w:spacing w:line="240" w:lineRule="auto"/>
              <w:jc w:val="center"/>
              <w:rPr>
                <w:rFonts w:ascii="Arial" w:hAnsi="Arial" w:cs="Arial"/>
                <w:color w:val="FFFFFF" w:themeColor="background1"/>
                <w:sz w:val="22"/>
              </w:rPr>
            </w:pPr>
            <w:r w:rsidRPr="006A37B4">
              <w:rPr>
                <w:rFonts w:ascii="Arial" w:hAnsi="Arial" w:cs="Arial"/>
                <w:color w:val="FFFFFF" w:themeColor="background1"/>
                <w:sz w:val="22"/>
              </w:rPr>
              <w:t>in the 1999, 2009 Draft and 2013 EPA criteria</w:t>
            </w:r>
          </w:p>
          <w:p w:rsidR="006A37B4" w:rsidRPr="006A37B4" w:rsidRDefault="006A37B4" w:rsidP="00F35913">
            <w:pPr>
              <w:jc w:val="center"/>
              <w:rPr>
                <w:rFonts w:ascii="Arial" w:hAnsi="Arial" w:cs="Arial"/>
                <w:color w:val="FFFFFF" w:themeColor="background1"/>
              </w:rPr>
            </w:pPr>
          </w:p>
        </w:tc>
      </w:tr>
      <w:tr w:rsidR="001073A4" w:rsidRPr="006A37B4" w:rsidTr="006A37B4">
        <w:trPr>
          <w:trHeight w:val="359"/>
          <w:jc w:val="center"/>
        </w:trPr>
        <w:tc>
          <w:tcPr>
            <w:tcW w:w="4851" w:type="dxa"/>
            <w:gridSpan w:val="3"/>
            <w:tcBorders>
              <w:left w:val="double" w:sz="4" w:space="0" w:color="auto"/>
              <w:right w:val="single" w:sz="24" w:space="0" w:color="auto"/>
            </w:tcBorders>
            <w:shd w:val="clear" w:color="auto" w:fill="B1DDCD"/>
            <w:vAlign w:val="center"/>
          </w:tcPr>
          <w:p w:rsidR="000F4F6A" w:rsidRPr="006A37B4" w:rsidRDefault="000B03FC" w:rsidP="00F35913">
            <w:pPr>
              <w:spacing w:line="276" w:lineRule="auto"/>
              <w:jc w:val="center"/>
              <w:rPr>
                <w:rFonts w:ascii="Arial" w:hAnsi="Arial" w:cs="Arial"/>
              </w:rPr>
            </w:pPr>
            <w:r w:rsidRPr="000B03FC">
              <w:rPr>
                <w:rFonts w:ascii="Arial" w:hAnsi="Arial" w:cs="Arial"/>
              </w:rPr>
              <w:t>1999 Update CMC Magnitude</w:t>
            </w:r>
          </w:p>
        </w:tc>
        <w:tc>
          <w:tcPr>
            <w:tcW w:w="4860" w:type="dxa"/>
            <w:gridSpan w:val="3"/>
            <w:tcBorders>
              <w:left w:val="single" w:sz="24" w:space="0" w:color="auto"/>
              <w:right w:val="single" w:sz="24" w:space="0" w:color="auto"/>
            </w:tcBorders>
            <w:shd w:val="clear" w:color="auto" w:fill="B1DDCD"/>
            <w:vAlign w:val="center"/>
          </w:tcPr>
          <w:p w:rsidR="000F4F6A" w:rsidRPr="006A37B4" w:rsidRDefault="000B03FC" w:rsidP="00F35913">
            <w:pPr>
              <w:spacing w:line="276" w:lineRule="auto"/>
              <w:jc w:val="center"/>
              <w:rPr>
                <w:rFonts w:ascii="Arial" w:hAnsi="Arial" w:cs="Arial"/>
              </w:rPr>
            </w:pPr>
            <w:r w:rsidRPr="000B03FC">
              <w:rPr>
                <w:rFonts w:ascii="Arial" w:hAnsi="Arial" w:cs="Arial"/>
              </w:rPr>
              <w:t>2009 Draft Update CMC Magnitude</w:t>
            </w:r>
          </w:p>
        </w:tc>
        <w:tc>
          <w:tcPr>
            <w:tcW w:w="3966" w:type="dxa"/>
            <w:gridSpan w:val="2"/>
            <w:tcBorders>
              <w:left w:val="single" w:sz="24" w:space="0" w:color="auto"/>
              <w:right w:val="double" w:sz="4" w:space="0" w:color="auto"/>
            </w:tcBorders>
            <w:shd w:val="clear" w:color="auto" w:fill="B1DDCD"/>
            <w:vAlign w:val="center"/>
          </w:tcPr>
          <w:p w:rsidR="000F4F6A" w:rsidRPr="006A37B4" w:rsidRDefault="000B03FC" w:rsidP="00F35913">
            <w:pPr>
              <w:spacing w:line="276" w:lineRule="auto"/>
              <w:jc w:val="center"/>
              <w:rPr>
                <w:rFonts w:ascii="Arial" w:hAnsi="Arial" w:cs="Arial"/>
              </w:rPr>
            </w:pPr>
            <w:r w:rsidRPr="000B03FC">
              <w:rPr>
                <w:rFonts w:ascii="Arial" w:hAnsi="Arial" w:cs="Arial"/>
              </w:rPr>
              <w:t>2013 Final CMC Magnitude</w:t>
            </w:r>
          </w:p>
        </w:tc>
      </w:tr>
      <w:tr w:rsidR="001073A4" w:rsidRPr="00386D6C" w:rsidTr="006A37B4">
        <w:trPr>
          <w:trHeight w:val="377"/>
          <w:jc w:val="center"/>
        </w:trPr>
        <w:tc>
          <w:tcPr>
            <w:tcW w:w="2713" w:type="dxa"/>
            <w:tcBorders>
              <w:left w:val="double" w:sz="4" w:space="0" w:color="auto"/>
            </w:tcBorders>
            <w:shd w:val="clear" w:color="auto" w:fill="DFF1EB"/>
            <w:vAlign w:val="bottom"/>
          </w:tcPr>
          <w:p w:rsidR="000F4F6A" w:rsidRPr="006A37B4" w:rsidRDefault="000F4F6A" w:rsidP="00F35913">
            <w:pPr>
              <w:spacing w:line="276" w:lineRule="auto"/>
              <w:jc w:val="center"/>
              <w:rPr>
                <w:rFonts w:ascii="Arial" w:hAnsi="Arial" w:cs="Arial"/>
                <w:sz w:val="20"/>
                <w:szCs w:val="20"/>
              </w:rPr>
            </w:pPr>
          </w:p>
          <w:p w:rsidR="000F4F6A" w:rsidRPr="006A37B4" w:rsidRDefault="000B03FC" w:rsidP="00F35913">
            <w:pPr>
              <w:spacing w:line="276" w:lineRule="auto"/>
              <w:jc w:val="center"/>
              <w:rPr>
                <w:rFonts w:ascii="Arial" w:hAnsi="Arial" w:cs="Arial"/>
                <w:sz w:val="20"/>
                <w:szCs w:val="20"/>
              </w:rPr>
            </w:pPr>
            <w:r w:rsidRPr="000B03FC">
              <w:rPr>
                <w:rFonts w:ascii="Arial" w:hAnsi="Arial" w:cs="Arial"/>
                <w:sz w:val="20"/>
                <w:szCs w:val="20"/>
              </w:rPr>
              <w:t>Species</w:t>
            </w:r>
          </w:p>
        </w:tc>
        <w:tc>
          <w:tcPr>
            <w:tcW w:w="1080" w:type="dxa"/>
            <w:shd w:val="clear" w:color="auto" w:fill="DFF1EB"/>
            <w:vAlign w:val="bottom"/>
          </w:tcPr>
          <w:p w:rsidR="000F4F6A" w:rsidRPr="006A37B4" w:rsidRDefault="000B03FC" w:rsidP="00F35913">
            <w:pPr>
              <w:spacing w:line="276" w:lineRule="auto"/>
              <w:jc w:val="center"/>
              <w:rPr>
                <w:rFonts w:ascii="Arial" w:hAnsi="Arial" w:cs="Arial"/>
                <w:sz w:val="20"/>
                <w:szCs w:val="20"/>
              </w:rPr>
            </w:pPr>
            <w:r w:rsidRPr="000B03FC">
              <w:rPr>
                <w:rFonts w:ascii="Arial" w:hAnsi="Arial" w:cs="Arial"/>
                <w:sz w:val="20"/>
                <w:szCs w:val="20"/>
              </w:rPr>
              <w:t>pH 8.0,</w:t>
            </w:r>
          </w:p>
          <w:p w:rsidR="000F4F6A" w:rsidRPr="006A37B4" w:rsidRDefault="000B03FC" w:rsidP="00F35913">
            <w:pPr>
              <w:spacing w:line="276" w:lineRule="auto"/>
              <w:jc w:val="center"/>
              <w:rPr>
                <w:rFonts w:ascii="Arial" w:hAnsi="Arial" w:cs="Arial"/>
                <w:sz w:val="20"/>
                <w:szCs w:val="20"/>
              </w:rPr>
            </w:pPr>
            <w:r w:rsidRPr="000B03FC">
              <w:rPr>
                <w:rFonts w:ascii="Arial" w:hAnsi="Arial" w:cs="Arial"/>
                <w:sz w:val="20"/>
                <w:szCs w:val="20"/>
              </w:rPr>
              <w:t>T=25</w:t>
            </w:r>
            <w:r w:rsidRPr="000B03FC">
              <w:rPr>
                <w:rFonts w:ascii="Arial" w:hAnsi="Arial" w:cs="Arial"/>
                <w:sz w:val="20"/>
                <w:szCs w:val="20"/>
                <w:vertAlign w:val="superscript"/>
              </w:rPr>
              <w:t>o</w:t>
            </w:r>
            <w:r w:rsidRPr="000B03FC">
              <w:rPr>
                <w:rFonts w:ascii="Arial" w:hAnsi="Arial" w:cs="Arial"/>
                <w:sz w:val="20"/>
                <w:szCs w:val="20"/>
              </w:rPr>
              <w:t>C</w:t>
            </w:r>
          </w:p>
          <w:p w:rsidR="000F4F6A" w:rsidRPr="006A37B4" w:rsidRDefault="000B03FC" w:rsidP="00F35913">
            <w:pPr>
              <w:spacing w:line="276" w:lineRule="auto"/>
              <w:jc w:val="center"/>
              <w:rPr>
                <w:rFonts w:ascii="Arial" w:hAnsi="Arial" w:cs="Arial"/>
                <w:sz w:val="20"/>
                <w:szCs w:val="20"/>
              </w:rPr>
            </w:pPr>
            <w:r w:rsidRPr="000B03FC">
              <w:rPr>
                <w:rFonts w:ascii="Arial" w:hAnsi="Arial" w:cs="Arial"/>
                <w:sz w:val="20"/>
                <w:szCs w:val="20"/>
              </w:rPr>
              <w:t>(mgN/L)</w:t>
            </w:r>
          </w:p>
        </w:tc>
        <w:tc>
          <w:tcPr>
            <w:tcW w:w="1058" w:type="dxa"/>
            <w:tcBorders>
              <w:right w:val="single" w:sz="24" w:space="0" w:color="auto"/>
            </w:tcBorders>
            <w:shd w:val="clear" w:color="auto" w:fill="DFF1EB"/>
            <w:vAlign w:val="bottom"/>
          </w:tcPr>
          <w:p w:rsidR="000F4F6A" w:rsidRPr="006A37B4" w:rsidRDefault="000B03FC" w:rsidP="00F35913">
            <w:pPr>
              <w:spacing w:line="276" w:lineRule="auto"/>
              <w:jc w:val="center"/>
              <w:rPr>
                <w:rFonts w:ascii="Arial" w:hAnsi="Arial" w:cs="Arial"/>
                <w:sz w:val="20"/>
                <w:szCs w:val="20"/>
              </w:rPr>
            </w:pPr>
            <w:r w:rsidRPr="000B03FC">
              <w:rPr>
                <w:rFonts w:ascii="Arial" w:hAnsi="Arial" w:cs="Arial"/>
                <w:sz w:val="20"/>
                <w:szCs w:val="20"/>
              </w:rPr>
              <w:t>pH 7.0,</w:t>
            </w:r>
          </w:p>
          <w:p w:rsidR="000F4F6A" w:rsidRPr="006A37B4" w:rsidRDefault="000B03FC" w:rsidP="00F35913">
            <w:pPr>
              <w:spacing w:line="276" w:lineRule="auto"/>
              <w:jc w:val="center"/>
              <w:rPr>
                <w:rFonts w:ascii="Arial" w:hAnsi="Arial" w:cs="Arial"/>
                <w:sz w:val="20"/>
                <w:szCs w:val="20"/>
              </w:rPr>
            </w:pPr>
            <w:r w:rsidRPr="000B03FC">
              <w:rPr>
                <w:rFonts w:ascii="Arial" w:hAnsi="Arial" w:cs="Arial"/>
                <w:sz w:val="20"/>
                <w:szCs w:val="20"/>
              </w:rPr>
              <w:t>T=20</w:t>
            </w:r>
            <w:r w:rsidRPr="000B03FC">
              <w:rPr>
                <w:rFonts w:ascii="Arial" w:hAnsi="Arial" w:cs="Arial"/>
                <w:sz w:val="20"/>
                <w:szCs w:val="20"/>
                <w:vertAlign w:val="superscript"/>
              </w:rPr>
              <w:t>o</w:t>
            </w:r>
            <w:r w:rsidRPr="000B03FC">
              <w:rPr>
                <w:rFonts w:ascii="Arial" w:hAnsi="Arial" w:cs="Arial"/>
                <w:sz w:val="20"/>
                <w:szCs w:val="20"/>
              </w:rPr>
              <w:t>C (mgN/L)</w:t>
            </w:r>
          </w:p>
        </w:tc>
        <w:tc>
          <w:tcPr>
            <w:tcW w:w="2348" w:type="dxa"/>
            <w:tcBorders>
              <w:left w:val="single" w:sz="24" w:space="0" w:color="auto"/>
            </w:tcBorders>
            <w:shd w:val="clear" w:color="auto" w:fill="DFF1EB"/>
            <w:vAlign w:val="bottom"/>
          </w:tcPr>
          <w:p w:rsidR="000F4F6A" w:rsidRPr="006A37B4" w:rsidRDefault="000F4F6A" w:rsidP="00F35913">
            <w:pPr>
              <w:spacing w:line="276" w:lineRule="auto"/>
              <w:jc w:val="center"/>
              <w:rPr>
                <w:rFonts w:ascii="Arial" w:hAnsi="Arial" w:cs="Arial"/>
                <w:sz w:val="20"/>
                <w:szCs w:val="20"/>
              </w:rPr>
            </w:pPr>
          </w:p>
          <w:p w:rsidR="000F4F6A" w:rsidRPr="006A37B4" w:rsidRDefault="000B03FC" w:rsidP="00F35913">
            <w:pPr>
              <w:spacing w:line="276" w:lineRule="auto"/>
              <w:jc w:val="center"/>
              <w:rPr>
                <w:rFonts w:ascii="Arial" w:hAnsi="Arial" w:cs="Arial"/>
                <w:sz w:val="20"/>
                <w:szCs w:val="20"/>
              </w:rPr>
            </w:pPr>
            <w:r w:rsidRPr="000B03FC">
              <w:rPr>
                <w:rFonts w:ascii="Arial" w:hAnsi="Arial" w:cs="Arial"/>
                <w:sz w:val="20"/>
                <w:szCs w:val="20"/>
              </w:rPr>
              <w:t>Species</w:t>
            </w:r>
          </w:p>
        </w:tc>
        <w:tc>
          <w:tcPr>
            <w:tcW w:w="1252" w:type="dxa"/>
            <w:shd w:val="clear" w:color="auto" w:fill="DFF1EB"/>
            <w:vAlign w:val="center"/>
          </w:tcPr>
          <w:p w:rsidR="000F4F6A" w:rsidRPr="006A37B4" w:rsidRDefault="000B03FC" w:rsidP="00F35913">
            <w:pPr>
              <w:spacing w:line="276" w:lineRule="auto"/>
              <w:jc w:val="center"/>
              <w:rPr>
                <w:rFonts w:ascii="Arial" w:hAnsi="Arial" w:cs="Arial"/>
                <w:sz w:val="20"/>
                <w:szCs w:val="20"/>
                <w:lang w:val="fr-FR"/>
              </w:rPr>
            </w:pPr>
            <w:r w:rsidRPr="000B03FC">
              <w:rPr>
                <w:rFonts w:ascii="Arial" w:hAnsi="Arial" w:cs="Arial"/>
                <w:sz w:val="20"/>
                <w:szCs w:val="20"/>
                <w:lang w:val="fr-FR"/>
              </w:rPr>
              <w:t>pH 8.0,</w:t>
            </w:r>
          </w:p>
          <w:p w:rsidR="000F4F6A" w:rsidRPr="006A37B4" w:rsidRDefault="000B03FC" w:rsidP="00F35913">
            <w:pPr>
              <w:spacing w:line="276" w:lineRule="auto"/>
              <w:jc w:val="center"/>
              <w:rPr>
                <w:rFonts w:ascii="Arial" w:hAnsi="Arial" w:cs="Arial"/>
                <w:sz w:val="20"/>
                <w:szCs w:val="20"/>
                <w:lang w:val="fr-FR"/>
              </w:rPr>
            </w:pPr>
            <w:r w:rsidRPr="000B03FC">
              <w:rPr>
                <w:rFonts w:ascii="Arial" w:hAnsi="Arial" w:cs="Arial"/>
                <w:sz w:val="20"/>
                <w:szCs w:val="20"/>
                <w:lang w:val="fr-FR"/>
              </w:rPr>
              <w:t>T=25</w:t>
            </w:r>
            <w:r w:rsidRPr="000B03FC">
              <w:rPr>
                <w:rFonts w:ascii="Arial" w:hAnsi="Arial" w:cs="Arial"/>
                <w:sz w:val="20"/>
                <w:szCs w:val="20"/>
                <w:vertAlign w:val="superscript"/>
                <w:lang w:val="fr-FR"/>
              </w:rPr>
              <w:t>o</w:t>
            </w:r>
            <w:r w:rsidRPr="000B03FC">
              <w:rPr>
                <w:rFonts w:ascii="Arial" w:hAnsi="Arial" w:cs="Arial"/>
                <w:sz w:val="20"/>
                <w:szCs w:val="20"/>
                <w:lang w:val="fr-FR"/>
              </w:rPr>
              <w:t>C</w:t>
            </w:r>
          </w:p>
          <w:p w:rsidR="000F4F6A" w:rsidRPr="006A37B4" w:rsidRDefault="000B03FC" w:rsidP="00F35913">
            <w:pPr>
              <w:spacing w:line="276" w:lineRule="auto"/>
              <w:jc w:val="center"/>
              <w:rPr>
                <w:rFonts w:ascii="Arial" w:hAnsi="Arial" w:cs="Arial"/>
                <w:sz w:val="20"/>
                <w:szCs w:val="20"/>
                <w:lang w:val="fr-FR"/>
              </w:rPr>
            </w:pPr>
            <w:r w:rsidRPr="000B03FC">
              <w:rPr>
                <w:rFonts w:ascii="Arial" w:hAnsi="Arial" w:cs="Arial"/>
                <w:sz w:val="20"/>
                <w:szCs w:val="20"/>
                <w:lang w:val="fr-FR"/>
              </w:rPr>
              <w:t>(mg TAN/L)</w:t>
            </w:r>
          </w:p>
        </w:tc>
        <w:tc>
          <w:tcPr>
            <w:tcW w:w="1260" w:type="dxa"/>
            <w:tcBorders>
              <w:right w:val="single" w:sz="24" w:space="0" w:color="auto"/>
            </w:tcBorders>
            <w:shd w:val="clear" w:color="auto" w:fill="DFF1EB"/>
            <w:vAlign w:val="center"/>
          </w:tcPr>
          <w:p w:rsidR="000F4F6A" w:rsidRPr="006A37B4" w:rsidRDefault="000B03FC" w:rsidP="00F35913">
            <w:pPr>
              <w:spacing w:line="276" w:lineRule="auto"/>
              <w:jc w:val="center"/>
              <w:rPr>
                <w:rFonts w:ascii="Arial" w:hAnsi="Arial" w:cs="Arial"/>
                <w:sz w:val="20"/>
                <w:szCs w:val="20"/>
                <w:lang w:val="fr-FR"/>
              </w:rPr>
            </w:pPr>
            <w:r w:rsidRPr="000B03FC">
              <w:rPr>
                <w:rFonts w:ascii="Arial" w:hAnsi="Arial" w:cs="Arial"/>
                <w:sz w:val="20"/>
                <w:szCs w:val="20"/>
                <w:lang w:val="fr-FR"/>
              </w:rPr>
              <w:t>pH 7.0,</w:t>
            </w:r>
          </w:p>
          <w:p w:rsidR="000F4F6A" w:rsidRPr="006A37B4" w:rsidRDefault="000B03FC" w:rsidP="00F35913">
            <w:pPr>
              <w:spacing w:line="276" w:lineRule="auto"/>
              <w:jc w:val="center"/>
              <w:rPr>
                <w:rFonts w:ascii="Arial" w:hAnsi="Arial" w:cs="Arial"/>
                <w:sz w:val="20"/>
                <w:szCs w:val="20"/>
                <w:lang w:val="fr-FR"/>
              </w:rPr>
            </w:pPr>
            <w:r w:rsidRPr="000B03FC">
              <w:rPr>
                <w:rFonts w:ascii="Arial" w:hAnsi="Arial" w:cs="Arial"/>
                <w:sz w:val="20"/>
                <w:szCs w:val="20"/>
                <w:lang w:val="fr-FR"/>
              </w:rPr>
              <w:t>T=20</w:t>
            </w:r>
            <w:r w:rsidRPr="000B03FC">
              <w:rPr>
                <w:rFonts w:ascii="Arial" w:hAnsi="Arial" w:cs="Arial"/>
                <w:sz w:val="20"/>
                <w:szCs w:val="20"/>
                <w:vertAlign w:val="superscript"/>
                <w:lang w:val="fr-FR"/>
              </w:rPr>
              <w:t>o</w:t>
            </w:r>
            <w:r w:rsidRPr="000B03FC">
              <w:rPr>
                <w:rFonts w:ascii="Arial" w:hAnsi="Arial" w:cs="Arial"/>
                <w:sz w:val="20"/>
                <w:szCs w:val="20"/>
                <w:lang w:val="fr-FR"/>
              </w:rPr>
              <w:t>C</w:t>
            </w:r>
          </w:p>
          <w:p w:rsidR="000F4F6A" w:rsidRPr="006A37B4" w:rsidRDefault="000B03FC" w:rsidP="00F35913">
            <w:pPr>
              <w:spacing w:line="276" w:lineRule="auto"/>
              <w:jc w:val="center"/>
              <w:rPr>
                <w:rFonts w:ascii="Arial" w:hAnsi="Arial" w:cs="Arial"/>
                <w:sz w:val="20"/>
                <w:szCs w:val="20"/>
                <w:lang w:val="fr-FR"/>
              </w:rPr>
            </w:pPr>
            <w:r w:rsidRPr="000B03FC">
              <w:rPr>
                <w:rFonts w:ascii="Arial" w:hAnsi="Arial" w:cs="Arial"/>
                <w:sz w:val="20"/>
                <w:szCs w:val="20"/>
                <w:lang w:val="fr-FR"/>
              </w:rPr>
              <w:t>(mg TAN/L)</w:t>
            </w:r>
          </w:p>
        </w:tc>
        <w:tc>
          <w:tcPr>
            <w:tcW w:w="2520" w:type="dxa"/>
            <w:tcBorders>
              <w:left w:val="single" w:sz="24" w:space="0" w:color="auto"/>
            </w:tcBorders>
            <w:shd w:val="clear" w:color="auto" w:fill="DFF1EB"/>
            <w:vAlign w:val="bottom"/>
          </w:tcPr>
          <w:p w:rsidR="000F4F6A" w:rsidRPr="006A37B4" w:rsidRDefault="000F4F6A" w:rsidP="00F35913">
            <w:pPr>
              <w:spacing w:line="276" w:lineRule="auto"/>
              <w:jc w:val="center"/>
              <w:rPr>
                <w:rFonts w:ascii="Arial" w:hAnsi="Arial" w:cs="Arial"/>
                <w:sz w:val="20"/>
                <w:szCs w:val="20"/>
                <w:lang w:val="fr-FR"/>
              </w:rPr>
            </w:pPr>
          </w:p>
          <w:p w:rsidR="000F4F6A" w:rsidRPr="006A37B4" w:rsidRDefault="000B03FC" w:rsidP="00F35913">
            <w:pPr>
              <w:spacing w:line="276" w:lineRule="auto"/>
              <w:jc w:val="center"/>
              <w:rPr>
                <w:rFonts w:ascii="Arial" w:hAnsi="Arial" w:cs="Arial"/>
                <w:sz w:val="20"/>
                <w:szCs w:val="20"/>
              </w:rPr>
            </w:pPr>
            <w:r w:rsidRPr="000B03FC">
              <w:rPr>
                <w:rFonts w:ascii="Arial" w:hAnsi="Arial" w:cs="Arial"/>
                <w:sz w:val="20"/>
                <w:szCs w:val="20"/>
              </w:rPr>
              <w:t>Species</w:t>
            </w:r>
          </w:p>
        </w:tc>
        <w:tc>
          <w:tcPr>
            <w:tcW w:w="1446" w:type="dxa"/>
            <w:tcBorders>
              <w:right w:val="double" w:sz="4" w:space="0" w:color="auto"/>
            </w:tcBorders>
            <w:shd w:val="clear" w:color="auto" w:fill="DFF1EB"/>
            <w:vAlign w:val="center"/>
          </w:tcPr>
          <w:p w:rsidR="000F4F6A" w:rsidRPr="006A37B4" w:rsidRDefault="000B03FC" w:rsidP="00F35913">
            <w:pPr>
              <w:spacing w:line="276" w:lineRule="auto"/>
              <w:jc w:val="center"/>
              <w:rPr>
                <w:rFonts w:ascii="Arial" w:hAnsi="Arial" w:cs="Arial"/>
                <w:sz w:val="20"/>
                <w:szCs w:val="20"/>
                <w:lang w:val="fr-FR"/>
              </w:rPr>
            </w:pPr>
            <w:r w:rsidRPr="000B03FC">
              <w:rPr>
                <w:rFonts w:ascii="Arial" w:hAnsi="Arial" w:cs="Arial"/>
                <w:sz w:val="20"/>
                <w:szCs w:val="20"/>
                <w:lang w:val="fr-FR"/>
              </w:rPr>
              <w:t>pH 7.0,</w:t>
            </w:r>
          </w:p>
          <w:p w:rsidR="000F4F6A" w:rsidRPr="006A37B4" w:rsidRDefault="000B03FC" w:rsidP="00F35913">
            <w:pPr>
              <w:spacing w:line="276" w:lineRule="auto"/>
              <w:jc w:val="center"/>
              <w:rPr>
                <w:rFonts w:ascii="Arial" w:hAnsi="Arial" w:cs="Arial"/>
                <w:sz w:val="20"/>
                <w:szCs w:val="20"/>
                <w:lang w:val="fr-FR"/>
              </w:rPr>
            </w:pPr>
            <w:r w:rsidRPr="000B03FC">
              <w:rPr>
                <w:rFonts w:ascii="Arial" w:hAnsi="Arial" w:cs="Arial"/>
                <w:sz w:val="20"/>
                <w:szCs w:val="20"/>
                <w:lang w:val="fr-FR"/>
              </w:rPr>
              <w:t>T=20</w:t>
            </w:r>
            <w:r w:rsidRPr="000B03FC">
              <w:rPr>
                <w:rFonts w:ascii="Arial" w:hAnsi="Arial" w:cs="Arial"/>
                <w:sz w:val="20"/>
                <w:szCs w:val="20"/>
                <w:vertAlign w:val="superscript"/>
                <w:lang w:val="fr-FR"/>
              </w:rPr>
              <w:t>o</w:t>
            </w:r>
            <w:r w:rsidRPr="000B03FC">
              <w:rPr>
                <w:rFonts w:ascii="Arial" w:hAnsi="Arial" w:cs="Arial"/>
                <w:sz w:val="20"/>
                <w:szCs w:val="20"/>
                <w:lang w:val="fr-FR"/>
              </w:rPr>
              <w:t>C</w:t>
            </w:r>
          </w:p>
          <w:p w:rsidR="000F4F6A" w:rsidRPr="006A37B4" w:rsidRDefault="000B03FC" w:rsidP="00F35913">
            <w:pPr>
              <w:spacing w:line="276" w:lineRule="auto"/>
              <w:jc w:val="center"/>
              <w:rPr>
                <w:rFonts w:ascii="Arial" w:hAnsi="Arial" w:cs="Arial"/>
                <w:sz w:val="20"/>
                <w:szCs w:val="20"/>
                <w:lang w:val="fr-FR"/>
              </w:rPr>
            </w:pPr>
            <w:r w:rsidRPr="000B03FC">
              <w:rPr>
                <w:rFonts w:ascii="Arial" w:hAnsi="Arial" w:cs="Arial"/>
                <w:sz w:val="20"/>
                <w:szCs w:val="20"/>
                <w:lang w:val="fr-FR"/>
              </w:rPr>
              <w:t>(mg TAN/L)</w:t>
            </w:r>
          </w:p>
        </w:tc>
      </w:tr>
      <w:tr w:rsidR="001073A4" w:rsidRPr="00386D6C" w:rsidTr="006A37B4">
        <w:trPr>
          <w:trHeight w:val="818"/>
          <w:jc w:val="center"/>
        </w:trPr>
        <w:tc>
          <w:tcPr>
            <w:tcW w:w="2713" w:type="dxa"/>
            <w:tcBorders>
              <w:left w:val="double" w:sz="4" w:space="0" w:color="auto"/>
            </w:tcBorders>
            <w:vAlign w:val="center"/>
          </w:tcPr>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i/>
                <w:sz w:val="20"/>
                <w:szCs w:val="20"/>
              </w:rPr>
              <w:t>Oncorhynchus</w:t>
            </w:r>
            <w:r w:rsidRPr="0083082E">
              <w:rPr>
                <w:rFonts w:ascii="Times New Roman" w:hAnsi="Times New Roman" w:cs="Times New Roman"/>
                <w:sz w:val="20"/>
                <w:szCs w:val="20"/>
              </w:rPr>
              <w:t xml:space="preserve"> sp. (salmonids), includes: </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 xml:space="preserve">O. aquabonita, O. clarkii, O. gorbuscha, O. kisutch, O. mykiss, and </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O. tshawytscha</w:t>
            </w:r>
          </w:p>
        </w:tc>
        <w:tc>
          <w:tcPr>
            <w:tcW w:w="1080" w:type="dxa"/>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21.95</w:t>
            </w:r>
          </w:p>
        </w:tc>
        <w:tc>
          <w:tcPr>
            <w:tcW w:w="1058" w:type="dxa"/>
            <w:tcBorders>
              <w:right w:val="single" w:sz="2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99.15</w:t>
            </w:r>
          </w:p>
        </w:tc>
        <w:tc>
          <w:tcPr>
            <w:tcW w:w="2348" w:type="dxa"/>
            <w:tcBorders>
              <w:left w:val="single" w:sz="24" w:space="0" w:color="auto"/>
            </w:tcBorders>
            <w:vAlign w:val="center"/>
          </w:tcPr>
          <w:p w:rsidR="001073A4" w:rsidRPr="0083082E" w:rsidRDefault="000B03FC" w:rsidP="004D65A8">
            <w:pPr>
              <w:spacing w:line="276" w:lineRule="auto"/>
              <w:rPr>
                <w:rFonts w:ascii="Times New Roman" w:hAnsi="Times New Roman" w:cs="Times New Roman"/>
                <w:i/>
                <w:sz w:val="20"/>
                <w:szCs w:val="20"/>
              </w:rPr>
            </w:pPr>
            <w:r w:rsidRPr="0083082E">
              <w:rPr>
                <w:rFonts w:ascii="Times New Roman" w:hAnsi="Times New Roman" w:cs="Times New Roman"/>
                <w:sz w:val="20"/>
                <w:szCs w:val="20"/>
              </w:rPr>
              <w:t>Oyster mussel</w:t>
            </w:r>
            <w:r w:rsidRPr="0083082E">
              <w:rPr>
                <w:rFonts w:ascii="Times New Roman" w:hAnsi="Times New Roman" w:cs="Times New Roman"/>
                <w:i/>
                <w:sz w:val="20"/>
                <w:szCs w:val="20"/>
              </w:rPr>
              <w:t>,</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Epioblasma capsaeformis</w:t>
            </w:r>
          </w:p>
        </w:tc>
        <w:tc>
          <w:tcPr>
            <w:tcW w:w="1252" w:type="dxa"/>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6.037</w:t>
            </w:r>
          </w:p>
        </w:tc>
        <w:tc>
          <w:tcPr>
            <w:tcW w:w="1260" w:type="dxa"/>
            <w:tcBorders>
              <w:right w:val="single" w:sz="2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39.24</w:t>
            </w:r>
          </w:p>
        </w:tc>
        <w:tc>
          <w:tcPr>
            <w:tcW w:w="2520" w:type="dxa"/>
            <w:tcBorders>
              <w:left w:val="single" w:sz="24" w:space="0" w:color="auto"/>
            </w:tcBorders>
            <w:vAlign w:val="center"/>
          </w:tcPr>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Lampsilis sp.</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(Unionidae), includes:</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 xml:space="preserve">L. abrupta, L. cardium, </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 xml:space="preserve">L. fasciola, L. higginsii, L. rafinesqueana, and </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L. siliquoidea</w:t>
            </w:r>
          </w:p>
        </w:tc>
        <w:tc>
          <w:tcPr>
            <w:tcW w:w="1446" w:type="dxa"/>
            <w:tcBorders>
              <w:right w:val="double" w:sz="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46.63</w:t>
            </w:r>
          </w:p>
        </w:tc>
      </w:tr>
      <w:tr w:rsidR="001073A4" w:rsidRPr="00386D6C" w:rsidTr="006A37B4">
        <w:trPr>
          <w:jc w:val="center"/>
        </w:trPr>
        <w:tc>
          <w:tcPr>
            <w:tcW w:w="2713" w:type="dxa"/>
            <w:tcBorders>
              <w:left w:val="double" w:sz="4" w:space="0" w:color="auto"/>
            </w:tcBorders>
            <w:vAlign w:val="center"/>
          </w:tcPr>
          <w:p w:rsidR="001073A4" w:rsidRPr="0083082E" w:rsidRDefault="000B03FC" w:rsidP="004D65A8">
            <w:pPr>
              <w:spacing w:line="276" w:lineRule="auto"/>
              <w:rPr>
                <w:rFonts w:ascii="Times New Roman" w:hAnsi="Times New Roman" w:cs="Times New Roman"/>
                <w:i/>
                <w:sz w:val="20"/>
                <w:szCs w:val="20"/>
              </w:rPr>
            </w:pPr>
            <w:r w:rsidRPr="0083082E">
              <w:rPr>
                <w:rFonts w:ascii="Times New Roman" w:hAnsi="Times New Roman" w:cs="Times New Roman"/>
                <w:sz w:val="20"/>
                <w:szCs w:val="20"/>
              </w:rPr>
              <w:t>Orangethroat darter</w:t>
            </w:r>
            <w:r w:rsidRPr="0083082E">
              <w:rPr>
                <w:rFonts w:ascii="Times New Roman" w:hAnsi="Times New Roman" w:cs="Times New Roman"/>
                <w:i/>
                <w:sz w:val="20"/>
                <w:szCs w:val="20"/>
              </w:rPr>
              <w:t xml:space="preserve">, </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Etheostoma spectabile</w:t>
            </w:r>
          </w:p>
        </w:tc>
        <w:tc>
          <w:tcPr>
            <w:tcW w:w="1080" w:type="dxa"/>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17.96</w:t>
            </w:r>
          </w:p>
        </w:tc>
        <w:tc>
          <w:tcPr>
            <w:tcW w:w="1058" w:type="dxa"/>
            <w:tcBorders>
              <w:right w:val="single" w:sz="2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74.25</w:t>
            </w:r>
          </w:p>
        </w:tc>
        <w:tc>
          <w:tcPr>
            <w:tcW w:w="2348" w:type="dxa"/>
            <w:tcBorders>
              <w:left w:val="single" w:sz="24" w:space="0" w:color="auto"/>
            </w:tcBorders>
            <w:vAlign w:val="center"/>
          </w:tcPr>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Asiatic clam,</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Corbicula fluminea</w:t>
            </w:r>
          </w:p>
        </w:tc>
        <w:tc>
          <w:tcPr>
            <w:tcW w:w="1252" w:type="dxa"/>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6.018</w:t>
            </w:r>
          </w:p>
        </w:tc>
        <w:tc>
          <w:tcPr>
            <w:tcW w:w="1260" w:type="dxa"/>
            <w:tcBorders>
              <w:right w:val="single" w:sz="2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39.12</w:t>
            </w:r>
          </w:p>
        </w:tc>
        <w:tc>
          <w:tcPr>
            <w:tcW w:w="2520" w:type="dxa"/>
            <w:tcBorders>
              <w:left w:val="single" w:sz="24" w:space="0" w:color="auto"/>
            </w:tcBorders>
            <w:vAlign w:val="center"/>
          </w:tcPr>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Rainbow mussel,</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Villosa iris</w:t>
            </w:r>
          </w:p>
        </w:tc>
        <w:tc>
          <w:tcPr>
            <w:tcW w:w="1446" w:type="dxa"/>
            <w:tcBorders>
              <w:right w:val="double" w:sz="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34.23</w:t>
            </w:r>
          </w:p>
        </w:tc>
      </w:tr>
      <w:tr w:rsidR="001073A4" w:rsidRPr="00386D6C" w:rsidTr="006A37B4">
        <w:trPr>
          <w:trHeight w:val="881"/>
          <w:jc w:val="center"/>
        </w:trPr>
        <w:tc>
          <w:tcPr>
            <w:tcW w:w="2713" w:type="dxa"/>
            <w:tcBorders>
              <w:left w:val="double" w:sz="4" w:space="0" w:color="auto"/>
              <w:bottom w:val="single" w:sz="4" w:space="0" w:color="auto"/>
            </w:tcBorders>
            <w:vAlign w:val="center"/>
          </w:tcPr>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 xml:space="preserve">Golden shiner, </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Notemigonus crysoleucas</w:t>
            </w:r>
          </w:p>
        </w:tc>
        <w:tc>
          <w:tcPr>
            <w:tcW w:w="1080" w:type="dxa"/>
            <w:tcBorders>
              <w:bottom w:val="single" w:sz="4" w:space="0" w:color="auto"/>
            </w:tcBorders>
            <w:vAlign w:val="center"/>
          </w:tcPr>
          <w:p w:rsidR="000F4F6A" w:rsidRPr="0083082E" w:rsidRDefault="000F4F6A" w:rsidP="00F35913">
            <w:pPr>
              <w:spacing w:line="276" w:lineRule="auto"/>
              <w:jc w:val="center"/>
              <w:rPr>
                <w:rFonts w:ascii="Times New Roman" w:hAnsi="Times New Roman" w:cs="Times New Roman"/>
                <w:sz w:val="20"/>
                <w:szCs w:val="20"/>
              </w:rPr>
            </w:pPr>
          </w:p>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14.67</w:t>
            </w:r>
          </w:p>
        </w:tc>
        <w:tc>
          <w:tcPr>
            <w:tcW w:w="1058" w:type="dxa"/>
            <w:tcBorders>
              <w:bottom w:val="single" w:sz="4" w:space="0" w:color="auto"/>
              <w:right w:val="single" w:sz="24" w:space="0" w:color="auto"/>
            </w:tcBorders>
            <w:vAlign w:val="center"/>
          </w:tcPr>
          <w:p w:rsidR="000F4F6A" w:rsidRPr="0083082E" w:rsidRDefault="000F4F6A" w:rsidP="00F35913">
            <w:pPr>
              <w:spacing w:line="276" w:lineRule="auto"/>
              <w:jc w:val="center"/>
              <w:rPr>
                <w:rFonts w:ascii="Times New Roman" w:hAnsi="Times New Roman" w:cs="Times New Roman"/>
                <w:sz w:val="20"/>
                <w:szCs w:val="20"/>
              </w:rPr>
            </w:pPr>
          </w:p>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63.02</w:t>
            </w:r>
          </w:p>
        </w:tc>
        <w:tc>
          <w:tcPr>
            <w:tcW w:w="2348" w:type="dxa"/>
            <w:tcBorders>
              <w:left w:val="single" w:sz="24" w:space="0" w:color="auto"/>
              <w:bottom w:val="single" w:sz="4" w:space="0" w:color="auto"/>
            </w:tcBorders>
            <w:vAlign w:val="center"/>
          </w:tcPr>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Lampsilis sp.</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(Unionidae), includes:</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 xml:space="preserve">L. abrupta, L. cardium, </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 xml:space="preserve">L. fasciola, L. higginsii, </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 xml:space="preserve">L. rafinesqueana, and </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L. siliquoidea</w:t>
            </w:r>
          </w:p>
        </w:tc>
        <w:tc>
          <w:tcPr>
            <w:tcW w:w="1252" w:type="dxa"/>
            <w:tcBorders>
              <w:bottom w:val="single" w:sz="4" w:space="0" w:color="auto"/>
            </w:tcBorders>
            <w:vAlign w:val="center"/>
          </w:tcPr>
          <w:p w:rsidR="000F4F6A" w:rsidRPr="0083082E" w:rsidRDefault="000F4F6A" w:rsidP="00F35913">
            <w:pPr>
              <w:spacing w:line="276" w:lineRule="auto"/>
              <w:jc w:val="center"/>
              <w:rPr>
                <w:rFonts w:ascii="Times New Roman" w:hAnsi="Times New Roman" w:cs="Times New Roman"/>
                <w:sz w:val="20"/>
                <w:szCs w:val="20"/>
              </w:rPr>
            </w:pPr>
          </w:p>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5.919</w:t>
            </w:r>
          </w:p>
        </w:tc>
        <w:tc>
          <w:tcPr>
            <w:tcW w:w="1260" w:type="dxa"/>
            <w:tcBorders>
              <w:bottom w:val="single" w:sz="4" w:space="0" w:color="auto"/>
              <w:right w:val="single" w:sz="24" w:space="0" w:color="auto"/>
            </w:tcBorders>
            <w:vAlign w:val="center"/>
          </w:tcPr>
          <w:p w:rsidR="000F4F6A" w:rsidRPr="0083082E" w:rsidRDefault="000F4F6A" w:rsidP="00F35913">
            <w:pPr>
              <w:spacing w:line="276" w:lineRule="auto"/>
              <w:jc w:val="center"/>
              <w:rPr>
                <w:rFonts w:ascii="Times New Roman" w:hAnsi="Times New Roman" w:cs="Times New Roman"/>
                <w:sz w:val="20"/>
                <w:szCs w:val="20"/>
              </w:rPr>
            </w:pPr>
          </w:p>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38.48</w:t>
            </w:r>
          </w:p>
        </w:tc>
        <w:tc>
          <w:tcPr>
            <w:tcW w:w="2520" w:type="dxa"/>
            <w:tcBorders>
              <w:left w:val="single" w:sz="24" w:space="0" w:color="auto"/>
              <w:bottom w:val="single" w:sz="4" w:space="0" w:color="auto"/>
            </w:tcBorders>
            <w:vAlign w:val="center"/>
          </w:tcPr>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Oyster mussel, Epioblasma capsaeformis</w:t>
            </w:r>
          </w:p>
        </w:tc>
        <w:tc>
          <w:tcPr>
            <w:tcW w:w="1446" w:type="dxa"/>
            <w:tcBorders>
              <w:bottom w:val="single" w:sz="4" w:space="0" w:color="auto"/>
              <w:right w:val="double" w:sz="4" w:space="0" w:color="auto"/>
            </w:tcBorders>
            <w:vAlign w:val="center"/>
          </w:tcPr>
          <w:p w:rsidR="000F4F6A" w:rsidRPr="0083082E" w:rsidRDefault="000F4F6A" w:rsidP="00F35913">
            <w:pPr>
              <w:spacing w:line="276" w:lineRule="auto"/>
              <w:jc w:val="center"/>
              <w:rPr>
                <w:rFonts w:ascii="Times New Roman" w:hAnsi="Times New Roman" w:cs="Times New Roman"/>
                <w:sz w:val="20"/>
                <w:szCs w:val="20"/>
              </w:rPr>
            </w:pPr>
          </w:p>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31.14</w:t>
            </w:r>
          </w:p>
        </w:tc>
      </w:tr>
      <w:tr w:rsidR="001073A4" w:rsidRPr="00386D6C" w:rsidTr="006A37B4">
        <w:trPr>
          <w:trHeight w:val="728"/>
          <w:jc w:val="center"/>
        </w:trPr>
        <w:tc>
          <w:tcPr>
            <w:tcW w:w="2713" w:type="dxa"/>
            <w:tcBorders>
              <w:left w:val="double" w:sz="4" w:space="0" w:color="auto"/>
              <w:bottom w:val="single" w:sz="4" w:space="0" w:color="auto"/>
            </w:tcBorders>
            <w:vAlign w:val="center"/>
          </w:tcPr>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 xml:space="preserve">Mountain whitefish, </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Prosopium williamsoni</w:t>
            </w:r>
          </w:p>
        </w:tc>
        <w:tc>
          <w:tcPr>
            <w:tcW w:w="1080" w:type="dxa"/>
            <w:tcBorders>
              <w:bottom w:val="single" w:sz="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12.11</w:t>
            </w:r>
          </w:p>
        </w:tc>
        <w:tc>
          <w:tcPr>
            <w:tcW w:w="1058" w:type="dxa"/>
            <w:tcBorders>
              <w:bottom w:val="single" w:sz="4" w:space="0" w:color="auto"/>
              <w:right w:val="single" w:sz="2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51.93</w:t>
            </w:r>
          </w:p>
        </w:tc>
        <w:tc>
          <w:tcPr>
            <w:tcW w:w="2348" w:type="dxa"/>
            <w:tcBorders>
              <w:left w:val="single" w:sz="24" w:space="0" w:color="auto"/>
              <w:bottom w:val="single" w:sz="4" w:space="0" w:color="auto"/>
            </w:tcBorders>
            <w:vAlign w:val="center"/>
          </w:tcPr>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Rainbow mussel,</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Villosa iris</w:t>
            </w:r>
          </w:p>
        </w:tc>
        <w:tc>
          <w:tcPr>
            <w:tcW w:w="1252" w:type="dxa"/>
            <w:tcBorders>
              <w:bottom w:val="single" w:sz="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5.036</w:t>
            </w:r>
          </w:p>
        </w:tc>
        <w:tc>
          <w:tcPr>
            <w:tcW w:w="1260" w:type="dxa"/>
            <w:tcBorders>
              <w:bottom w:val="single" w:sz="4" w:space="0" w:color="auto"/>
              <w:right w:val="single" w:sz="2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32.73</w:t>
            </w:r>
          </w:p>
        </w:tc>
        <w:tc>
          <w:tcPr>
            <w:tcW w:w="2520" w:type="dxa"/>
            <w:tcBorders>
              <w:left w:val="single" w:sz="24" w:space="0" w:color="auto"/>
              <w:bottom w:val="single" w:sz="4" w:space="0" w:color="auto"/>
            </w:tcBorders>
            <w:vAlign w:val="center"/>
          </w:tcPr>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Green floater,</w:t>
            </w:r>
          </w:p>
          <w:p w:rsidR="001073A4" w:rsidRPr="0083082E" w:rsidRDefault="000B03FC" w:rsidP="004D65A8">
            <w:pPr>
              <w:spacing w:line="276" w:lineRule="auto"/>
              <w:rPr>
                <w:rFonts w:ascii="Times New Roman" w:hAnsi="Times New Roman" w:cs="Times New Roman"/>
                <w:sz w:val="20"/>
                <w:szCs w:val="20"/>
              </w:rPr>
            </w:pPr>
            <w:r w:rsidRPr="0083082E">
              <w:rPr>
                <w:rFonts w:ascii="Times New Roman" w:hAnsi="Times New Roman" w:cs="Times New Roman"/>
                <w:sz w:val="20"/>
                <w:szCs w:val="20"/>
              </w:rPr>
              <w:t>Lasmigona subviridis</w:t>
            </w:r>
          </w:p>
        </w:tc>
        <w:tc>
          <w:tcPr>
            <w:tcW w:w="1446" w:type="dxa"/>
            <w:tcBorders>
              <w:bottom w:val="single" w:sz="4" w:space="0" w:color="auto"/>
              <w:right w:val="double" w:sz="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23.41</w:t>
            </w:r>
          </w:p>
        </w:tc>
      </w:tr>
      <w:tr w:rsidR="001073A4" w:rsidRPr="00386D6C" w:rsidTr="006A37B4">
        <w:trPr>
          <w:trHeight w:val="404"/>
          <w:jc w:val="center"/>
        </w:trPr>
        <w:tc>
          <w:tcPr>
            <w:tcW w:w="2713" w:type="dxa"/>
            <w:tcBorders>
              <w:top w:val="single" w:sz="4" w:space="0" w:color="auto"/>
              <w:left w:val="double" w:sz="4" w:space="0" w:color="auto"/>
            </w:tcBorders>
            <w:vAlign w:val="center"/>
          </w:tcPr>
          <w:p w:rsidR="000F4F6A" w:rsidRPr="0083082E" w:rsidRDefault="000B03FC" w:rsidP="00F35913">
            <w:pPr>
              <w:spacing w:line="276" w:lineRule="auto"/>
              <w:jc w:val="right"/>
              <w:rPr>
                <w:rFonts w:ascii="Times New Roman" w:hAnsi="Times New Roman" w:cs="Times New Roman"/>
                <w:sz w:val="20"/>
                <w:szCs w:val="20"/>
              </w:rPr>
            </w:pPr>
            <w:r w:rsidRPr="0083082E">
              <w:rPr>
                <w:rFonts w:ascii="Times New Roman" w:hAnsi="Times New Roman" w:cs="Times New Roman"/>
                <w:sz w:val="20"/>
                <w:szCs w:val="20"/>
              </w:rPr>
              <w:t>FAV</w:t>
            </w:r>
            <w:r w:rsidRPr="0083082E">
              <w:rPr>
                <w:rStyle w:val="FootnoteReference"/>
                <w:rFonts w:ascii="Times New Roman" w:hAnsi="Times New Roman" w:cs="Times New Roman"/>
                <w:b/>
                <w:sz w:val="20"/>
                <w:szCs w:val="20"/>
              </w:rPr>
              <w:footnoteReference w:id="30"/>
            </w:r>
          </w:p>
        </w:tc>
        <w:tc>
          <w:tcPr>
            <w:tcW w:w="1080" w:type="dxa"/>
            <w:tcBorders>
              <w:top w:val="single" w:sz="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11.23</w:t>
            </w:r>
          </w:p>
        </w:tc>
        <w:tc>
          <w:tcPr>
            <w:tcW w:w="1058" w:type="dxa"/>
            <w:tcBorders>
              <w:top w:val="single" w:sz="4" w:space="0" w:color="auto"/>
              <w:right w:val="single" w:sz="2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48.21</w:t>
            </w:r>
          </w:p>
        </w:tc>
        <w:tc>
          <w:tcPr>
            <w:tcW w:w="2348" w:type="dxa"/>
            <w:tcBorders>
              <w:top w:val="single" w:sz="4" w:space="0" w:color="auto"/>
              <w:left w:val="single" w:sz="24" w:space="0" w:color="auto"/>
            </w:tcBorders>
            <w:vAlign w:val="center"/>
          </w:tcPr>
          <w:p w:rsidR="000F4F6A" w:rsidRPr="0083082E" w:rsidRDefault="000B03FC" w:rsidP="00F35913">
            <w:pPr>
              <w:spacing w:line="276" w:lineRule="auto"/>
              <w:jc w:val="right"/>
              <w:rPr>
                <w:rFonts w:ascii="Times New Roman" w:hAnsi="Times New Roman" w:cs="Times New Roman"/>
                <w:sz w:val="20"/>
                <w:szCs w:val="20"/>
              </w:rPr>
            </w:pPr>
            <w:r w:rsidRPr="0083082E">
              <w:rPr>
                <w:rFonts w:ascii="Times New Roman" w:hAnsi="Times New Roman" w:cs="Times New Roman"/>
                <w:sz w:val="20"/>
                <w:szCs w:val="20"/>
              </w:rPr>
              <w:t>FAV</w:t>
            </w:r>
          </w:p>
        </w:tc>
        <w:tc>
          <w:tcPr>
            <w:tcW w:w="1252" w:type="dxa"/>
            <w:tcBorders>
              <w:top w:val="single" w:sz="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5.734</w:t>
            </w:r>
          </w:p>
        </w:tc>
        <w:tc>
          <w:tcPr>
            <w:tcW w:w="1260" w:type="dxa"/>
            <w:tcBorders>
              <w:top w:val="single" w:sz="4" w:space="0" w:color="auto"/>
              <w:right w:val="single" w:sz="2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37.27</w:t>
            </w:r>
          </w:p>
        </w:tc>
        <w:tc>
          <w:tcPr>
            <w:tcW w:w="2520" w:type="dxa"/>
            <w:tcBorders>
              <w:top w:val="single" w:sz="4" w:space="0" w:color="auto"/>
              <w:left w:val="single" w:sz="24" w:space="0" w:color="auto"/>
            </w:tcBorders>
            <w:vAlign w:val="center"/>
          </w:tcPr>
          <w:p w:rsidR="000F4F6A" w:rsidRPr="0083082E" w:rsidRDefault="000B03FC" w:rsidP="00F35913">
            <w:pPr>
              <w:spacing w:line="276" w:lineRule="auto"/>
              <w:jc w:val="right"/>
              <w:rPr>
                <w:rFonts w:ascii="Times New Roman" w:hAnsi="Times New Roman" w:cs="Times New Roman"/>
                <w:sz w:val="20"/>
                <w:szCs w:val="20"/>
              </w:rPr>
            </w:pPr>
            <w:r w:rsidRPr="0083082E">
              <w:rPr>
                <w:rFonts w:ascii="Times New Roman" w:hAnsi="Times New Roman" w:cs="Times New Roman"/>
                <w:sz w:val="20"/>
                <w:szCs w:val="20"/>
              </w:rPr>
              <w:t>FAV</w:t>
            </w:r>
          </w:p>
        </w:tc>
        <w:tc>
          <w:tcPr>
            <w:tcW w:w="1446" w:type="dxa"/>
            <w:tcBorders>
              <w:top w:val="single" w:sz="4" w:space="0" w:color="auto"/>
              <w:right w:val="double" w:sz="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33.52</w:t>
            </w:r>
          </w:p>
        </w:tc>
      </w:tr>
      <w:tr w:rsidR="001073A4" w:rsidRPr="00386D6C" w:rsidTr="006A37B4">
        <w:trPr>
          <w:trHeight w:val="404"/>
          <w:jc w:val="center"/>
        </w:trPr>
        <w:tc>
          <w:tcPr>
            <w:tcW w:w="2713" w:type="dxa"/>
            <w:tcBorders>
              <w:left w:val="double" w:sz="4" w:space="0" w:color="auto"/>
              <w:bottom w:val="double" w:sz="4" w:space="0" w:color="auto"/>
            </w:tcBorders>
            <w:vAlign w:val="center"/>
          </w:tcPr>
          <w:p w:rsidR="000F4F6A" w:rsidRPr="0083082E" w:rsidRDefault="000B03FC" w:rsidP="00F35913">
            <w:pPr>
              <w:spacing w:line="276" w:lineRule="auto"/>
              <w:jc w:val="right"/>
              <w:rPr>
                <w:rFonts w:ascii="Times New Roman" w:hAnsi="Times New Roman" w:cs="Times New Roman"/>
                <w:sz w:val="20"/>
                <w:szCs w:val="20"/>
              </w:rPr>
            </w:pPr>
            <w:r w:rsidRPr="0083082E">
              <w:rPr>
                <w:rFonts w:ascii="Times New Roman" w:hAnsi="Times New Roman" w:cs="Times New Roman"/>
                <w:sz w:val="20"/>
                <w:szCs w:val="20"/>
              </w:rPr>
              <w:t>CMC</w:t>
            </w:r>
          </w:p>
        </w:tc>
        <w:tc>
          <w:tcPr>
            <w:tcW w:w="1080" w:type="dxa"/>
            <w:tcBorders>
              <w:bottom w:val="double" w:sz="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5.6</w:t>
            </w:r>
          </w:p>
        </w:tc>
        <w:tc>
          <w:tcPr>
            <w:tcW w:w="1058" w:type="dxa"/>
            <w:tcBorders>
              <w:bottom w:val="double" w:sz="4" w:space="0" w:color="auto"/>
              <w:right w:val="single" w:sz="2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24</w:t>
            </w:r>
          </w:p>
        </w:tc>
        <w:tc>
          <w:tcPr>
            <w:tcW w:w="2348" w:type="dxa"/>
            <w:tcBorders>
              <w:left w:val="single" w:sz="24" w:space="0" w:color="auto"/>
              <w:bottom w:val="double" w:sz="4" w:space="0" w:color="auto"/>
            </w:tcBorders>
            <w:vAlign w:val="center"/>
          </w:tcPr>
          <w:p w:rsidR="000F4F6A" w:rsidRPr="0083082E" w:rsidRDefault="000B03FC" w:rsidP="00F35913">
            <w:pPr>
              <w:spacing w:line="276" w:lineRule="auto"/>
              <w:jc w:val="right"/>
              <w:rPr>
                <w:rFonts w:ascii="Times New Roman" w:hAnsi="Times New Roman" w:cs="Times New Roman"/>
                <w:sz w:val="20"/>
                <w:szCs w:val="20"/>
              </w:rPr>
            </w:pPr>
            <w:r w:rsidRPr="0083082E">
              <w:rPr>
                <w:rFonts w:ascii="Times New Roman" w:hAnsi="Times New Roman" w:cs="Times New Roman"/>
                <w:sz w:val="20"/>
                <w:szCs w:val="20"/>
              </w:rPr>
              <w:t>CMC</w:t>
            </w:r>
          </w:p>
        </w:tc>
        <w:tc>
          <w:tcPr>
            <w:tcW w:w="1252" w:type="dxa"/>
            <w:tcBorders>
              <w:bottom w:val="double" w:sz="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2.9</w:t>
            </w:r>
          </w:p>
        </w:tc>
        <w:tc>
          <w:tcPr>
            <w:tcW w:w="1260" w:type="dxa"/>
            <w:tcBorders>
              <w:bottom w:val="double" w:sz="4" w:space="0" w:color="auto"/>
              <w:right w:val="single" w:sz="2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19</w:t>
            </w:r>
          </w:p>
        </w:tc>
        <w:tc>
          <w:tcPr>
            <w:tcW w:w="2520" w:type="dxa"/>
            <w:tcBorders>
              <w:left w:val="single" w:sz="24" w:space="0" w:color="auto"/>
              <w:bottom w:val="double" w:sz="4" w:space="0" w:color="auto"/>
            </w:tcBorders>
            <w:vAlign w:val="center"/>
          </w:tcPr>
          <w:p w:rsidR="000F4F6A" w:rsidRPr="0083082E" w:rsidRDefault="000B03FC" w:rsidP="00F35913">
            <w:pPr>
              <w:spacing w:line="276" w:lineRule="auto"/>
              <w:jc w:val="right"/>
              <w:rPr>
                <w:rFonts w:ascii="Times New Roman" w:hAnsi="Times New Roman" w:cs="Times New Roman"/>
                <w:sz w:val="20"/>
                <w:szCs w:val="20"/>
              </w:rPr>
            </w:pPr>
            <w:r w:rsidRPr="0083082E">
              <w:rPr>
                <w:rFonts w:ascii="Times New Roman" w:hAnsi="Times New Roman" w:cs="Times New Roman"/>
                <w:sz w:val="20"/>
                <w:szCs w:val="20"/>
              </w:rPr>
              <w:t>CMC</w:t>
            </w:r>
          </w:p>
        </w:tc>
        <w:tc>
          <w:tcPr>
            <w:tcW w:w="1446" w:type="dxa"/>
            <w:tcBorders>
              <w:bottom w:val="double" w:sz="4" w:space="0" w:color="auto"/>
              <w:right w:val="double" w:sz="4" w:space="0" w:color="auto"/>
            </w:tcBorders>
            <w:vAlign w:val="center"/>
          </w:tcPr>
          <w:p w:rsidR="000F4F6A" w:rsidRPr="0083082E" w:rsidRDefault="000B03FC" w:rsidP="00F35913">
            <w:pPr>
              <w:spacing w:line="276" w:lineRule="auto"/>
              <w:jc w:val="center"/>
              <w:rPr>
                <w:rFonts w:ascii="Times New Roman" w:hAnsi="Times New Roman" w:cs="Times New Roman"/>
                <w:sz w:val="20"/>
                <w:szCs w:val="20"/>
              </w:rPr>
            </w:pPr>
            <w:r w:rsidRPr="0083082E">
              <w:rPr>
                <w:rFonts w:ascii="Times New Roman" w:hAnsi="Times New Roman" w:cs="Times New Roman"/>
                <w:sz w:val="20"/>
                <w:szCs w:val="20"/>
              </w:rPr>
              <w:t>17</w:t>
            </w:r>
          </w:p>
        </w:tc>
      </w:tr>
    </w:tbl>
    <w:p w:rsidR="000F4F6A" w:rsidRDefault="000F4F6A" w:rsidP="00F35913">
      <w:pPr>
        <w:spacing w:after="200"/>
      </w:pPr>
    </w:p>
    <w:tbl>
      <w:tblPr>
        <w:tblStyle w:val="TableGrid"/>
        <w:tblW w:w="13840" w:type="dxa"/>
        <w:jc w:val="center"/>
        <w:tblInd w:w="-448" w:type="dxa"/>
        <w:tblLayout w:type="fixed"/>
        <w:tblCellMar>
          <w:left w:w="72" w:type="dxa"/>
          <w:right w:w="72" w:type="dxa"/>
        </w:tblCellMar>
        <w:tblLook w:val="04A0"/>
      </w:tblPr>
      <w:tblGrid>
        <w:gridCol w:w="70"/>
        <w:gridCol w:w="2340"/>
        <w:gridCol w:w="1357"/>
        <w:gridCol w:w="1253"/>
        <w:gridCol w:w="1890"/>
        <w:gridCol w:w="1357"/>
        <w:gridCol w:w="1613"/>
        <w:gridCol w:w="1890"/>
        <w:gridCol w:w="1990"/>
        <w:gridCol w:w="80"/>
      </w:tblGrid>
      <w:tr w:rsidR="006A37B4" w:rsidRPr="006A37B4" w:rsidTr="00926E85">
        <w:trPr>
          <w:gridAfter w:val="1"/>
          <w:wAfter w:w="80" w:type="dxa"/>
          <w:trHeight w:val="503"/>
          <w:jc w:val="center"/>
        </w:trPr>
        <w:tc>
          <w:tcPr>
            <w:tcW w:w="13760" w:type="dxa"/>
            <w:gridSpan w:val="9"/>
            <w:tcBorders>
              <w:top w:val="double" w:sz="4" w:space="0" w:color="auto"/>
              <w:left w:val="double" w:sz="4" w:space="0" w:color="auto"/>
              <w:right w:val="double" w:sz="4" w:space="0" w:color="auto"/>
            </w:tcBorders>
            <w:shd w:val="clear" w:color="auto" w:fill="008272"/>
            <w:vAlign w:val="center"/>
          </w:tcPr>
          <w:p w:rsidR="00926E85" w:rsidRPr="00926E85" w:rsidRDefault="00926E85" w:rsidP="00926E85">
            <w:pPr>
              <w:pStyle w:val="TABLE"/>
              <w:tabs>
                <w:tab w:val="clear" w:pos="-1080"/>
                <w:tab w:val="clear" w:pos="-720"/>
                <w:tab w:val="clear" w:pos="0"/>
                <w:tab w:val="clear" w:pos="270"/>
                <w:tab w:val="clear" w:pos="2160"/>
                <w:tab w:val="clear" w:pos="2880"/>
                <w:tab w:val="clear" w:pos="11520"/>
                <w:tab w:val="clear" w:pos="12240"/>
                <w:tab w:val="clear" w:pos="12960"/>
                <w:tab w:val="clear" w:pos="13680"/>
                <w:tab w:val="clear" w:pos="14400"/>
              </w:tabs>
              <w:spacing w:line="240" w:lineRule="auto"/>
              <w:jc w:val="center"/>
              <w:rPr>
                <w:color w:val="FFFFFF" w:themeColor="background1"/>
                <w:sz w:val="28"/>
                <w:szCs w:val="28"/>
              </w:rPr>
            </w:pPr>
            <w:bookmarkStart w:id="28" w:name="_Toc354163341"/>
            <w:r w:rsidRPr="00926E85">
              <w:rPr>
                <w:color w:val="FFFFFF" w:themeColor="background1"/>
                <w:sz w:val="28"/>
                <w:szCs w:val="28"/>
              </w:rPr>
              <w:t>Table 2</w:t>
            </w:r>
          </w:p>
          <w:p w:rsidR="00926E85" w:rsidRPr="00926E85" w:rsidRDefault="00926E85" w:rsidP="00926E85">
            <w:pPr>
              <w:pStyle w:val="TABLE"/>
              <w:tabs>
                <w:tab w:val="clear" w:pos="-1080"/>
                <w:tab w:val="clear" w:pos="-720"/>
                <w:tab w:val="clear" w:pos="0"/>
                <w:tab w:val="clear" w:pos="270"/>
                <w:tab w:val="clear" w:pos="2160"/>
                <w:tab w:val="clear" w:pos="2880"/>
                <w:tab w:val="clear" w:pos="11520"/>
                <w:tab w:val="clear" w:pos="12240"/>
                <w:tab w:val="clear" w:pos="12960"/>
                <w:tab w:val="clear" w:pos="13680"/>
                <w:tab w:val="clear" w:pos="14400"/>
              </w:tabs>
              <w:spacing w:line="240" w:lineRule="auto"/>
              <w:jc w:val="center"/>
              <w:rPr>
                <w:color w:val="FFFFFF" w:themeColor="background1"/>
              </w:rPr>
            </w:pPr>
            <w:r w:rsidRPr="00926E85">
              <w:rPr>
                <w:color w:val="FFFFFF" w:themeColor="background1"/>
              </w:rPr>
              <w:t>Comparison of the four taxa used to calculate the final chronic value (FCV) and CCC</w:t>
            </w:r>
          </w:p>
          <w:p w:rsidR="00926E85" w:rsidRPr="00926E85" w:rsidRDefault="00926E85" w:rsidP="00926E85">
            <w:pPr>
              <w:pStyle w:val="TABLE"/>
              <w:tabs>
                <w:tab w:val="clear" w:pos="-1080"/>
                <w:tab w:val="clear" w:pos="-720"/>
                <w:tab w:val="clear" w:pos="0"/>
                <w:tab w:val="clear" w:pos="270"/>
                <w:tab w:val="clear" w:pos="2160"/>
                <w:tab w:val="clear" w:pos="2880"/>
                <w:tab w:val="clear" w:pos="11520"/>
                <w:tab w:val="clear" w:pos="12240"/>
                <w:tab w:val="clear" w:pos="12960"/>
                <w:tab w:val="clear" w:pos="13680"/>
                <w:tab w:val="clear" w:pos="14400"/>
              </w:tabs>
              <w:spacing w:line="240" w:lineRule="auto"/>
              <w:jc w:val="center"/>
              <w:rPr>
                <w:color w:val="FFFFFF" w:themeColor="background1"/>
              </w:rPr>
            </w:pPr>
            <w:r w:rsidRPr="00926E85">
              <w:rPr>
                <w:color w:val="FFFFFF" w:themeColor="background1"/>
              </w:rPr>
              <w:t xml:space="preserve">in the 1999 Update, 2009 Draft and the 2013 </w:t>
            </w:r>
            <w:bookmarkEnd w:id="28"/>
            <w:r w:rsidRPr="00926E85">
              <w:rPr>
                <w:color w:val="FFFFFF" w:themeColor="background1"/>
              </w:rPr>
              <w:t>EPA criteria</w:t>
            </w:r>
          </w:p>
          <w:p w:rsidR="006A37B4" w:rsidRPr="006A37B4" w:rsidRDefault="006A37B4" w:rsidP="006A37B4">
            <w:pPr>
              <w:jc w:val="center"/>
              <w:rPr>
                <w:rFonts w:ascii="Arial" w:hAnsi="Arial" w:cs="Arial"/>
                <w:color w:val="FFFFFF" w:themeColor="background1"/>
              </w:rPr>
            </w:pPr>
          </w:p>
        </w:tc>
      </w:tr>
      <w:tr w:rsidR="00864DAE" w:rsidRPr="00864DAE" w:rsidTr="00926E85">
        <w:tblPrEx>
          <w:jc w:val="left"/>
          <w:tblCellMar>
            <w:left w:w="108" w:type="dxa"/>
            <w:right w:w="108" w:type="dxa"/>
          </w:tblCellMar>
        </w:tblPrEx>
        <w:trPr>
          <w:gridBefore w:val="1"/>
          <w:wBefore w:w="70" w:type="dxa"/>
          <w:trHeight w:val="503"/>
        </w:trPr>
        <w:tc>
          <w:tcPr>
            <w:tcW w:w="4950" w:type="dxa"/>
            <w:gridSpan w:val="3"/>
            <w:tcBorders>
              <w:left w:val="double" w:sz="4" w:space="0" w:color="auto"/>
              <w:right w:val="single" w:sz="24" w:space="0" w:color="auto"/>
            </w:tcBorders>
            <w:shd w:val="clear" w:color="auto" w:fill="B1DDCD"/>
            <w:vAlign w:val="center"/>
          </w:tcPr>
          <w:p w:rsidR="00864DAE" w:rsidRPr="00926E85" w:rsidRDefault="00864DAE" w:rsidP="004D65A8">
            <w:pPr>
              <w:rPr>
                <w:rFonts w:ascii="Arial" w:hAnsi="Arial" w:cs="Arial"/>
              </w:rPr>
            </w:pPr>
            <w:r w:rsidRPr="00926E85">
              <w:rPr>
                <w:rFonts w:ascii="Arial" w:hAnsi="Arial" w:cs="Arial"/>
              </w:rPr>
              <w:t>1999 Update CCC Magnitude</w:t>
            </w:r>
          </w:p>
        </w:tc>
        <w:tc>
          <w:tcPr>
            <w:tcW w:w="4860" w:type="dxa"/>
            <w:gridSpan w:val="3"/>
            <w:tcBorders>
              <w:left w:val="single" w:sz="24" w:space="0" w:color="auto"/>
              <w:right w:val="single" w:sz="24" w:space="0" w:color="auto"/>
            </w:tcBorders>
            <w:shd w:val="clear" w:color="auto" w:fill="B1DDCD"/>
            <w:vAlign w:val="center"/>
          </w:tcPr>
          <w:p w:rsidR="00864DAE" w:rsidRPr="00926E85" w:rsidRDefault="00864DAE" w:rsidP="004D65A8">
            <w:pPr>
              <w:rPr>
                <w:rFonts w:ascii="Arial" w:hAnsi="Arial" w:cs="Arial"/>
              </w:rPr>
            </w:pPr>
            <w:r w:rsidRPr="00926E85">
              <w:rPr>
                <w:rFonts w:ascii="Arial" w:hAnsi="Arial" w:cs="Arial"/>
              </w:rPr>
              <w:t>2009 Draft Update CCC Magnitude</w:t>
            </w:r>
          </w:p>
        </w:tc>
        <w:tc>
          <w:tcPr>
            <w:tcW w:w="3960" w:type="dxa"/>
            <w:gridSpan w:val="3"/>
            <w:tcBorders>
              <w:left w:val="single" w:sz="24" w:space="0" w:color="auto"/>
              <w:right w:val="double" w:sz="4" w:space="0" w:color="auto"/>
            </w:tcBorders>
            <w:shd w:val="clear" w:color="auto" w:fill="B1DDCD"/>
            <w:vAlign w:val="center"/>
          </w:tcPr>
          <w:p w:rsidR="00864DAE" w:rsidRPr="00926E85" w:rsidRDefault="00864DAE" w:rsidP="004D65A8">
            <w:pPr>
              <w:rPr>
                <w:rFonts w:ascii="Arial" w:hAnsi="Arial" w:cs="Arial"/>
              </w:rPr>
            </w:pPr>
            <w:r w:rsidRPr="00926E85">
              <w:rPr>
                <w:rFonts w:ascii="Arial" w:hAnsi="Arial" w:cs="Arial"/>
              </w:rPr>
              <w:t>2013 Final CCC Magnitude</w:t>
            </w:r>
          </w:p>
        </w:tc>
      </w:tr>
      <w:tr w:rsidR="00864DAE" w:rsidRPr="00AA74FB" w:rsidTr="00926E85">
        <w:tblPrEx>
          <w:jc w:val="left"/>
          <w:tblCellMar>
            <w:left w:w="108" w:type="dxa"/>
            <w:right w:w="108" w:type="dxa"/>
          </w:tblCellMar>
        </w:tblPrEx>
        <w:trPr>
          <w:gridBefore w:val="1"/>
          <w:wBefore w:w="70" w:type="dxa"/>
          <w:trHeight w:val="449"/>
        </w:trPr>
        <w:tc>
          <w:tcPr>
            <w:tcW w:w="2340" w:type="dxa"/>
            <w:tcBorders>
              <w:left w:val="double" w:sz="4" w:space="0" w:color="auto"/>
            </w:tcBorders>
            <w:shd w:val="clear" w:color="auto" w:fill="DFF1EB"/>
            <w:vAlign w:val="bottom"/>
          </w:tcPr>
          <w:p w:rsidR="00864DAE" w:rsidRPr="0083082E" w:rsidRDefault="00864DAE" w:rsidP="004D65A8">
            <w:pPr>
              <w:rPr>
                <w:sz w:val="20"/>
                <w:szCs w:val="20"/>
              </w:rPr>
            </w:pPr>
          </w:p>
          <w:p w:rsidR="00864DAE" w:rsidRPr="0083082E" w:rsidRDefault="00864DAE" w:rsidP="004D65A8">
            <w:pPr>
              <w:rPr>
                <w:sz w:val="20"/>
                <w:szCs w:val="20"/>
              </w:rPr>
            </w:pPr>
            <w:r w:rsidRPr="0083082E">
              <w:rPr>
                <w:sz w:val="20"/>
                <w:szCs w:val="20"/>
              </w:rPr>
              <w:t>Species</w:t>
            </w:r>
          </w:p>
        </w:tc>
        <w:tc>
          <w:tcPr>
            <w:tcW w:w="1357" w:type="dxa"/>
            <w:shd w:val="clear" w:color="auto" w:fill="DFF1EB"/>
            <w:vAlign w:val="bottom"/>
          </w:tcPr>
          <w:p w:rsidR="000F4F6A" w:rsidRPr="0083082E" w:rsidRDefault="00864DAE" w:rsidP="00F35913">
            <w:pPr>
              <w:spacing w:line="276" w:lineRule="auto"/>
              <w:jc w:val="center"/>
              <w:rPr>
                <w:sz w:val="20"/>
                <w:szCs w:val="20"/>
                <w:lang w:val="fr-FR"/>
              </w:rPr>
            </w:pPr>
            <w:r w:rsidRPr="0083082E">
              <w:rPr>
                <w:sz w:val="20"/>
                <w:szCs w:val="20"/>
                <w:lang w:val="fr-FR"/>
              </w:rPr>
              <w:t>pH 8.0,</w:t>
            </w:r>
          </w:p>
          <w:p w:rsidR="000F4F6A" w:rsidRPr="0083082E" w:rsidRDefault="00864DAE" w:rsidP="00F35913">
            <w:pPr>
              <w:spacing w:line="276" w:lineRule="auto"/>
              <w:jc w:val="center"/>
              <w:rPr>
                <w:sz w:val="20"/>
                <w:szCs w:val="20"/>
                <w:lang w:val="fr-FR"/>
              </w:rPr>
            </w:pPr>
            <w:r w:rsidRPr="0083082E">
              <w:rPr>
                <w:sz w:val="20"/>
                <w:szCs w:val="20"/>
                <w:lang w:val="fr-FR"/>
              </w:rPr>
              <w:t>T=25</w:t>
            </w:r>
            <w:r w:rsidRPr="0083082E">
              <w:rPr>
                <w:sz w:val="20"/>
                <w:szCs w:val="20"/>
                <w:vertAlign w:val="superscript"/>
                <w:lang w:val="fr-FR"/>
              </w:rPr>
              <w:t>o</w:t>
            </w:r>
            <w:r w:rsidRPr="0083082E">
              <w:rPr>
                <w:sz w:val="20"/>
                <w:szCs w:val="20"/>
                <w:lang w:val="fr-FR"/>
              </w:rPr>
              <w:t>C</w:t>
            </w:r>
          </w:p>
          <w:p w:rsidR="000F4F6A" w:rsidRPr="0083082E" w:rsidRDefault="00864DAE" w:rsidP="00F35913">
            <w:pPr>
              <w:spacing w:line="276" w:lineRule="auto"/>
              <w:jc w:val="center"/>
              <w:rPr>
                <w:sz w:val="20"/>
                <w:szCs w:val="20"/>
                <w:lang w:val="fr-FR"/>
              </w:rPr>
            </w:pPr>
            <w:r w:rsidRPr="0083082E">
              <w:rPr>
                <w:sz w:val="20"/>
                <w:szCs w:val="20"/>
                <w:lang w:val="fr-FR"/>
              </w:rPr>
              <w:t>(mg TAN/L)</w:t>
            </w:r>
          </w:p>
        </w:tc>
        <w:tc>
          <w:tcPr>
            <w:tcW w:w="1253" w:type="dxa"/>
            <w:tcBorders>
              <w:right w:val="single" w:sz="24" w:space="0" w:color="auto"/>
            </w:tcBorders>
            <w:shd w:val="clear" w:color="auto" w:fill="DFF1EB"/>
            <w:vAlign w:val="bottom"/>
          </w:tcPr>
          <w:p w:rsidR="000F4F6A" w:rsidRPr="0083082E" w:rsidRDefault="00864DAE" w:rsidP="00F35913">
            <w:pPr>
              <w:spacing w:line="276" w:lineRule="auto"/>
              <w:jc w:val="center"/>
              <w:rPr>
                <w:sz w:val="20"/>
                <w:szCs w:val="20"/>
                <w:lang w:val="fr-FR"/>
              </w:rPr>
            </w:pPr>
            <w:r w:rsidRPr="0083082E">
              <w:rPr>
                <w:sz w:val="20"/>
                <w:szCs w:val="20"/>
                <w:lang w:val="fr-FR"/>
              </w:rPr>
              <w:t>pH 7.0,</w:t>
            </w:r>
          </w:p>
          <w:p w:rsidR="000F4F6A" w:rsidRPr="0083082E" w:rsidRDefault="00864DAE" w:rsidP="00F35913">
            <w:pPr>
              <w:spacing w:line="276" w:lineRule="auto"/>
              <w:jc w:val="center"/>
              <w:rPr>
                <w:sz w:val="20"/>
                <w:szCs w:val="20"/>
                <w:lang w:val="fr-FR"/>
              </w:rPr>
            </w:pPr>
            <w:r w:rsidRPr="0083082E">
              <w:rPr>
                <w:sz w:val="20"/>
                <w:szCs w:val="20"/>
                <w:lang w:val="fr-FR"/>
              </w:rPr>
              <w:t>T=20</w:t>
            </w:r>
            <w:r w:rsidRPr="0083082E">
              <w:rPr>
                <w:sz w:val="20"/>
                <w:szCs w:val="20"/>
                <w:vertAlign w:val="superscript"/>
                <w:lang w:val="fr-FR"/>
              </w:rPr>
              <w:t>o</w:t>
            </w:r>
            <w:r w:rsidRPr="0083082E">
              <w:rPr>
                <w:sz w:val="20"/>
                <w:szCs w:val="20"/>
                <w:lang w:val="fr-FR"/>
              </w:rPr>
              <w:t>C</w:t>
            </w:r>
          </w:p>
          <w:p w:rsidR="000F4F6A" w:rsidRPr="0083082E" w:rsidRDefault="00864DAE" w:rsidP="00F35913">
            <w:pPr>
              <w:spacing w:line="276" w:lineRule="auto"/>
              <w:jc w:val="center"/>
              <w:rPr>
                <w:sz w:val="20"/>
                <w:szCs w:val="20"/>
                <w:lang w:val="fr-FR"/>
              </w:rPr>
            </w:pPr>
            <w:r w:rsidRPr="0083082E">
              <w:rPr>
                <w:sz w:val="20"/>
                <w:szCs w:val="20"/>
                <w:lang w:val="fr-FR"/>
              </w:rPr>
              <w:t>(mg TAN/L)</w:t>
            </w:r>
          </w:p>
        </w:tc>
        <w:tc>
          <w:tcPr>
            <w:tcW w:w="1890" w:type="dxa"/>
            <w:tcBorders>
              <w:left w:val="single" w:sz="24" w:space="0" w:color="auto"/>
            </w:tcBorders>
            <w:shd w:val="clear" w:color="auto" w:fill="DFF1EB"/>
            <w:vAlign w:val="bottom"/>
          </w:tcPr>
          <w:p w:rsidR="00864DAE" w:rsidRPr="0083082E" w:rsidRDefault="00864DAE" w:rsidP="004D65A8">
            <w:pPr>
              <w:rPr>
                <w:sz w:val="20"/>
                <w:szCs w:val="20"/>
                <w:lang w:val="fr-FR"/>
              </w:rPr>
            </w:pPr>
          </w:p>
          <w:p w:rsidR="00864DAE" w:rsidRPr="0083082E" w:rsidRDefault="00864DAE" w:rsidP="004D65A8">
            <w:pPr>
              <w:rPr>
                <w:sz w:val="20"/>
                <w:szCs w:val="20"/>
              </w:rPr>
            </w:pPr>
            <w:r w:rsidRPr="0083082E">
              <w:rPr>
                <w:sz w:val="20"/>
                <w:szCs w:val="20"/>
              </w:rPr>
              <w:t>Species</w:t>
            </w:r>
          </w:p>
        </w:tc>
        <w:tc>
          <w:tcPr>
            <w:tcW w:w="1357" w:type="dxa"/>
            <w:shd w:val="clear" w:color="auto" w:fill="DFF1EB"/>
            <w:vAlign w:val="bottom"/>
          </w:tcPr>
          <w:p w:rsidR="000F4F6A" w:rsidRPr="0083082E" w:rsidRDefault="00864DAE" w:rsidP="00F35913">
            <w:pPr>
              <w:spacing w:line="276" w:lineRule="auto"/>
              <w:jc w:val="center"/>
              <w:rPr>
                <w:sz w:val="20"/>
                <w:szCs w:val="20"/>
                <w:lang w:val="fr-FR"/>
              </w:rPr>
            </w:pPr>
            <w:r w:rsidRPr="0083082E">
              <w:rPr>
                <w:sz w:val="20"/>
                <w:szCs w:val="20"/>
                <w:lang w:val="fr-FR"/>
              </w:rPr>
              <w:t>pH 8.0,</w:t>
            </w:r>
          </w:p>
          <w:p w:rsidR="000F4F6A" w:rsidRPr="0083082E" w:rsidRDefault="00864DAE" w:rsidP="00F35913">
            <w:pPr>
              <w:spacing w:line="276" w:lineRule="auto"/>
              <w:jc w:val="center"/>
              <w:rPr>
                <w:sz w:val="20"/>
                <w:szCs w:val="20"/>
                <w:lang w:val="fr-FR"/>
              </w:rPr>
            </w:pPr>
            <w:r w:rsidRPr="0083082E">
              <w:rPr>
                <w:sz w:val="20"/>
                <w:szCs w:val="20"/>
                <w:lang w:val="fr-FR"/>
              </w:rPr>
              <w:t>T=25</w:t>
            </w:r>
            <w:r w:rsidRPr="0083082E">
              <w:rPr>
                <w:sz w:val="20"/>
                <w:szCs w:val="20"/>
                <w:vertAlign w:val="superscript"/>
                <w:lang w:val="fr-FR"/>
              </w:rPr>
              <w:t>o</w:t>
            </w:r>
            <w:r w:rsidRPr="0083082E">
              <w:rPr>
                <w:sz w:val="20"/>
                <w:szCs w:val="20"/>
                <w:lang w:val="fr-FR"/>
              </w:rPr>
              <w:t>C</w:t>
            </w:r>
          </w:p>
          <w:p w:rsidR="000F4F6A" w:rsidRPr="0083082E" w:rsidRDefault="00864DAE" w:rsidP="00F35913">
            <w:pPr>
              <w:spacing w:line="276" w:lineRule="auto"/>
              <w:jc w:val="center"/>
              <w:rPr>
                <w:sz w:val="20"/>
                <w:szCs w:val="20"/>
                <w:lang w:val="fr-FR"/>
              </w:rPr>
            </w:pPr>
            <w:r w:rsidRPr="0083082E">
              <w:rPr>
                <w:sz w:val="20"/>
                <w:szCs w:val="20"/>
                <w:lang w:val="fr-FR"/>
              </w:rPr>
              <w:t>(mg TAN/L)</w:t>
            </w:r>
          </w:p>
        </w:tc>
        <w:tc>
          <w:tcPr>
            <w:tcW w:w="1613" w:type="dxa"/>
            <w:tcBorders>
              <w:right w:val="single" w:sz="24" w:space="0" w:color="auto"/>
            </w:tcBorders>
            <w:shd w:val="clear" w:color="auto" w:fill="DFF1EB"/>
            <w:vAlign w:val="bottom"/>
          </w:tcPr>
          <w:p w:rsidR="000F4F6A" w:rsidRPr="0083082E" w:rsidRDefault="00864DAE" w:rsidP="00F35913">
            <w:pPr>
              <w:spacing w:line="276" w:lineRule="auto"/>
              <w:jc w:val="center"/>
              <w:rPr>
                <w:sz w:val="20"/>
                <w:szCs w:val="20"/>
                <w:lang w:val="fr-FR"/>
              </w:rPr>
            </w:pPr>
            <w:r w:rsidRPr="0083082E">
              <w:rPr>
                <w:sz w:val="20"/>
                <w:szCs w:val="20"/>
                <w:lang w:val="fr-FR"/>
              </w:rPr>
              <w:t>pH 7.0,</w:t>
            </w:r>
          </w:p>
          <w:p w:rsidR="000F4F6A" w:rsidRPr="0083082E" w:rsidRDefault="00864DAE" w:rsidP="00F35913">
            <w:pPr>
              <w:spacing w:line="276" w:lineRule="auto"/>
              <w:jc w:val="center"/>
              <w:rPr>
                <w:sz w:val="20"/>
                <w:szCs w:val="20"/>
                <w:lang w:val="fr-FR"/>
              </w:rPr>
            </w:pPr>
            <w:r w:rsidRPr="0083082E">
              <w:rPr>
                <w:sz w:val="20"/>
                <w:szCs w:val="20"/>
                <w:lang w:val="fr-FR"/>
              </w:rPr>
              <w:t>T=20</w:t>
            </w:r>
            <w:r w:rsidRPr="0083082E">
              <w:rPr>
                <w:sz w:val="20"/>
                <w:szCs w:val="20"/>
                <w:vertAlign w:val="superscript"/>
                <w:lang w:val="fr-FR"/>
              </w:rPr>
              <w:t>o</w:t>
            </w:r>
            <w:r w:rsidRPr="0083082E">
              <w:rPr>
                <w:sz w:val="20"/>
                <w:szCs w:val="20"/>
                <w:lang w:val="fr-FR"/>
              </w:rPr>
              <w:t>C</w:t>
            </w:r>
          </w:p>
          <w:p w:rsidR="000F4F6A" w:rsidRPr="0083082E" w:rsidRDefault="00864DAE" w:rsidP="00F35913">
            <w:pPr>
              <w:spacing w:line="276" w:lineRule="auto"/>
              <w:jc w:val="center"/>
              <w:rPr>
                <w:sz w:val="20"/>
                <w:szCs w:val="20"/>
                <w:lang w:val="fr-FR"/>
              </w:rPr>
            </w:pPr>
            <w:r w:rsidRPr="0083082E">
              <w:rPr>
                <w:sz w:val="20"/>
                <w:szCs w:val="20"/>
                <w:lang w:val="fr-FR"/>
              </w:rPr>
              <w:t>(mg TAN/L)</w:t>
            </w:r>
          </w:p>
        </w:tc>
        <w:tc>
          <w:tcPr>
            <w:tcW w:w="1890" w:type="dxa"/>
            <w:tcBorders>
              <w:left w:val="single" w:sz="24" w:space="0" w:color="auto"/>
            </w:tcBorders>
            <w:shd w:val="clear" w:color="auto" w:fill="DFF1EB"/>
            <w:vAlign w:val="bottom"/>
          </w:tcPr>
          <w:p w:rsidR="00864DAE" w:rsidRPr="0083082E" w:rsidRDefault="00864DAE" w:rsidP="004D65A8">
            <w:pPr>
              <w:rPr>
                <w:sz w:val="20"/>
                <w:szCs w:val="20"/>
                <w:lang w:val="fr-FR"/>
              </w:rPr>
            </w:pPr>
          </w:p>
          <w:p w:rsidR="00864DAE" w:rsidRPr="0083082E" w:rsidRDefault="00864DAE" w:rsidP="004D65A8">
            <w:pPr>
              <w:rPr>
                <w:sz w:val="20"/>
                <w:szCs w:val="20"/>
              </w:rPr>
            </w:pPr>
            <w:r w:rsidRPr="0083082E">
              <w:rPr>
                <w:sz w:val="20"/>
                <w:szCs w:val="20"/>
              </w:rPr>
              <w:t>Species</w:t>
            </w:r>
          </w:p>
        </w:tc>
        <w:tc>
          <w:tcPr>
            <w:tcW w:w="2070" w:type="dxa"/>
            <w:gridSpan w:val="2"/>
            <w:tcBorders>
              <w:right w:val="double" w:sz="4" w:space="0" w:color="auto"/>
            </w:tcBorders>
            <w:shd w:val="clear" w:color="auto" w:fill="DFF1EB"/>
            <w:vAlign w:val="bottom"/>
          </w:tcPr>
          <w:p w:rsidR="000F4F6A" w:rsidRPr="0083082E" w:rsidRDefault="00864DAE" w:rsidP="00F35913">
            <w:pPr>
              <w:spacing w:line="276" w:lineRule="auto"/>
              <w:jc w:val="center"/>
              <w:rPr>
                <w:sz w:val="20"/>
                <w:szCs w:val="20"/>
                <w:lang w:val="fr-FR"/>
              </w:rPr>
            </w:pPr>
            <w:r w:rsidRPr="0083082E">
              <w:rPr>
                <w:sz w:val="20"/>
                <w:szCs w:val="20"/>
                <w:lang w:val="fr-FR"/>
              </w:rPr>
              <w:t>pH 7.0,</w:t>
            </w:r>
          </w:p>
          <w:p w:rsidR="000F4F6A" w:rsidRPr="0083082E" w:rsidRDefault="00864DAE" w:rsidP="00F35913">
            <w:pPr>
              <w:spacing w:line="276" w:lineRule="auto"/>
              <w:jc w:val="center"/>
              <w:rPr>
                <w:sz w:val="20"/>
                <w:szCs w:val="20"/>
                <w:lang w:val="fr-FR"/>
              </w:rPr>
            </w:pPr>
            <w:r w:rsidRPr="0083082E">
              <w:rPr>
                <w:sz w:val="20"/>
                <w:szCs w:val="20"/>
                <w:lang w:val="fr-FR"/>
              </w:rPr>
              <w:t>T=20</w:t>
            </w:r>
            <w:r w:rsidRPr="0083082E">
              <w:rPr>
                <w:sz w:val="20"/>
                <w:szCs w:val="20"/>
                <w:vertAlign w:val="superscript"/>
                <w:lang w:val="fr-FR"/>
              </w:rPr>
              <w:t>o</w:t>
            </w:r>
            <w:r w:rsidRPr="0083082E">
              <w:rPr>
                <w:sz w:val="20"/>
                <w:szCs w:val="20"/>
                <w:lang w:val="fr-FR"/>
              </w:rPr>
              <w:t>C</w:t>
            </w:r>
          </w:p>
          <w:p w:rsidR="000F4F6A" w:rsidRPr="0083082E" w:rsidRDefault="00864DAE" w:rsidP="00F35913">
            <w:pPr>
              <w:spacing w:line="276" w:lineRule="auto"/>
              <w:jc w:val="center"/>
              <w:rPr>
                <w:sz w:val="20"/>
                <w:szCs w:val="20"/>
                <w:lang w:val="fr-FR"/>
              </w:rPr>
            </w:pPr>
            <w:r w:rsidRPr="0083082E">
              <w:rPr>
                <w:sz w:val="20"/>
                <w:szCs w:val="20"/>
                <w:lang w:val="fr-FR"/>
              </w:rPr>
              <w:t>(mg TAN/L)</w:t>
            </w:r>
          </w:p>
        </w:tc>
      </w:tr>
      <w:tr w:rsidR="00864DAE" w:rsidRPr="00864DAE" w:rsidTr="00926E85">
        <w:tblPrEx>
          <w:jc w:val="left"/>
          <w:tblCellMar>
            <w:left w:w="108" w:type="dxa"/>
            <w:right w:w="108" w:type="dxa"/>
          </w:tblCellMar>
        </w:tblPrEx>
        <w:trPr>
          <w:gridBefore w:val="1"/>
          <w:wBefore w:w="70" w:type="dxa"/>
          <w:trHeight w:val="818"/>
        </w:trPr>
        <w:tc>
          <w:tcPr>
            <w:tcW w:w="2340" w:type="dxa"/>
            <w:tcBorders>
              <w:left w:val="double" w:sz="4" w:space="0" w:color="auto"/>
            </w:tcBorders>
            <w:vAlign w:val="center"/>
          </w:tcPr>
          <w:p w:rsidR="00864DAE" w:rsidRPr="0083082E" w:rsidRDefault="00864DAE" w:rsidP="004D65A8">
            <w:pPr>
              <w:rPr>
                <w:sz w:val="20"/>
                <w:szCs w:val="20"/>
              </w:rPr>
            </w:pPr>
            <w:r w:rsidRPr="0083082E">
              <w:rPr>
                <w:sz w:val="20"/>
                <w:szCs w:val="20"/>
              </w:rPr>
              <w:t>Fathead minnow, Pimephales promelas</w:t>
            </w:r>
          </w:p>
        </w:tc>
        <w:tc>
          <w:tcPr>
            <w:tcW w:w="1357" w:type="dxa"/>
            <w:vAlign w:val="center"/>
          </w:tcPr>
          <w:p w:rsidR="000F4F6A" w:rsidRPr="0083082E" w:rsidRDefault="00864DAE" w:rsidP="00F35913">
            <w:pPr>
              <w:spacing w:line="276" w:lineRule="auto"/>
              <w:jc w:val="center"/>
              <w:rPr>
                <w:sz w:val="20"/>
                <w:szCs w:val="20"/>
              </w:rPr>
            </w:pPr>
            <w:r w:rsidRPr="0083082E">
              <w:rPr>
                <w:sz w:val="20"/>
                <w:szCs w:val="20"/>
              </w:rPr>
              <w:t>3.09</w:t>
            </w:r>
          </w:p>
        </w:tc>
        <w:tc>
          <w:tcPr>
            <w:tcW w:w="1253" w:type="dxa"/>
            <w:tcBorders>
              <w:right w:val="single" w:sz="24" w:space="0" w:color="auto"/>
            </w:tcBorders>
            <w:vAlign w:val="center"/>
          </w:tcPr>
          <w:p w:rsidR="000F4F6A" w:rsidRPr="0083082E" w:rsidRDefault="00864DAE" w:rsidP="00F35913">
            <w:pPr>
              <w:spacing w:line="276" w:lineRule="auto"/>
              <w:jc w:val="center"/>
              <w:rPr>
                <w:sz w:val="20"/>
                <w:szCs w:val="20"/>
              </w:rPr>
            </w:pPr>
            <w:r w:rsidRPr="0083082E">
              <w:rPr>
                <w:sz w:val="20"/>
                <w:szCs w:val="20"/>
              </w:rPr>
              <w:t>7.503</w:t>
            </w:r>
          </w:p>
        </w:tc>
        <w:tc>
          <w:tcPr>
            <w:tcW w:w="1890" w:type="dxa"/>
            <w:tcBorders>
              <w:left w:val="single" w:sz="24" w:space="0" w:color="auto"/>
            </w:tcBorders>
            <w:vAlign w:val="center"/>
          </w:tcPr>
          <w:p w:rsidR="00864DAE" w:rsidRPr="0083082E" w:rsidRDefault="00864DAE" w:rsidP="004D65A8">
            <w:pPr>
              <w:rPr>
                <w:sz w:val="20"/>
                <w:szCs w:val="20"/>
              </w:rPr>
            </w:pPr>
            <w:r w:rsidRPr="0083082E">
              <w:rPr>
                <w:sz w:val="20"/>
                <w:szCs w:val="20"/>
              </w:rPr>
              <w:t>Long fingernail clam, Musculium transversum</w:t>
            </w:r>
          </w:p>
        </w:tc>
        <w:tc>
          <w:tcPr>
            <w:tcW w:w="1357" w:type="dxa"/>
            <w:vAlign w:val="center"/>
          </w:tcPr>
          <w:p w:rsidR="000F4F6A" w:rsidRPr="0083082E" w:rsidRDefault="00864DAE" w:rsidP="00F35913">
            <w:pPr>
              <w:spacing w:line="276" w:lineRule="auto"/>
              <w:jc w:val="center"/>
              <w:rPr>
                <w:sz w:val="20"/>
                <w:szCs w:val="20"/>
              </w:rPr>
            </w:pPr>
            <w:r w:rsidRPr="0083082E">
              <w:rPr>
                <w:sz w:val="20"/>
                <w:szCs w:val="20"/>
              </w:rPr>
              <w:t>&lt;2.260</w:t>
            </w:r>
          </w:p>
        </w:tc>
        <w:tc>
          <w:tcPr>
            <w:tcW w:w="1613" w:type="dxa"/>
            <w:tcBorders>
              <w:right w:val="single" w:sz="24" w:space="0" w:color="auto"/>
            </w:tcBorders>
            <w:vAlign w:val="center"/>
          </w:tcPr>
          <w:p w:rsidR="000F4F6A" w:rsidRPr="0083082E" w:rsidRDefault="00864DAE" w:rsidP="00F35913">
            <w:pPr>
              <w:spacing w:line="276" w:lineRule="auto"/>
              <w:jc w:val="center"/>
              <w:rPr>
                <w:sz w:val="20"/>
                <w:szCs w:val="20"/>
              </w:rPr>
            </w:pPr>
            <w:r w:rsidRPr="0083082E">
              <w:rPr>
                <w:sz w:val="20"/>
                <w:szCs w:val="20"/>
              </w:rPr>
              <w:t>7.552</w:t>
            </w:r>
          </w:p>
        </w:tc>
        <w:tc>
          <w:tcPr>
            <w:tcW w:w="1890" w:type="dxa"/>
            <w:tcBorders>
              <w:left w:val="single" w:sz="24" w:space="0" w:color="auto"/>
            </w:tcBorders>
            <w:vAlign w:val="center"/>
          </w:tcPr>
          <w:p w:rsidR="00864DAE" w:rsidRPr="0083082E" w:rsidRDefault="00864DAE" w:rsidP="004D65A8">
            <w:pPr>
              <w:rPr>
                <w:sz w:val="20"/>
                <w:szCs w:val="20"/>
              </w:rPr>
            </w:pPr>
            <w:r w:rsidRPr="0083082E">
              <w:rPr>
                <w:sz w:val="20"/>
                <w:szCs w:val="20"/>
              </w:rPr>
              <w:t xml:space="preserve">Long fingernail clam, </w:t>
            </w:r>
            <w:r w:rsidRPr="0083082E">
              <w:rPr>
                <w:i/>
                <w:sz w:val="20"/>
                <w:szCs w:val="20"/>
              </w:rPr>
              <w:t>Musculium transversum</w:t>
            </w:r>
          </w:p>
        </w:tc>
        <w:tc>
          <w:tcPr>
            <w:tcW w:w="2070" w:type="dxa"/>
            <w:gridSpan w:val="2"/>
            <w:tcBorders>
              <w:right w:val="double" w:sz="4" w:space="0" w:color="auto"/>
            </w:tcBorders>
            <w:vAlign w:val="center"/>
          </w:tcPr>
          <w:p w:rsidR="000F4F6A" w:rsidRPr="0083082E" w:rsidRDefault="00864DAE" w:rsidP="00F35913">
            <w:pPr>
              <w:spacing w:line="276" w:lineRule="auto"/>
              <w:jc w:val="center"/>
              <w:rPr>
                <w:sz w:val="20"/>
                <w:szCs w:val="20"/>
              </w:rPr>
            </w:pPr>
            <w:r w:rsidRPr="0083082E">
              <w:rPr>
                <w:sz w:val="20"/>
                <w:szCs w:val="20"/>
              </w:rPr>
              <w:t>7.547</w:t>
            </w:r>
          </w:p>
        </w:tc>
      </w:tr>
      <w:tr w:rsidR="00864DAE" w:rsidRPr="00864DAE" w:rsidTr="00926E85">
        <w:tblPrEx>
          <w:jc w:val="left"/>
          <w:tblCellMar>
            <w:left w:w="108" w:type="dxa"/>
            <w:right w:w="108" w:type="dxa"/>
          </w:tblCellMar>
        </w:tblPrEx>
        <w:trPr>
          <w:gridBefore w:val="1"/>
          <w:wBefore w:w="70" w:type="dxa"/>
        </w:trPr>
        <w:tc>
          <w:tcPr>
            <w:tcW w:w="2340" w:type="dxa"/>
            <w:tcBorders>
              <w:left w:val="double" w:sz="4" w:space="0" w:color="auto"/>
            </w:tcBorders>
            <w:vAlign w:val="center"/>
          </w:tcPr>
          <w:p w:rsidR="00864DAE" w:rsidRPr="0083082E" w:rsidRDefault="00864DAE" w:rsidP="004D65A8">
            <w:pPr>
              <w:rPr>
                <w:sz w:val="20"/>
                <w:szCs w:val="20"/>
              </w:rPr>
            </w:pPr>
            <w:r w:rsidRPr="0083082E">
              <w:rPr>
                <w:i/>
                <w:sz w:val="20"/>
                <w:szCs w:val="20"/>
              </w:rPr>
              <w:t>Lepomis</w:t>
            </w:r>
            <w:r w:rsidRPr="0083082E">
              <w:rPr>
                <w:sz w:val="20"/>
                <w:szCs w:val="20"/>
              </w:rPr>
              <w:t xml:space="preserve"> sp. (Centrarchidae), includes: Bluegill sunfish, </w:t>
            </w:r>
          </w:p>
          <w:p w:rsidR="00864DAE" w:rsidRPr="0083082E" w:rsidRDefault="00864DAE" w:rsidP="004D65A8">
            <w:pPr>
              <w:rPr>
                <w:sz w:val="20"/>
                <w:szCs w:val="20"/>
              </w:rPr>
            </w:pPr>
            <w:r w:rsidRPr="0083082E">
              <w:rPr>
                <w:i/>
                <w:sz w:val="20"/>
                <w:szCs w:val="20"/>
              </w:rPr>
              <w:t>L. macrochirus</w:t>
            </w:r>
            <w:r w:rsidRPr="0083082E">
              <w:rPr>
                <w:sz w:val="20"/>
                <w:szCs w:val="20"/>
              </w:rPr>
              <w:t xml:space="preserve">, and Green sunfish, </w:t>
            </w:r>
          </w:p>
          <w:p w:rsidR="00864DAE" w:rsidRPr="0083082E" w:rsidRDefault="00864DAE" w:rsidP="004D65A8">
            <w:pPr>
              <w:rPr>
                <w:sz w:val="20"/>
                <w:szCs w:val="20"/>
              </w:rPr>
            </w:pPr>
            <w:r w:rsidRPr="0083082E">
              <w:rPr>
                <w:sz w:val="20"/>
                <w:szCs w:val="20"/>
              </w:rPr>
              <w:t>L. cyanellus</w:t>
            </w:r>
          </w:p>
        </w:tc>
        <w:tc>
          <w:tcPr>
            <w:tcW w:w="1357" w:type="dxa"/>
            <w:vAlign w:val="center"/>
          </w:tcPr>
          <w:p w:rsidR="000F4F6A" w:rsidRPr="0083082E" w:rsidRDefault="00864DAE" w:rsidP="00F35913">
            <w:pPr>
              <w:spacing w:line="276" w:lineRule="auto"/>
              <w:jc w:val="center"/>
              <w:rPr>
                <w:sz w:val="20"/>
                <w:szCs w:val="20"/>
              </w:rPr>
            </w:pPr>
            <w:r w:rsidRPr="0083082E">
              <w:rPr>
                <w:sz w:val="20"/>
                <w:szCs w:val="20"/>
              </w:rPr>
              <w:t>2.85</w:t>
            </w:r>
          </w:p>
        </w:tc>
        <w:tc>
          <w:tcPr>
            <w:tcW w:w="1253" w:type="dxa"/>
            <w:tcBorders>
              <w:right w:val="single" w:sz="24" w:space="0" w:color="auto"/>
            </w:tcBorders>
            <w:vAlign w:val="center"/>
          </w:tcPr>
          <w:p w:rsidR="000F4F6A" w:rsidRPr="0083082E" w:rsidRDefault="00864DAE" w:rsidP="00F35913">
            <w:pPr>
              <w:spacing w:line="276" w:lineRule="auto"/>
              <w:jc w:val="center"/>
              <w:rPr>
                <w:sz w:val="20"/>
                <w:szCs w:val="20"/>
              </w:rPr>
            </w:pPr>
            <w:r w:rsidRPr="0083082E">
              <w:rPr>
                <w:sz w:val="20"/>
                <w:szCs w:val="20"/>
              </w:rPr>
              <w:t>6.92</w:t>
            </w:r>
          </w:p>
        </w:tc>
        <w:tc>
          <w:tcPr>
            <w:tcW w:w="1890" w:type="dxa"/>
            <w:tcBorders>
              <w:left w:val="single" w:sz="24" w:space="0" w:color="auto"/>
            </w:tcBorders>
            <w:vAlign w:val="center"/>
          </w:tcPr>
          <w:p w:rsidR="00864DAE" w:rsidRPr="0083082E" w:rsidRDefault="00864DAE" w:rsidP="004D65A8">
            <w:pPr>
              <w:rPr>
                <w:sz w:val="20"/>
                <w:szCs w:val="20"/>
              </w:rPr>
            </w:pPr>
            <w:r w:rsidRPr="0083082E">
              <w:rPr>
                <w:i/>
                <w:sz w:val="20"/>
                <w:szCs w:val="20"/>
              </w:rPr>
              <w:t>Lepomis</w:t>
            </w:r>
            <w:r w:rsidRPr="0083082E">
              <w:rPr>
                <w:sz w:val="20"/>
                <w:szCs w:val="20"/>
              </w:rPr>
              <w:t xml:space="preserve"> sp. (Centrarchidae), includes: Bluegill sunfish, </w:t>
            </w:r>
          </w:p>
          <w:p w:rsidR="00864DAE" w:rsidRPr="0083082E" w:rsidRDefault="00864DAE" w:rsidP="004D65A8">
            <w:pPr>
              <w:rPr>
                <w:sz w:val="20"/>
                <w:szCs w:val="20"/>
              </w:rPr>
            </w:pPr>
            <w:r w:rsidRPr="0083082E">
              <w:rPr>
                <w:i/>
                <w:sz w:val="20"/>
                <w:szCs w:val="20"/>
              </w:rPr>
              <w:t>L. macrochirus</w:t>
            </w:r>
            <w:r w:rsidRPr="0083082E">
              <w:rPr>
                <w:sz w:val="20"/>
                <w:szCs w:val="20"/>
              </w:rPr>
              <w:t xml:space="preserve">, and Green sunfish, </w:t>
            </w:r>
          </w:p>
          <w:p w:rsidR="00864DAE" w:rsidRPr="0083082E" w:rsidRDefault="00864DAE" w:rsidP="004D65A8">
            <w:pPr>
              <w:rPr>
                <w:sz w:val="20"/>
                <w:szCs w:val="20"/>
              </w:rPr>
            </w:pPr>
            <w:r w:rsidRPr="0083082E">
              <w:rPr>
                <w:sz w:val="20"/>
                <w:szCs w:val="20"/>
              </w:rPr>
              <w:t xml:space="preserve">L. cyanellus </w:t>
            </w:r>
          </w:p>
        </w:tc>
        <w:tc>
          <w:tcPr>
            <w:tcW w:w="1357" w:type="dxa"/>
            <w:vAlign w:val="center"/>
          </w:tcPr>
          <w:p w:rsidR="000F4F6A" w:rsidRPr="0083082E" w:rsidRDefault="00864DAE" w:rsidP="00F35913">
            <w:pPr>
              <w:spacing w:line="276" w:lineRule="auto"/>
              <w:jc w:val="center"/>
              <w:rPr>
                <w:sz w:val="20"/>
                <w:szCs w:val="20"/>
              </w:rPr>
            </w:pPr>
            <w:r w:rsidRPr="0083082E">
              <w:rPr>
                <w:sz w:val="20"/>
                <w:szCs w:val="20"/>
              </w:rPr>
              <w:t>2.852</w:t>
            </w:r>
          </w:p>
        </w:tc>
        <w:tc>
          <w:tcPr>
            <w:tcW w:w="1613" w:type="dxa"/>
            <w:tcBorders>
              <w:right w:val="single" w:sz="24" w:space="0" w:color="auto"/>
            </w:tcBorders>
            <w:vAlign w:val="center"/>
          </w:tcPr>
          <w:p w:rsidR="000F4F6A" w:rsidRPr="0083082E" w:rsidRDefault="00864DAE" w:rsidP="00F35913">
            <w:pPr>
              <w:spacing w:line="276" w:lineRule="auto"/>
              <w:jc w:val="center"/>
              <w:rPr>
                <w:sz w:val="20"/>
                <w:szCs w:val="20"/>
              </w:rPr>
            </w:pPr>
            <w:r w:rsidRPr="0083082E">
              <w:rPr>
                <w:sz w:val="20"/>
                <w:szCs w:val="20"/>
              </w:rPr>
              <w:t>6.924</w:t>
            </w:r>
          </w:p>
        </w:tc>
        <w:tc>
          <w:tcPr>
            <w:tcW w:w="1890" w:type="dxa"/>
            <w:tcBorders>
              <w:left w:val="single" w:sz="24" w:space="0" w:color="auto"/>
            </w:tcBorders>
            <w:vAlign w:val="center"/>
          </w:tcPr>
          <w:p w:rsidR="00864DAE" w:rsidRPr="0083082E" w:rsidRDefault="00864DAE" w:rsidP="004D65A8">
            <w:pPr>
              <w:rPr>
                <w:sz w:val="20"/>
                <w:szCs w:val="20"/>
              </w:rPr>
            </w:pPr>
            <w:r w:rsidRPr="0083082E">
              <w:rPr>
                <w:i/>
                <w:sz w:val="20"/>
                <w:szCs w:val="20"/>
              </w:rPr>
              <w:t>Lepomis</w:t>
            </w:r>
            <w:r w:rsidRPr="0083082E">
              <w:rPr>
                <w:sz w:val="20"/>
                <w:szCs w:val="20"/>
              </w:rPr>
              <w:t xml:space="preserve"> sp. (Centrarchidae), includes: Bluegill sunfish, </w:t>
            </w:r>
          </w:p>
          <w:p w:rsidR="00864DAE" w:rsidRPr="0083082E" w:rsidRDefault="00864DAE" w:rsidP="004D65A8">
            <w:pPr>
              <w:rPr>
                <w:sz w:val="20"/>
                <w:szCs w:val="20"/>
              </w:rPr>
            </w:pPr>
            <w:r w:rsidRPr="0083082E">
              <w:rPr>
                <w:i/>
                <w:sz w:val="20"/>
                <w:szCs w:val="20"/>
              </w:rPr>
              <w:t>L. macrochirus</w:t>
            </w:r>
            <w:r w:rsidRPr="0083082E">
              <w:rPr>
                <w:sz w:val="20"/>
                <w:szCs w:val="20"/>
              </w:rPr>
              <w:t xml:space="preserve">, and Green sunfish, </w:t>
            </w:r>
          </w:p>
          <w:p w:rsidR="00864DAE" w:rsidRPr="0083082E" w:rsidRDefault="00864DAE" w:rsidP="004D65A8">
            <w:pPr>
              <w:rPr>
                <w:sz w:val="20"/>
                <w:szCs w:val="20"/>
              </w:rPr>
            </w:pPr>
            <w:r w:rsidRPr="0083082E">
              <w:rPr>
                <w:sz w:val="20"/>
                <w:szCs w:val="20"/>
              </w:rPr>
              <w:t>L. cyanellus</w:t>
            </w:r>
          </w:p>
        </w:tc>
        <w:tc>
          <w:tcPr>
            <w:tcW w:w="2070" w:type="dxa"/>
            <w:gridSpan w:val="2"/>
            <w:tcBorders>
              <w:right w:val="double" w:sz="4" w:space="0" w:color="auto"/>
            </w:tcBorders>
            <w:vAlign w:val="center"/>
          </w:tcPr>
          <w:p w:rsidR="000F4F6A" w:rsidRPr="0083082E" w:rsidRDefault="00864DAE" w:rsidP="00F35913">
            <w:pPr>
              <w:spacing w:line="276" w:lineRule="auto"/>
              <w:jc w:val="center"/>
              <w:rPr>
                <w:sz w:val="20"/>
                <w:szCs w:val="20"/>
              </w:rPr>
            </w:pPr>
            <w:r w:rsidRPr="0083082E">
              <w:rPr>
                <w:sz w:val="20"/>
                <w:szCs w:val="20"/>
              </w:rPr>
              <w:t>6.92</w:t>
            </w:r>
          </w:p>
        </w:tc>
      </w:tr>
      <w:tr w:rsidR="00864DAE" w:rsidRPr="00864DAE" w:rsidTr="00926E85">
        <w:tblPrEx>
          <w:jc w:val="left"/>
          <w:tblCellMar>
            <w:left w:w="108" w:type="dxa"/>
            <w:right w:w="108" w:type="dxa"/>
          </w:tblCellMar>
        </w:tblPrEx>
        <w:trPr>
          <w:gridBefore w:val="1"/>
          <w:wBefore w:w="70" w:type="dxa"/>
          <w:trHeight w:val="881"/>
        </w:trPr>
        <w:tc>
          <w:tcPr>
            <w:tcW w:w="2340" w:type="dxa"/>
            <w:tcBorders>
              <w:left w:val="double" w:sz="4" w:space="0" w:color="auto"/>
            </w:tcBorders>
            <w:vAlign w:val="center"/>
          </w:tcPr>
          <w:p w:rsidR="00864DAE" w:rsidRPr="0083082E" w:rsidRDefault="00864DAE" w:rsidP="004D65A8">
            <w:pPr>
              <w:rPr>
                <w:sz w:val="20"/>
                <w:szCs w:val="20"/>
              </w:rPr>
            </w:pPr>
            <w:r w:rsidRPr="0083082E">
              <w:rPr>
                <w:sz w:val="20"/>
                <w:szCs w:val="20"/>
              </w:rPr>
              <w:t xml:space="preserve">Long fingernail clam, </w:t>
            </w:r>
            <w:r w:rsidRPr="0083082E">
              <w:rPr>
                <w:i/>
                <w:sz w:val="20"/>
                <w:szCs w:val="20"/>
              </w:rPr>
              <w:t>Musculium transversum</w:t>
            </w:r>
          </w:p>
        </w:tc>
        <w:tc>
          <w:tcPr>
            <w:tcW w:w="1357" w:type="dxa"/>
            <w:vAlign w:val="center"/>
          </w:tcPr>
          <w:p w:rsidR="000F4F6A" w:rsidRPr="0083082E" w:rsidRDefault="00864DAE" w:rsidP="00F35913">
            <w:pPr>
              <w:spacing w:line="276" w:lineRule="auto"/>
              <w:jc w:val="center"/>
              <w:rPr>
                <w:sz w:val="20"/>
                <w:szCs w:val="20"/>
              </w:rPr>
            </w:pPr>
            <w:r w:rsidRPr="0083082E">
              <w:rPr>
                <w:sz w:val="20"/>
                <w:szCs w:val="20"/>
              </w:rPr>
              <w:t>&lt;2.26</w:t>
            </w:r>
          </w:p>
        </w:tc>
        <w:tc>
          <w:tcPr>
            <w:tcW w:w="1253" w:type="dxa"/>
            <w:tcBorders>
              <w:right w:val="single" w:sz="24" w:space="0" w:color="auto"/>
            </w:tcBorders>
            <w:vAlign w:val="center"/>
          </w:tcPr>
          <w:p w:rsidR="000F4F6A" w:rsidRPr="0083082E" w:rsidRDefault="00864DAE" w:rsidP="00F35913">
            <w:pPr>
              <w:spacing w:line="276" w:lineRule="auto"/>
              <w:jc w:val="center"/>
              <w:rPr>
                <w:sz w:val="20"/>
                <w:szCs w:val="20"/>
              </w:rPr>
            </w:pPr>
            <w:r w:rsidRPr="0083082E">
              <w:rPr>
                <w:sz w:val="20"/>
                <w:szCs w:val="20"/>
              </w:rPr>
              <w:t>7.547</w:t>
            </w:r>
          </w:p>
        </w:tc>
        <w:tc>
          <w:tcPr>
            <w:tcW w:w="1890" w:type="dxa"/>
            <w:tcBorders>
              <w:left w:val="single" w:sz="24" w:space="0" w:color="auto"/>
            </w:tcBorders>
            <w:vAlign w:val="center"/>
          </w:tcPr>
          <w:p w:rsidR="00864DAE" w:rsidRPr="0083082E" w:rsidRDefault="00864DAE" w:rsidP="004D65A8">
            <w:pPr>
              <w:rPr>
                <w:sz w:val="20"/>
                <w:szCs w:val="20"/>
              </w:rPr>
            </w:pPr>
            <w:r w:rsidRPr="0083082E">
              <w:rPr>
                <w:sz w:val="20"/>
                <w:szCs w:val="20"/>
              </w:rPr>
              <w:t>Rainbow mussel,</w:t>
            </w:r>
          </w:p>
          <w:p w:rsidR="00864DAE" w:rsidRPr="0083082E" w:rsidRDefault="00864DAE" w:rsidP="004D65A8">
            <w:pPr>
              <w:rPr>
                <w:sz w:val="20"/>
                <w:szCs w:val="20"/>
              </w:rPr>
            </w:pPr>
            <w:r w:rsidRPr="0083082E">
              <w:rPr>
                <w:sz w:val="20"/>
                <w:szCs w:val="20"/>
              </w:rPr>
              <w:t>Villosa iris</w:t>
            </w:r>
          </w:p>
        </w:tc>
        <w:tc>
          <w:tcPr>
            <w:tcW w:w="1357" w:type="dxa"/>
            <w:vAlign w:val="center"/>
          </w:tcPr>
          <w:p w:rsidR="000F4F6A" w:rsidRPr="0083082E" w:rsidRDefault="00864DAE" w:rsidP="00F35913">
            <w:pPr>
              <w:spacing w:line="276" w:lineRule="auto"/>
              <w:jc w:val="center"/>
              <w:rPr>
                <w:sz w:val="20"/>
                <w:szCs w:val="20"/>
              </w:rPr>
            </w:pPr>
            <w:r w:rsidRPr="0083082E">
              <w:rPr>
                <w:sz w:val="20"/>
                <w:szCs w:val="20"/>
              </w:rPr>
              <w:t>&lt;0.9805</w:t>
            </w:r>
          </w:p>
        </w:tc>
        <w:tc>
          <w:tcPr>
            <w:tcW w:w="1613" w:type="dxa"/>
            <w:tcBorders>
              <w:right w:val="single" w:sz="24" w:space="0" w:color="auto"/>
            </w:tcBorders>
            <w:vAlign w:val="center"/>
          </w:tcPr>
          <w:p w:rsidR="000F4F6A" w:rsidRPr="0083082E" w:rsidRDefault="00864DAE" w:rsidP="00F35913">
            <w:pPr>
              <w:spacing w:line="276" w:lineRule="auto"/>
              <w:jc w:val="center"/>
              <w:rPr>
                <w:sz w:val="20"/>
                <w:szCs w:val="20"/>
              </w:rPr>
            </w:pPr>
            <w:r w:rsidRPr="0083082E">
              <w:rPr>
                <w:sz w:val="20"/>
                <w:szCs w:val="20"/>
              </w:rPr>
              <w:t>3.286</w:t>
            </w:r>
          </w:p>
        </w:tc>
        <w:tc>
          <w:tcPr>
            <w:tcW w:w="1890" w:type="dxa"/>
            <w:tcBorders>
              <w:left w:val="single" w:sz="24" w:space="0" w:color="auto"/>
            </w:tcBorders>
            <w:vAlign w:val="center"/>
          </w:tcPr>
          <w:p w:rsidR="00864DAE" w:rsidRPr="0083082E" w:rsidRDefault="00864DAE" w:rsidP="004D65A8">
            <w:pPr>
              <w:rPr>
                <w:sz w:val="20"/>
                <w:szCs w:val="20"/>
              </w:rPr>
            </w:pPr>
            <w:r w:rsidRPr="0083082E">
              <w:rPr>
                <w:sz w:val="20"/>
                <w:szCs w:val="20"/>
              </w:rPr>
              <w:t>Rainbow mussel,</w:t>
            </w:r>
          </w:p>
          <w:p w:rsidR="00864DAE" w:rsidRPr="0083082E" w:rsidRDefault="00864DAE" w:rsidP="004D65A8">
            <w:pPr>
              <w:rPr>
                <w:sz w:val="20"/>
                <w:szCs w:val="20"/>
              </w:rPr>
            </w:pPr>
            <w:r w:rsidRPr="0083082E">
              <w:rPr>
                <w:sz w:val="20"/>
                <w:szCs w:val="20"/>
              </w:rPr>
              <w:t>Villosa iris</w:t>
            </w:r>
          </w:p>
        </w:tc>
        <w:tc>
          <w:tcPr>
            <w:tcW w:w="2070" w:type="dxa"/>
            <w:gridSpan w:val="2"/>
            <w:tcBorders>
              <w:right w:val="double" w:sz="4" w:space="0" w:color="auto"/>
            </w:tcBorders>
            <w:vAlign w:val="center"/>
          </w:tcPr>
          <w:p w:rsidR="000F4F6A" w:rsidRPr="0083082E" w:rsidRDefault="00864DAE" w:rsidP="00F35913">
            <w:pPr>
              <w:spacing w:line="276" w:lineRule="auto"/>
              <w:jc w:val="center"/>
              <w:rPr>
                <w:sz w:val="20"/>
                <w:szCs w:val="20"/>
              </w:rPr>
            </w:pPr>
            <w:r w:rsidRPr="0083082E">
              <w:rPr>
                <w:sz w:val="20"/>
                <w:szCs w:val="20"/>
              </w:rPr>
              <w:t>3.501</w:t>
            </w:r>
          </w:p>
        </w:tc>
      </w:tr>
      <w:tr w:rsidR="00864DAE" w:rsidRPr="00864DAE" w:rsidTr="00926E85">
        <w:tblPrEx>
          <w:jc w:val="left"/>
          <w:tblCellMar>
            <w:left w:w="108" w:type="dxa"/>
            <w:right w:w="108" w:type="dxa"/>
          </w:tblCellMar>
        </w:tblPrEx>
        <w:trPr>
          <w:gridBefore w:val="1"/>
          <w:wBefore w:w="70" w:type="dxa"/>
          <w:trHeight w:val="1691"/>
        </w:trPr>
        <w:tc>
          <w:tcPr>
            <w:tcW w:w="2340" w:type="dxa"/>
            <w:tcBorders>
              <w:left w:val="double" w:sz="4" w:space="0" w:color="auto"/>
            </w:tcBorders>
            <w:vAlign w:val="center"/>
          </w:tcPr>
          <w:p w:rsidR="00864DAE" w:rsidRPr="0083082E" w:rsidRDefault="00864DAE" w:rsidP="004D65A8">
            <w:pPr>
              <w:rPr>
                <w:sz w:val="20"/>
                <w:szCs w:val="20"/>
              </w:rPr>
            </w:pPr>
            <w:r w:rsidRPr="0083082E">
              <w:rPr>
                <w:sz w:val="20"/>
                <w:szCs w:val="20"/>
              </w:rPr>
              <w:t xml:space="preserve">Amphipod, </w:t>
            </w:r>
          </w:p>
          <w:p w:rsidR="00864DAE" w:rsidRPr="0083082E" w:rsidRDefault="00864DAE" w:rsidP="004D65A8">
            <w:pPr>
              <w:rPr>
                <w:sz w:val="20"/>
                <w:szCs w:val="20"/>
              </w:rPr>
            </w:pPr>
            <w:r w:rsidRPr="0083082E">
              <w:rPr>
                <w:sz w:val="20"/>
                <w:szCs w:val="20"/>
              </w:rPr>
              <w:t>Hyalella azteca</w:t>
            </w:r>
          </w:p>
        </w:tc>
        <w:tc>
          <w:tcPr>
            <w:tcW w:w="1357" w:type="dxa"/>
            <w:vAlign w:val="center"/>
          </w:tcPr>
          <w:p w:rsidR="000F4F6A" w:rsidRPr="0083082E" w:rsidRDefault="00864DAE" w:rsidP="00F35913">
            <w:pPr>
              <w:spacing w:line="276" w:lineRule="auto"/>
              <w:jc w:val="center"/>
              <w:rPr>
                <w:sz w:val="20"/>
                <w:szCs w:val="20"/>
              </w:rPr>
            </w:pPr>
            <w:r w:rsidRPr="0083082E">
              <w:rPr>
                <w:sz w:val="20"/>
                <w:szCs w:val="20"/>
              </w:rPr>
              <w:t>&lt;1.45</w:t>
            </w:r>
          </w:p>
        </w:tc>
        <w:tc>
          <w:tcPr>
            <w:tcW w:w="1253" w:type="dxa"/>
            <w:tcBorders>
              <w:right w:val="single" w:sz="24" w:space="0" w:color="auto"/>
            </w:tcBorders>
            <w:vAlign w:val="center"/>
          </w:tcPr>
          <w:p w:rsidR="000F4F6A" w:rsidRPr="0083082E" w:rsidRDefault="00864DAE" w:rsidP="00F35913">
            <w:pPr>
              <w:spacing w:line="276" w:lineRule="auto"/>
              <w:jc w:val="center"/>
              <w:rPr>
                <w:sz w:val="20"/>
                <w:szCs w:val="20"/>
              </w:rPr>
            </w:pPr>
            <w:r w:rsidRPr="0083082E">
              <w:rPr>
                <w:sz w:val="20"/>
                <w:szCs w:val="20"/>
              </w:rPr>
              <w:t>4.865</w:t>
            </w:r>
          </w:p>
        </w:tc>
        <w:tc>
          <w:tcPr>
            <w:tcW w:w="1890" w:type="dxa"/>
            <w:tcBorders>
              <w:left w:val="single" w:sz="24" w:space="0" w:color="auto"/>
            </w:tcBorders>
            <w:vAlign w:val="center"/>
          </w:tcPr>
          <w:p w:rsidR="00864DAE" w:rsidRPr="0083082E" w:rsidRDefault="00864DAE" w:rsidP="004D65A8">
            <w:pPr>
              <w:rPr>
                <w:sz w:val="20"/>
                <w:szCs w:val="20"/>
              </w:rPr>
            </w:pPr>
            <w:r w:rsidRPr="0083082E">
              <w:rPr>
                <w:i/>
                <w:sz w:val="20"/>
                <w:szCs w:val="20"/>
              </w:rPr>
              <w:t>Lampsilis</w:t>
            </w:r>
            <w:r w:rsidRPr="0083082E">
              <w:rPr>
                <w:sz w:val="20"/>
                <w:szCs w:val="20"/>
              </w:rPr>
              <w:t xml:space="preserve"> sp. (Unionidae), includes: Wavy-rayed lamp mussel, </w:t>
            </w:r>
            <w:r w:rsidRPr="0083082E">
              <w:rPr>
                <w:i/>
                <w:sz w:val="20"/>
                <w:szCs w:val="20"/>
              </w:rPr>
              <w:t>L. fasciola</w:t>
            </w:r>
            <w:r w:rsidRPr="0083082E">
              <w:rPr>
                <w:sz w:val="20"/>
                <w:szCs w:val="20"/>
              </w:rPr>
              <w:t xml:space="preserve"> and Fatmucket, </w:t>
            </w:r>
            <w:r w:rsidRPr="0083082E">
              <w:rPr>
                <w:i/>
                <w:sz w:val="20"/>
                <w:szCs w:val="20"/>
              </w:rPr>
              <w:t>L. siliquoidea</w:t>
            </w:r>
          </w:p>
        </w:tc>
        <w:tc>
          <w:tcPr>
            <w:tcW w:w="1357" w:type="dxa"/>
            <w:vAlign w:val="center"/>
          </w:tcPr>
          <w:p w:rsidR="000F4F6A" w:rsidRPr="0083082E" w:rsidRDefault="00864DAE" w:rsidP="00F35913">
            <w:pPr>
              <w:spacing w:line="276" w:lineRule="auto"/>
              <w:jc w:val="center"/>
              <w:rPr>
                <w:sz w:val="20"/>
                <w:szCs w:val="20"/>
              </w:rPr>
            </w:pPr>
            <w:r w:rsidRPr="0083082E">
              <w:rPr>
                <w:sz w:val="20"/>
                <w:szCs w:val="20"/>
              </w:rPr>
              <w:t>&lt;0.3443</w:t>
            </w:r>
          </w:p>
        </w:tc>
        <w:tc>
          <w:tcPr>
            <w:tcW w:w="1613" w:type="dxa"/>
            <w:tcBorders>
              <w:right w:val="single" w:sz="24" w:space="0" w:color="auto"/>
            </w:tcBorders>
            <w:vAlign w:val="center"/>
          </w:tcPr>
          <w:p w:rsidR="000F4F6A" w:rsidRPr="0083082E" w:rsidRDefault="00864DAE" w:rsidP="00F35913">
            <w:pPr>
              <w:spacing w:line="276" w:lineRule="auto"/>
              <w:jc w:val="center"/>
              <w:rPr>
                <w:sz w:val="20"/>
                <w:szCs w:val="20"/>
              </w:rPr>
            </w:pPr>
            <w:r w:rsidRPr="0083082E">
              <w:rPr>
                <w:sz w:val="20"/>
                <w:szCs w:val="20"/>
              </w:rPr>
              <w:t>1.154</w:t>
            </w:r>
          </w:p>
        </w:tc>
        <w:tc>
          <w:tcPr>
            <w:tcW w:w="1890" w:type="dxa"/>
            <w:tcBorders>
              <w:left w:val="single" w:sz="24" w:space="0" w:color="auto"/>
            </w:tcBorders>
            <w:vAlign w:val="center"/>
          </w:tcPr>
          <w:p w:rsidR="00864DAE" w:rsidRPr="0083082E" w:rsidRDefault="00864DAE" w:rsidP="004D65A8">
            <w:pPr>
              <w:rPr>
                <w:i/>
                <w:sz w:val="20"/>
                <w:szCs w:val="20"/>
              </w:rPr>
            </w:pPr>
            <w:r w:rsidRPr="0083082E">
              <w:rPr>
                <w:i/>
                <w:sz w:val="20"/>
                <w:szCs w:val="20"/>
              </w:rPr>
              <w:t>Lampsilis</w:t>
            </w:r>
            <w:r w:rsidRPr="0083082E">
              <w:rPr>
                <w:sz w:val="20"/>
                <w:szCs w:val="20"/>
              </w:rPr>
              <w:t xml:space="preserve"> sp. (Unionidae), includes: Wavy-rayed lamp mussel, </w:t>
            </w:r>
            <w:r w:rsidRPr="0083082E">
              <w:rPr>
                <w:i/>
                <w:sz w:val="20"/>
                <w:szCs w:val="20"/>
              </w:rPr>
              <w:t>L. fasciola</w:t>
            </w:r>
            <w:r w:rsidRPr="0083082E">
              <w:rPr>
                <w:sz w:val="20"/>
                <w:szCs w:val="20"/>
              </w:rPr>
              <w:t xml:space="preserve"> and Fatmucket, </w:t>
            </w:r>
            <w:r w:rsidRPr="0083082E">
              <w:rPr>
                <w:i/>
                <w:sz w:val="20"/>
                <w:szCs w:val="20"/>
              </w:rPr>
              <w:t>L. siliquoidea</w:t>
            </w:r>
            <w:r w:rsidRPr="0083082E">
              <w:rPr>
                <w:sz w:val="20"/>
                <w:szCs w:val="20"/>
              </w:rPr>
              <w:t xml:space="preserve"> </w:t>
            </w:r>
          </w:p>
        </w:tc>
        <w:tc>
          <w:tcPr>
            <w:tcW w:w="2070" w:type="dxa"/>
            <w:gridSpan w:val="2"/>
            <w:tcBorders>
              <w:right w:val="double" w:sz="4" w:space="0" w:color="auto"/>
            </w:tcBorders>
            <w:vAlign w:val="center"/>
          </w:tcPr>
          <w:p w:rsidR="000F4F6A" w:rsidRPr="0083082E" w:rsidRDefault="00864DAE" w:rsidP="00F35913">
            <w:pPr>
              <w:spacing w:line="276" w:lineRule="auto"/>
              <w:jc w:val="center"/>
              <w:rPr>
                <w:sz w:val="20"/>
                <w:szCs w:val="20"/>
              </w:rPr>
            </w:pPr>
            <w:r w:rsidRPr="0083082E">
              <w:rPr>
                <w:sz w:val="20"/>
                <w:szCs w:val="20"/>
              </w:rPr>
              <w:t>2.216</w:t>
            </w:r>
          </w:p>
        </w:tc>
      </w:tr>
      <w:tr w:rsidR="00864DAE" w:rsidRPr="00864DAE" w:rsidTr="00926E85">
        <w:tblPrEx>
          <w:jc w:val="left"/>
          <w:tblCellMar>
            <w:left w:w="108" w:type="dxa"/>
            <w:right w:w="108" w:type="dxa"/>
          </w:tblCellMar>
        </w:tblPrEx>
        <w:trPr>
          <w:gridBefore w:val="1"/>
          <w:wBefore w:w="70" w:type="dxa"/>
          <w:trHeight w:val="404"/>
        </w:trPr>
        <w:tc>
          <w:tcPr>
            <w:tcW w:w="2340" w:type="dxa"/>
            <w:tcBorders>
              <w:left w:val="double" w:sz="4" w:space="0" w:color="auto"/>
              <w:bottom w:val="double" w:sz="4" w:space="0" w:color="auto"/>
            </w:tcBorders>
            <w:vAlign w:val="center"/>
          </w:tcPr>
          <w:p w:rsidR="000F4F6A" w:rsidRPr="0083082E" w:rsidRDefault="00864DAE" w:rsidP="00F35913">
            <w:pPr>
              <w:spacing w:line="276" w:lineRule="auto"/>
              <w:jc w:val="right"/>
              <w:rPr>
                <w:sz w:val="20"/>
                <w:szCs w:val="20"/>
              </w:rPr>
            </w:pPr>
            <w:r w:rsidRPr="0083082E">
              <w:rPr>
                <w:sz w:val="20"/>
                <w:szCs w:val="20"/>
              </w:rPr>
              <w:t>CCC</w:t>
            </w:r>
          </w:p>
        </w:tc>
        <w:tc>
          <w:tcPr>
            <w:tcW w:w="1357" w:type="dxa"/>
            <w:tcBorders>
              <w:bottom w:val="double" w:sz="4" w:space="0" w:color="auto"/>
            </w:tcBorders>
            <w:vAlign w:val="center"/>
          </w:tcPr>
          <w:p w:rsidR="000F4F6A" w:rsidRPr="0083082E" w:rsidRDefault="00864DAE" w:rsidP="00F35913">
            <w:pPr>
              <w:spacing w:line="276" w:lineRule="auto"/>
              <w:jc w:val="center"/>
              <w:rPr>
                <w:sz w:val="20"/>
                <w:szCs w:val="20"/>
              </w:rPr>
            </w:pPr>
            <w:r w:rsidRPr="0083082E">
              <w:rPr>
                <w:sz w:val="20"/>
                <w:szCs w:val="20"/>
              </w:rPr>
              <w:t>1.2</w:t>
            </w:r>
          </w:p>
        </w:tc>
        <w:tc>
          <w:tcPr>
            <w:tcW w:w="1253" w:type="dxa"/>
            <w:tcBorders>
              <w:bottom w:val="double" w:sz="4" w:space="0" w:color="auto"/>
              <w:right w:val="single" w:sz="24" w:space="0" w:color="auto"/>
            </w:tcBorders>
            <w:vAlign w:val="center"/>
          </w:tcPr>
          <w:p w:rsidR="000F4F6A" w:rsidRPr="0083082E" w:rsidRDefault="00864DAE" w:rsidP="00F35913">
            <w:pPr>
              <w:spacing w:line="276" w:lineRule="auto"/>
              <w:jc w:val="center"/>
              <w:rPr>
                <w:sz w:val="20"/>
                <w:szCs w:val="20"/>
              </w:rPr>
            </w:pPr>
            <w:r w:rsidRPr="0083082E">
              <w:rPr>
                <w:sz w:val="20"/>
                <w:szCs w:val="20"/>
              </w:rPr>
              <w:t>4.5</w:t>
            </w:r>
          </w:p>
        </w:tc>
        <w:tc>
          <w:tcPr>
            <w:tcW w:w="1890" w:type="dxa"/>
            <w:tcBorders>
              <w:left w:val="single" w:sz="24" w:space="0" w:color="auto"/>
              <w:bottom w:val="double" w:sz="4" w:space="0" w:color="auto"/>
            </w:tcBorders>
            <w:vAlign w:val="center"/>
          </w:tcPr>
          <w:p w:rsidR="000F4F6A" w:rsidRPr="0083082E" w:rsidRDefault="00864DAE" w:rsidP="00F35913">
            <w:pPr>
              <w:spacing w:line="276" w:lineRule="auto"/>
              <w:jc w:val="right"/>
              <w:rPr>
                <w:sz w:val="20"/>
                <w:szCs w:val="20"/>
              </w:rPr>
            </w:pPr>
            <w:r w:rsidRPr="0083082E">
              <w:rPr>
                <w:sz w:val="20"/>
                <w:szCs w:val="20"/>
              </w:rPr>
              <w:t>CCC</w:t>
            </w:r>
          </w:p>
        </w:tc>
        <w:tc>
          <w:tcPr>
            <w:tcW w:w="1357" w:type="dxa"/>
            <w:tcBorders>
              <w:bottom w:val="double" w:sz="4" w:space="0" w:color="auto"/>
            </w:tcBorders>
            <w:vAlign w:val="center"/>
          </w:tcPr>
          <w:p w:rsidR="000F4F6A" w:rsidRPr="0083082E" w:rsidRDefault="00864DAE" w:rsidP="00F35913">
            <w:pPr>
              <w:spacing w:line="276" w:lineRule="auto"/>
              <w:jc w:val="center"/>
              <w:rPr>
                <w:sz w:val="20"/>
                <w:szCs w:val="20"/>
              </w:rPr>
            </w:pPr>
            <w:r w:rsidRPr="0083082E">
              <w:rPr>
                <w:sz w:val="20"/>
                <w:szCs w:val="20"/>
              </w:rPr>
              <w:t>0.26</w:t>
            </w:r>
          </w:p>
        </w:tc>
        <w:tc>
          <w:tcPr>
            <w:tcW w:w="1613" w:type="dxa"/>
            <w:tcBorders>
              <w:bottom w:val="double" w:sz="4" w:space="0" w:color="auto"/>
              <w:right w:val="single" w:sz="24" w:space="0" w:color="auto"/>
            </w:tcBorders>
            <w:vAlign w:val="center"/>
          </w:tcPr>
          <w:p w:rsidR="000F4F6A" w:rsidRPr="0083082E" w:rsidRDefault="00864DAE" w:rsidP="00F35913">
            <w:pPr>
              <w:spacing w:line="276" w:lineRule="auto"/>
              <w:jc w:val="center"/>
              <w:rPr>
                <w:sz w:val="20"/>
                <w:szCs w:val="20"/>
              </w:rPr>
            </w:pPr>
            <w:r w:rsidRPr="0083082E">
              <w:rPr>
                <w:sz w:val="20"/>
                <w:szCs w:val="20"/>
              </w:rPr>
              <w:t>0.91</w:t>
            </w:r>
          </w:p>
        </w:tc>
        <w:tc>
          <w:tcPr>
            <w:tcW w:w="1890" w:type="dxa"/>
            <w:tcBorders>
              <w:left w:val="single" w:sz="24" w:space="0" w:color="auto"/>
              <w:bottom w:val="double" w:sz="4" w:space="0" w:color="auto"/>
            </w:tcBorders>
            <w:vAlign w:val="center"/>
          </w:tcPr>
          <w:p w:rsidR="000F4F6A" w:rsidRPr="0083082E" w:rsidRDefault="00864DAE" w:rsidP="00F35913">
            <w:pPr>
              <w:spacing w:line="276" w:lineRule="auto"/>
              <w:jc w:val="right"/>
              <w:rPr>
                <w:sz w:val="20"/>
                <w:szCs w:val="20"/>
              </w:rPr>
            </w:pPr>
            <w:r w:rsidRPr="0083082E">
              <w:rPr>
                <w:sz w:val="20"/>
                <w:szCs w:val="20"/>
              </w:rPr>
              <w:t>CCC</w:t>
            </w:r>
          </w:p>
        </w:tc>
        <w:tc>
          <w:tcPr>
            <w:tcW w:w="2070" w:type="dxa"/>
            <w:gridSpan w:val="2"/>
            <w:tcBorders>
              <w:bottom w:val="double" w:sz="4" w:space="0" w:color="auto"/>
              <w:right w:val="double" w:sz="4" w:space="0" w:color="auto"/>
            </w:tcBorders>
            <w:vAlign w:val="center"/>
          </w:tcPr>
          <w:p w:rsidR="000F4F6A" w:rsidRPr="0083082E" w:rsidRDefault="00864DAE" w:rsidP="00F35913">
            <w:pPr>
              <w:spacing w:line="276" w:lineRule="auto"/>
              <w:jc w:val="center"/>
              <w:rPr>
                <w:sz w:val="20"/>
                <w:szCs w:val="20"/>
              </w:rPr>
            </w:pPr>
            <w:r w:rsidRPr="0083082E">
              <w:rPr>
                <w:sz w:val="20"/>
                <w:szCs w:val="20"/>
              </w:rPr>
              <w:t>1.9</w:t>
            </w:r>
          </w:p>
        </w:tc>
      </w:tr>
    </w:tbl>
    <w:p w:rsidR="00AC154E" w:rsidRDefault="00AC154E" w:rsidP="004D65A8">
      <w:pPr>
        <w:sectPr w:rsidR="00AC154E" w:rsidSect="001073A4">
          <w:pgSz w:w="15840" w:h="12240" w:orient="landscape"/>
          <w:pgMar w:top="1080" w:right="1440" w:bottom="1080" w:left="1440" w:header="720" w:footer="720" w:gutter="0"/>
          <w:cols w:space="720"/>
          <w:docGrid w:linePitch="360"/>
        </w:sectPr>
      </w:pPr>
    </w:p>
    <w:p w:rsidR="000C2A87" w:rsidRPr="00B56BFF" w:rsidRDefault="0046670D">
      <w:pPr>
        <w:pStyle w:val="Heading1"/>
        <w:rPr>
          <w:rFonts w:asciiTheme="minorHAnsi" w:hAnsiTheme="minorHAnsi"/>
        </w:rPr>
      </w:pPr>
      <w:bookmarkStart w:id="29" w:name="_Toc395516170"/>
      <w:r w:rsidRPr="00B56BFF">
        <w:rPr>
          <w:rFonts w:asciiTheme="minorHAnsi" w:hAnsiTheme="minorHAnsi"/>
        </w:rPr>
        <w:lastRenderedPageBreak/>
        <w:t>appendix d</w:t>
      </w:r>
      <w:r w:rsidR="00BE4DAB" w:rsidRPr="00B56BFF">
        <w:rPr>
          <w:rFonts w:asciiTheme="minorHAnsi" w:hAnsiTheme="minorHAnsi"/>
        </w:rPr>
        <w:t>: ammonia criteria tables</w:t>
      </w:r>
      <w:bookmarkEnd w:id="29"/>
    </w:p>
    <w:p w:rsidR="000C2A87" w:rsidRPr="00B56BFF" w:rsidRDefault="00D023E3">
      <w:pPr>
        <w:pStyle w:val="TABLE"/>
        <w:rPr>
          <w:rFonts w:asciiTheme="minorHAnsi" w:hAnsiTheme="minorHAnsi"/>
        </w:rPr>
      </w:pPr>
      <w:r w:rsidRPr="00B56BFF">
        <w:rPr>
          <w:rFonts w:asciiTheme="minorHAnsi" w:hAnsiTheme="minorHAnsi"/>
        </w:rPr>
        <w:t xml:space="preserve">AMMONIA FRESHWATER CRITERIA TABLES </w:t>
      </w:r>
    </w:p>
    <w:p w:rsidR="000C2A87" w:rsidRDefault="000C2A87">
      <w:pPr>
        <w:pStyle w:val="TABLE"/>
      </w:pPr>
    </w:p>
    <w:p w:rsidR="00DA604A" w:rsidRDefault="00064795" w:rsidP="00342720">
      <w:pPr>
        <w:pStyle w:val="TABLE"/>
        <w:spacing w:line="240" w:lineRule="auto"/>
        <w:rPr>
          <w:rFonts w:cs="Arial"/>
          <w:color w:val="FFFFFF" w:themeColor="background1"/>
          <w:szCs w:val="24"/>
        </w:rPr>
        <w:sectPr w:rsidR="00DA604A" w:rsidSect="00684E1C">
          <w:pgSz w:w="15840" w:h="12240" w:orient="landscape"/>
          <w:pgMar w:top="720" w:right="720" w:bottom="720" w:left="720" w:header="720" w:footer="720" w:gutter="0"/>
          <w:cols w:space="720"/>
          <w:docGrid w:linePitch="360"/>
        </w:sectPr>
      </w:pPr>
      <w:r>
        <w:rPr>
          <w:b w:val="0"/>
        </w:rPr>
        <w:t>DEQ</w:t>
      </w:r>
      <w:r w:rsidR="00D023E3" w:rsidRPr="00964ACB">
        <w:rPr>
          <w:b w:val="0"/>
        </w:rPr>
        <w:t xml:space="preserve"> based </w:t>
      </w:r>
      <w:r>
        <w:rPr>
          <w:b w:val="0"/>
        </w:rPr>
        <w:t xml:space="preserve">the proposed tables </w:t>
      </w:r>
      <w:r w:rsidR="00D023E3" w:rsidRPr="00964ACB">
        <w:rPr>
          <w:b w:val="0"/>
        </w:rPr>
        <w:t xml:space="preserve">on </w:t>
      </w:r>
      <w:r w:rsidR="00DA604A">
        <w:rPr>
          <w:b w:val="0"/>
        </w:rPr>
        <w:t xml:space="preserve">the following three pages on </w:t>
      </w:r>
      <w:r w:rsidR="00D023E3" w:rsidRPr="00964ACB">
        <w:rPr>
          <w:b w:val="0"/>
        </w:rPr>
        <w:t>EPA</w:t>
      </w:r>
      <w:r>
        <w:rPr>
          <w:b w:val="0"/>
        </w:rPr>
        <w:t>’s</w:t>
      </w:r>
      <w:r w:rsidR="00D023E3" w:rsidRPr="00964ACB">
        <w:rPr>
          <w:b w:val="0"/>
        </w:rPr>
        <w:t xml:space="preserve"> April 2013 document, </w:t>
      </w:r>
      <w:r w:rsidR="00D023E3" w:rsidRPr="00964ACB">
        <w:rPr>
          <w:b w:val="0"/>
          <w:i/>
        </w:rPr>
        <w:t>Aquatic Life Ambient Water Quality Criteria for Ammonia</w:t>
      </w:r>
      <w:r w:rsidR="00D023E3" w:rsidRPr="00964ACB">
        <w:rPr>
          <w:b w:val="0"/>
        </w:rPr>
        <w:t xml:space="preserve"> – Freshwater 2013</w:t>
      </w:r>
      <w:r>
        <w:rPr>
          <w:b w:val="0"/>
        </w:rPr>
        <w:t>,</w:t>
      </w:r>
      <w:r w:rsidR="00D023E3" w:rsidRPr="00964ACB">
        <w:rPr>
          <w:b w:val="0"/>
        </w:rPr>
        <w:t xml:space="preserve"> Office of Water (EPA 822-R-13-001</w:t>
      </w:r>
      <w:r>
        <w:rPr>
          <w:b w:val="0"/>
        </w:rPr>
        <w:t>.</w:t>
      </w:r>
      <w:r w:rsidR="00D023E3" w:rsidRPr="00694707">
        <w:rPr>
          <w:b w:val="0"/>
        </w:rPr>
        <w:t>)</w:t>
      </w:r>
      <w:r w:rsidR="0083082E">
        <w:rPr>
          <w:b w:val="0"/>
        </w:rPr>
        <w:t>.</w:t>
      </w:r>
      <w:r w:rsidR="00D023E3" w:rsidRPr="00694707">
        <w:rPr>
          <w:b w:val="0"/>
        </w:rPr>
        <w:t xml:space="preserve"> </w:t>
      </w:r>
    </w:p>
    <w:p w:rsidR="000C2A87" w:rsidRPr="00342720" w:rsidRDefault="000C2A87" w:rsidP="00342720">
      <w:pPr>
        <w:pStyle w:val="TABLE"/>
        <w:spacing w:line="240" w:lineRule="auto"/>
      </w:pPr>
    </w:p>
    <w:tbl>
      <w:tblPr>
        <w:tblW w:w="14515" w:type="dxa"/>
        <w:tblBorders>
          <w:top w:val="double" w:sz="4" w:space="0" w:color="auto"/>
          <w:left w:val="double" w:sz="4" w:space="0" w:color="auto"/>
          <w:bottom w:val="double" w:sz="4" w:space="0" w:color="auto"/>
          <w:right w:val="double" w:sz="4" w:space="0" w:color="auto"/>
        </w:tblBorders>
        <w:tblLayout w:type="fixed"/>
        <w:tblLook w:val="00A0"/>
      </w:tblPr>
      <w:tblGrid>
        <w:gridCol w:w="807"/>
        <w:gridCol w:w="807"/>
        <w:gridCol w:w="807"/>
        <w:gridCol w:w="807"/>
        <w:gridCol w:w="807"/>
        <w:gridCol w:w="807"/>
        <w:gridCol w:w="807"/>
        <w:gridCol w:w="806"/>
        <w:gridCol w:w="806"/>
        <w:gridCol w:w="806"/>
        <w:gridCol w:w="806"/>
        <w:gridCol w:w="806"/>
        <w:gridCol w:w="806"/>
        <w:gridCol w:w="806"/>
        <w:gridCol w:w="806"/>
        <w:gridCol w:w="806"/>
        <w:gridCol w:w="806"/>
        <w:gridCol w:w="806"/>
      </w:tblGrid>
      <w:tr w:rsidR="00D023E3" w:rsidRPr="001862BC" w:rsidTr="00DA604A">
        <w:trPr>
          <w:trHeight w:val="861"/>
        </w:trPr>
        <w:tc>
          <w:tcPr>
            <w:tcW w:w="14148" w:type="dxa"/>
            <w:gridSpan w:val="18"/>
            <w:shd w:val="clear" w:color="auto" w:fill="008272"/>
            <w:noWrap/>
            <w:vAlign w:val="center"/>
          </w:tcPr>
          <w:p w:rsidR="00272C67" w:rsidRDefault="006E1E97" w:rsidP="00272C67">
            <w:pPr>
              <w:jc w:val="center"/>
              <w:rPr>
                <w:rFonts w:ascii="Arial" w:hAnsi="Arial" w:cs="Arial"/>
                <w:color w:val="FFFFFF" w:themeColor="background1"/>
                <w:sz w:val="24"/>
                <w:szCs w:val="24"/>
              </w:rPr>
            </w:pPr>
            <w:r w:rsidRPr="006E1E97">
              <w:rPr>
                <w:rFonts w:ascii="Arial" w:hAnsi="Arial" w:cs="Arial"/>
                <w:b/>
                <w:color w:val="FFFFFF" w:themeColor="background1"/>
                <w:sz w:val="24"/>
                <w:szCs w:val="24"/>
              </w:rPr>
              <w:t>Table 1</w:t>
            </w:r>
            <w:r w:rsidR="0083082E">
              <w:rPr>
                <w:rFonts w:ascii="Arial" w:hAnsi="Arial" w:cs="Arial"/>
                <w:b/>
                <w:color w:val="FFFFFF" w:themeColor="background1"/>
                <w:sz w:val="24"/>
                <w:szCs w:val="24"/>
              </w:rPr>
              <w:t>:</w:t>
            </w:r>
            <w:r w:rsidRPr="006E1E97">
              <w:rPr>
                <w:rFonts w:ascii="Arial" w:hAnsi="Arial" w:cs="Arial"/>
                <w:color w:val="FFFFFF" w:themeColor="background1"/>
                <w:sz w:val="24"/>
                <w:szCs w:val="24"/>
              </w:rPr>
              <w:t xml:space="preserve"> Ammonia Acute Criteria Values (One-hour Average)</w:t>
            </w:r>
            <w:r w:rsidRPr="006E1E97">
              <w:rPr>
                <w:rFonts w:ascii="Arial" w:hAnsi="Arial" w:cs="Arial"/>
                <w:i/>
                <w:color w:val="FFFFFF" w:themeColor="background1"/>
                <w:sz w:val="24"/>
                <w:szCs w:val="24"/>
              </w:rPr>
              <w:t>—</w:t>
            </w:r>
            <w:r w:rsidRPr="006E1E97">
              <w:rPr>
                <w:rFonts w:ascii="Arial" w:hAnsi="Arial" w:cs="Arial"/>
                <w:color w:val="FFFFFF" w:themeColor="background1"/>
                <w:sz w:val="24"/>
                <w:szCs w:val="24"/>
              </w:rPr>
              <w:t xml:space="preserve">Salmonid Species </w:t>
            </w:r>
            <w:r w:rsidRPr="006E1E97">
              <w:rPr>
                <w:rFonts w:ascii="Arial" w:hAnsi="Arial" w:cs="Arial"/>
                <w:color w:val="FFFFFF" w:themeColor="background1"/>
                <w:sz w:val="24"/>
                <w:szCs w:val="24"/>
                <w:u w:val="single"/>
              </w:rPr>
              <w:t>Present</w:t>
            </w:r>
          </w:p>
          <w:p w:rsidR="00272C67" w:rsidRDefault="006E1E97" w:rsidP="00272C67">
            <w:pPr>
              <w:jc w:val="center"/>
              <w:rPr>
                <w:rFonts w:ascii="Arial" w:hAnsi="Arial" w:cs="Arial"/>
              </w:rPr>
            </w:pPr>
            <w:r w:rsidRPr="006E1E97">
              <w:rPr>
                <w:rFonts w:ascii="Arial" w:hAnsi="Arial" w:cs="Arial"/>
                <w:color w:val="FFFFFF" w:themeColor="background1"/>
                <w:sz w:val="24"/>
                <w:szCs w:val="24"/>
              </w:rPr>
              <w:t>Temperature and pH-Dependent and expressed as Total Ammonia Nitrogen (mg/L TAN)</w:t>
            </w:r>
          </w:p>
        </w:tc>
      </w:tr>
      <w:tr w:rsidR="00D023E3" w:rsidRPr="00600B28" w:rsidTr="004C3DC8">
        <w:trPr>
          <w:trHeight w:val="430"/>
        </w:trPr>
        <w:tc>
          <w:tcPr>
            <w:tcW w:w="14148" w:type="dxa"/>
            <w:gridSpan w:val="18"/>
            <w:tcBorders>
              <w:bottom w:val="nil"/>
            </w:tcBorders>
            <w:shd w:val="clear" w:color="auto" w:fill="B1DDCD"/>
            <w:noWrap/>
            <w:vAlign w:val="center"/>
          </w:tcPr>
          <w:p w:rsidR="00272C67" w:rsidRDefault="006E1E97" w:rsidP="00272C67">
            <w:pPr>
              <w:jc w:val="center"/>
              <w:rPr>
                <w:rFonts w:ascii="Arial" w:hAnsi="Arial" w:cs="Arial"/>
              </w:rPr>
            </w:pPr>
            <w:r w:rsidRPr="006E1E97">
              <w:rPr>
                <w:rFonts w:ascii="Arial" w:hAnsi="Arial" w:cs="Arial"/>
              </w:rPr>
              <w:t>Criteria cannot be exceeded more than once every three years</w:t>
            </w:r>
          </w:p>
        </w:tc>
      </w:tr>
      <w:tr w:rsidR="00D023E3" w:rsidRPr="001862BC" w:rsidTr="004C3DC8">
        <w:trPr>
          <w:trHeight w:val="657"/>
        </w:trPr>
        <w:tc>
          <w:tcPr>
            <w:tcW w:w="14148" w:type="dxa"/>
            <w:gridSpan w:val="18"/>
            <w:tcBorders>
              <w:top w:val="nil"/>
              <w:bottom w:val="single" w:sz="8" w:space="0" w:color="auto"/>
            </w:tcBorders>
            <w:shd w:val="clear" w:color="auto" w:fill="auto"/>
            <w:noWrap/>
            <w:vAlign w:val="center"/>
          </w:tcPr>
          <w:p w:rsidR="00272C67" w:rsidRDefault="00D023E3">
            <w:pPr>
              <w:rPr>
                <w:rFonts w:ascii="Arial" w:hAnsi="Arial" w:cs="Arial"/>
              </w:rPr>
            </w:pPr>
            <m:oMathPara>
              <m:oMath>
                <m:r>
                  <w:rPr>
                    <w:rFonts w:ascii="Cambria Math" w:hAnsi="Cambria Math" w:cs="Arial"/>
                  </w:rPr>
                  <m:t>Acute</m:t>
                </m:r>
                <m:r>
                  <m:rPr>
                    <m:sty m:val="p"/>
                  </m:rPr>
                  <w:rPr>
                    <w:rFonts w:ascii="Cambria Math" w:hAnsi="Arial" w:cs="Arial"/>
                  </w:rPr>
                  <m:t xml:space="preserve"> </m:t>
                </m:r>
                <m:r>
                  <w:rPr>
                    <w:rFonts w:ascii="Cambria Math" w:hAnsi="Cambria Math" w:cs="Arial"/>
                  </w:rPr>
                  <m:t>Criterion</m:t>
                </m:r>
                <m:r>
                  <m:rPr>
                    <m:sty m:val="p"/>
                  </m:rPr>
                  <w:rPr>
                    <w:rFonts w:ascii="Cambria Math" w:hAnsi="Arial" w:cs="Arial"/>
                  </w:rPr>
                  <m:t>=</m:t>
                </m:r>
                <m:r>
                  <w:rPr>
                    <w:rFonts w:ascii="Cambria Math" w:hAnsi="Cambria Math" w:cs="Arial"/>
                  </w:rPr>
                  <m:t>MIN</m:t>
                </m:r>
                <m:d>
                  <m:dPr>
                    <m:ctrlPr>
                      <w:rPr>
                        <w:rFonts w:ascii="Cambria Math" w:hAnsi="Arial" w:cs="Arial"/>
                      </w:rPr>
                    </m:ctrlPr>
                  </m:dPr>
                  <m:e>
                    <m:d>
                      <m:dPr>
                        <m:ctrlPr>
                          <w:rPr>
                            <w:rFonts w:ascii="Cambria Math" w:hAnsi="Arial" w:cs="Arial"/>
                          </w:rPr>
                        </m:ctrlPr>
                      </m:dPr>
                      <m:e>
                        <m:f>
                          <m:fPr>
                            <m:ctrlPr>
                              <w:rPr>
                                <w:rFonts w:ascii="Cambria Math" w:hAnsi="Arial" w:cs="Arial"/>
                              </w:rPr>
                            </m:ctrlPr>
                          </m:fPr>
                          <m:num>
                            <m:r>
                              <m:rPr>
                                <m:sty m:val="p"/>
                              </m:rPr>
                              <w:rPr>
                                <w:rFonts w:ascii="Cambria Math" w:hAnsi="Arial" w:cs="Arial"/>
                              </w:rPr>
                              <m:t>0.275</m:t>
                            </m:r>
                          </m:num>
                          <m:den>
                            <m:r>
                              <m:rPr>
                                <m:sty m:val="p"/>
                              </m:rPr>
                              <w:rPr>
                                <w:rFonts w:ascii="Cambria Math" w:hAnsi="Arial" w:cs="Arial"/>
                              </w:rPr>
                              <m:t>1+</m:t>
                            </m:r>
                            <m:sSup>
                              <m:sSupPr>
                                <m:ctrlPr>
                                  <w:rPr>
                                    <w:rFonts w:ascii="Cambria Math" w:hAnsi="Arial" w:cs="Arial"/>
                                  </w:rPr>
                                </m:ctrlPr>
                              </m:sSupPr>
                              <m:e>
                                <m:r>
                                  <m:rPr>
                                    <m:sty m:val="p"/>
                                  </m:rPr>
                                  <w:rPr>
                                    <w:rFonts w:ascii="Cambria Math" w:hAnsi="Arial" w:cs="Arial"/>
                                  </w:rPr>
                                  <m:t>10</m:t>
                                </m:r>
                              </m:e>
                              <m:sup>
                                <m:r>
                                  <m:rPr>
                                    <m:sty m:val="p"/>
                                  </m:rPr>
                                  <w:rPr>
                                    <w:rFonts w:ascii="Cambria Math" w:hAnsi="Arial" w:cs="Arial"/>
                                  </w:rPr>
                                  <m:t>7.204</m:t>
                                </m:r>
                                <m:r>
                                  <m:rPr>
                                    <m:sty m:val="p"/>
                                  </m:rPr>
                                  <w:rPr>
                                    <w:rFonts w:ascii="Cambria Math" w:hAnsi="Arial" w:cs="Arial"/>
                                  </w:rPr>
                                  <m:t>-</m:t>
                                </m:r>
                                <m:r>
                                  <w:rPr>
                                    <w:rFonts w:ascii="Cambria Math" w:hAnsi="Cambria Math" w:cs="Arial"/>
                                  </w:rPr>
                                  <m:t>pH</m:t>
                                </m:r>
                              </m:sup>
                            </m:sSup>
                          </m:den>
                        </m:f>
                        <m:r>
                          <m:rPr>
                            <m:sty m:val="p"/>
                          </m:rPr>
                          <w:rPr>
                            <w:rFonts w:ascii="Cambria Math" w:hAnsi="Arial" w:cs="Arial"/>
                          </w:rPr>
                          <m:t>+</m:t>
                        </m:r>
                        <m:f>
                          <m:fPr>
                            <m:ctrlPr>
                              <w:rPr>
                                <w:rFonts w:ascii="Cambria Math" w:hAnsi="Arial" w:cs="Arial"/>
                              </w:rPr>
                            </m:ctrlPr>
                          </m:fPr>
                          <m:num>
                            <m:r>
                              <m:rPr>
                                <m:sty m:val="p"/>
                              </m:rPr>
                              <w:rPr>
                                <w:rFonts w:ascii="Cambria Math" w:hAnsi="Arial" w:cs="Arial"/>
                              </w:rPr>
                              <m:t>39.0</m:t>
                            </m:r>
                          </m:num>
                          <m:den>
                            <m:r>
                              <m:rPr>
                                <m:sty m:val="p"/>
                              </m:rPr>
                              <w:rPr>
                                <w:rFonts w:ascii="Cambria Math" w:hAnsi="Arial" w:cs="Arial"/>
                              </w:rPr>
                              <m:t>1+</m:t>
                            </m:r>
                            <m:sSup>
                              <m:sSupPr>
                                <m:ctrlPr>
                                  <w:rPr>
                                    <w:rFonts w:ascii="Cambria Math" w:hAnsi="Arial" w:cs="Arial"/>
                                  </w:rPr>
                                </m:ctrlPr>
                              </m:sSupPr>
                              <m:e>
                                <m:r>
                                  <m:rPr>
                                    <m:sty m:val="p"/>
                                  </m:rPr>
                                  <w:rPr>
                                    <w:rFonts w:ascii="Cambria Math" w:hAnsi="Arial" w:cs="Arial"/>
                                  </w:rPr>
                                  <m:t>10</m:t>
                                </m:r>
                              </m:e>
                              <m:sup>
                                <m:r>
                                  <w:rPr>
                                    <w:rFonts w:ascii="Cambria Math" w:hAnsi="Cambria Math" w:cs="Arial"/>
                                  </w:rPr>
                                  <m:t>pH</m:t>
                                </m:r>
                                <m:r>
                                  <m:rPr>
                                    <m:sty m:val="p"/>
                                  </m:rPr>
                                  <w:rPr>
                                    <w:rFonts w:ascii="Arial" w:hAnsi="Arial" w:cs="Arial"/>
                                  </w:rPr>
                                  <m:t>-</m:t>
                                </m:r>
                                <m:r>
                                  <m:rPr>
                                    <m:sty m:val="p"/>
                                  </m:rPr>
                                  <w:rPr>
                                    <w:rFonts w:ascii="Cambria Math" w:hAnsi="Arial" w:cs="Arial"/>
                                  </w:rPr>
                                  <m:t>7.204</m:t>
                                </m:r>
                              </m:sup>
                            </m:sSup>
                          </m:den>
                        </m:f>
                      </m:e>
                    </m:d>
                    <m:r>
                      <m:rPr>
                        <m:sty m:val="p"/>
                      </m:rPr>
                      <w:rPr>
                        <w:rFonts w:ascii="Cambria Math" w:hAnsi="Arial" w:cs="Arial"/>
                      </w:rPr>
                      <m:t xml:space="preserve">, </m:t>
                    </m:r>
                    <m:d>
                      <m:dPr>
                        <m:ctrlPr>
                          <w:rPr>
                            <w:rFonts w:ascii="Cambria Math" w:hAnsi="Arial" w:cs="Arial"/>
                          </w:rPr>
                        </m:ctrlPr>
                      </m:dPr>
                      <m:e>
                        <m:r>
                          <m:rPr>
                            <m:sty m:val="p"/>
                          </m:rPr>
                          <w:rPr>
                            <w:rFonts w:ascii="Cambria Math" w:hAnsi="Arial" w:cs="Arial"/>
                          </w:rPr>
                          <m:t>0.7249</m:t>
                        </m:r>
                        <m:r>
                          <m:rPr>
                            <m:sty m:val="p"/>
                          </m:rPr>
                          <w:rPr>
                            <w:rFonts w:ascii="Cambria Math" w:hAnsi="Arial" w:cs="Arial"/>
                          </w:rPr>
                          <m:t>×</m:t>
                        </m:r>
                        <m:d>
                          <m:dPr>
                            <m:ctrlPr>
                              <w:rPr>
                                <w:rFonts w:ascii="Cambria Math" w:hAnsi="Arial" w:cs="Arial"/>
                              </w:rPr>
                            </m:ctrlPr>
                          </m:dPr>
                          <m:e>
                            <m:f>
                              <m:fPr>
                                <m:ctrlPr>
                                  <w:rPr>
                                    <w:rFonts w:ascii="Cambria Math" w:hAnsi="Arial" w:cs="Arial"/>
                                  </w:rPr>
                                </m:ctrlPr>
                              </m:fPr>
                              <m:num>
                                <m:r>
                                  <m:rPr>
                                    <m:sty m:val="p"/>
                                  </m:rPr>
                                  <w:rPr>
                                    <w:rFonts w:ascii="Cambria Math" w:hAnsi="Arial" w:cs="Arial"/>
                                  </w:rPr>
                                  <m:t>0.0114</m:t>
                                </m:r>
                              </m:num>
                              <m:den>
                                <m:r>
                                  <m:rPr>
                                    <m:sty m:val="p"/>
                                  </m:rPr>
                                  <w:rPr>
                                    <w:rFonts w:ascii="Cambria Math" w:hAnsi="Arial" w:cs="Arial"/>
                                  </w:rPr>
                                  <m:t>1+</m:t>
                                </m:r>
                                <m:sSup>
                                  <m:sSupPr>
                                    <m:ctrlPr>
                                      <w:rPr>
                                        <w:rFonts w:ascii="Cambria Math" w:hAnsi="Arial" w:cs="Arial"/>
                                      </w:rPr>
                                    </m:ctrlPr>
                                  </m:sSupPr>
                                  <m:e>
                                    <m:r>
                                      <m:rPr>
                                        <m:sty m:val="p"/>
                                      </m:rPr>
                                      <w:rPr>
                                        <w:rFonts w:ascii="Cambria Math" w:hAnsi="Arial" w:cs="Arial"/>
                                      </w:rPr>
                                      <m:t>10</m:t>
                                    </m:r>
                                  </m:e>
                                  <m:sup>
                                    <m:r>
                                      <m:rPr>
                                        <m:sty m:val="p"/>
                                      </m:rPr>
                                      <w:rPr>
                                        <w:rFonts w:ascii="Cambria Math" w:hAnsi="Arial" w:cs="Arial"/>
                                      </w:rPr>
                                      <m:t>7.204</m:t>
                                    </m:r>
                                    <m:r>
                                      <m:rPr>
                                        <m:sty m:val="p"/>
                                      </m:rPr>
                                      <w:rPr>
                                        <w:rFonts w:ascii="Cambria Math" w:hAnsi="Arial" w:cs="Arial"/>
                                      </w:rPr>
                                      <m:t>-</m:t>
                                    </m:r>
                                    <m:r>
                                      <w:rPr>
                                        <w:rFonts w:ascii="Cambria Math" w:hAnsi="Cambria Math" w:cs="Arial"/>
                                      </w:rPr>
                                      <m:t>pH</m:t>
                                    </m:r>
                                  </m:sup>
                                </m:sSup>
                              </m:den>
                            </m:f>
                            <m:r>
                              <m:rPr>
                                <m:sty m:val="p"/>
                              </m:rPr>
                              <w:rPr>
                                <w:rFonts w:ascii="Cambria Math" w:hAnsi="Arial" w:cs="Arial"/>
                              </w:rPr>
                              <m:t xml:space="preserve"> +</m:t>
                            </m:r>
                            <m:f>
                              <m:fPr>
                                <m:ctrlPr>
                                  <w:rPr>
                                    <w:rFonts w:ascii="Cambria Math" w:hAnsi="Arial" w:cs="Arial"/>
                                  </w:rPr>
                                </m:ctrlPr>
                              </m:fPr>
                              <m:num>
                                <m:r>
                                  <m:rPr>
                                    <m:sty m:val="p"/>
                                  </m:rPr>
                                  <w:rPr>
                                    <w:rFonts w:ascii="Cambria Math" w:hAnsi="Arial" w:cs="Arial"/>
                                  </w:rPr>
                                  <m:t>1.6181</m:t>
                                </m:r>
                              </m:num>
                              <m:den>
                                <m:r>
                                  <m:rPr>
                                    <m:sty m:val="p"/>
                                  </m:rPr>
                                  <w:rPr>
                                    <w:rFonts w:ascii="Cambria Math" w:hAnsi="Arial" w:cs="Arial"/>
                                  </w:rPr>
                                  <m:t>1+</m:t>
                                </m:r>
                                <m:sSup>
                                  <m:sSupPr>
                                    <m:ctrlPr>
                                      <w:rPr>
                                        <w:rFonts w:ascii="Cambria Math" w:hAnsi="Arial" w:cs="Arial"/>
                                      </w:rPr>
                                    </m:ctrlPr>
                                  </m:sSupPr>
                                  <m:e>
                                    <m:r>
                                      <m:rPr>
                                        <m:sty m:val="p"/>
                                      </m:rPr>
                                      <w:rPr>
                                        <w:rFonts w:ascii="Cambria Math" w:hAnsi="Arial" w:cs="Arial"/>
                                      </w:rPr>
                                      <m:t>10</m:t>
                                    </m:r>
                                  </m:e>
                                  <m:sup>
                                    <m:r>
                                      <w:rPr>
                                        <w:rFonts w:ascii="Cambria Math" w:hAnsi="Cambria Math" w:cs="Arial"/>
                                      </w:rPr>
                                      <m:t>pH</m:t>
                                    </m:r>
                                    <m:r>
                                      <m:rPr>
                                        <m:sty m:val="p"/>
                                      </m:rPr>
                                      <w:rPr>
                                        <w:rFonts w:ascii="Arial" w:hAnsi="Arial" w:cs="Arial"/>
                                      </w:rPr>
                                      <m:t>-</m:t>
                                    </m:r>
                                    <m:r>
                                      <m:rPr>
                                        <m:sty m:val="p"/>
                                      </m:rPr>
                                      <w:rPr>
                                        <w:rFonts w:ascii="Cambria Math" w:hAnsi="Arial" w:cs="Arial"/>
                                      </w:rPr>
                                      <m:t>7.204</m:t>
                                    </m:r>
                                  </m:sup>
                                </m:sSup>
                              </m:den>
                            </m:f>
                          </m:e>
                        </m:d>
                        <m:r>
                          <m:rPr>
                            <m:sty m:val="p"/>
                          </m:rPr>
                          <w:rPr>
                            <w:rFonts w:ascii="Cambria Math" w:hAnsi="Arial" w:cs="Arial"/>
                          </w:rPr>
                          <m:t>×</m:t>
                        </m:r>
                        <m:d>
                          <m:dPr>
                            <m:ctrlPr>
                              <w:rPr>
                                <w:rFonts w:ascii="Cambria Math" w:hAnsi="Arial" w:cs="Arial"/>
                              </w:rPr>
                            </m:ctrlPr>
                          </m:dPr>
                          <m:e>
                            <m:r>
                              <m:rPr>
                                <m:sty m:val="p"/>
                              </m:rPr>
                              <w:rPr>
                                <w:rFonts w:ascii="Cambria Math" w:hAnsi="Arial" w:cs="Arial"/>
                              </w:rPr>
                              <m:t>23.12</m:t>
                            </m:r>
                            <m:r>
                              <m:rPr>
                                <m:sty m:val="p"/>
                              </m:rPr>
                              <w:rPr>
                                <w:rFonts w:ascii="Cambria Math" w:hAnsi="Arial" w:cs="Arial"/>
                              </w:rPr>
                              <m:t>×</m:t>
                            </m:r>
                            <m:r>
                              <m:rPr>
                                <m:sty m:val="p"/>
                              </m:rPr>
                              <w:rPr>
                                <w:rFonts w:ascii="Cambria Math" w:hAnsi="Arial" w:cs="Arial"/>
                              </w:rPr>
                              <m:t xml:space="preserve"> </m:t>
                            </m:r>
                            <m:sSup>
                              <m:sSupPr>
                                <m:ctrlPr>
                                  <w:rPr>
                                    <w:rFonts w:ascii="Cambria Math" w:hAnsi="Arial" w:cs="Arial"/>
                                  </w:rPr>
                                </m:ctrlPr>
                              </m:sSupPr>
                              <m:e>
                                <m:r>
                                  <m:rPr>
                                    <m:sty m:val="p"/>
                                  </m:rPr>
                                  <w:rPr>
                                    <w:rFonts w:ascii="Cambria Math" w:hAnsi="Arial" w:cs="Arial"/>
                                  </w:rPr>
                                  <m:t>10</m:t>
                                </m:r>
                              </m:e>
                              <m:sup>
                                <m:r>
                                  <m:rPr>
                                    <m:sty m:val="p"/>
                                  </m:rPr>
                                  <w:rPr>
                                    <w:rFonts w:ascii="Cambria Math" w:hAnsi="Arial" w:cs="Arial"/>
                                  </w:rPr>
                                  <m:t>0.036</m:t>
                                </m:r>
                                <m:r>
                                  <m:rPr>
                                    <m:sty m:val="p"/>
                                  </m:rPr>
                                  <w:rPr>
                                    <w:rFonts w:ascii="Cambria Math" w:hAnsi="Arial" w:cs="Arial"/>
                                  </w:rPr>
                                  <m:t>×</m:t>
                                </m:r>
                                <m:d>
                                  <m:dPr>
                                    <m:ctrlPr>
                                      <w:rPr>
                                        <w:rFonts w:ascii="Cambria Math" w:hAnsi="Arial" w:cs="Arial"/>
                                      </w:rPr>
                                    </m:ctrlPr>
                                  </m:dPr>
                                  <m:e>
                                    <m:r>
                                      <m:rPr>
                                        <m:sty m:val="p"/>
                                      </m:rPr>
                                      <w:rPr>
                                        <w:rFonts w:ascii="Cambria Math" w:hAnsi="Arial" w:cs="Arial"/>
                                      </w:rPr>
                                      <m:t>20</m:t>
                                    </m:r>
                                    <m:r>
                                      <m:rPr>
                                        <m:sty m:val="p"/>
                                      </m:rPr>
                                      <w:rPr>
                                        <w:rFonts w:ascii="Cambria Math" w:hAnsi="Arial" w:cs="Arial"/>
                                      </w:rPr>
                                      <m:t>-</m:t>
                                    </m:r>
                                    <m:r>
                                      <w:rPr>
                                        <w:rFonts w:ascii="Cambria Math" w:hAnsi="Cambria Math" w:cs="Arial"/>
                                      </w:rPr>
                                      <m:t>T</m:t>
                                    </m:r>
                                  </m:e>
                                </m:d>
                              </m:sup>
                            </m:sSup>
                          </m:e>
                        </m:d>
                      </m:e>
                    </m:d>
                  </m:e>
                </m:d>
              </m:oMath>
            </m:oMathPara>
          </w:p>
        </w:tc>
      </w:tr>
      <w:tr w:rsidR="00D023E3" w:rsidRPr="001862BC" w:rsidTr="004C3DC8">
        <w:trPr>
          <w:trHeight w:val="299"/>
        </w:trPr>
        <w:tc>
          <w:tcPr>
            <w:tcW w:w="14148" w:type="dxa"/>
            <w:gridSpan w:val="18"/>
            <w:tcBorders>
              <w:top w:val="single" w:sz="8" w:space="0" w:color="auto"/>
              <w:bottom w:val="double" w:sz="4" w:space="0" w:color="auto"/>
            </w:tcBorders>
            <w:shd w:val="clear" w:color="auto" w:fill="auto"/>
            <w:noWrap/>
            <w:vAlign w:val="center"/>
          </w:tcPr>
          <w:p w:rsidR="00272C67" w:rsidRPr="00246659" w:rsidRDefault="006E1E97" w:rsidP="00272C67">
            <w:pPr>
              <w:jc w:val="center"/>
              <w:rPr>
                <w:rFonts w:ascii="Arial" w:hAnsi="Arial" w:cs="Arial"/>
                <w:b/>
              </w:rPr>
            </w:pPr>
            <w:r w:rsidRPr="00246659">
              <w:rPr>
                <w:rFonts w:ascii="Arial" w:hAnsi="Arial" w:cs="Arial"/>
                <w:b/>
              </w:rPr>
              <w:t>Temperature (</w:t>
            </w:r>
            <w:r w:rsidRPr="00246659">
              <w:rPr>
                <w:rFonts w:ascii="Arial" w:hAnsi="Arial" w:cs="Arial"/>
                <w:b/>
                <w:vertAlign w:val="superscript"/>
              </w:rPr>
              <w:t>o</w:t>
            </w:r>
            <w:r w:rsidRPr="00246659">
              <w:rPr>
                <w:rFonts w:ascii="Arial" w:hAnsi="Arial" w:cs="Arial"/>
                <w:b/>
              </w:rPr>
              <w:t>C)</w:t>
            </w:r>
          </w:p>
        </w:tc>
      </w:tr>
      <w:tr w:rsidR="00D023E3" w:rsidRPr="008146BA" w:rsidTr="004C3DC8">
        <w:trPr>
          <w:trHeight w:val="288"/>
        </w:trPr>
        <w:tc>
          <w:tcPr>
            <w:tcW w:w="786" w:type="dxa"/>
            <w:tcBorders>
              <w:top w:val="double" w:sz="4" w:space="0" w:color="auto"/>
              <w:bottom w:val="single" w:sz="12" w:space="0" w:color="auto"/>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pH</w:t>
            </w:r>
          </w:p>
        </w:tc>
        <w:tc>
          <w:tcPr>
            <w:tcW w:w="786" w:type="dxa"/>
            <w:tcBorders>
              <w:top w:val="double" w:sz="4" w:space="0" w:color="auto"/>
              <w:left w:val="single" w:sz="12"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0-14</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15</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16</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17</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18</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19</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20</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21</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22</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23</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24</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25</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26</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27</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28</w:t>
            </w:r>
          </w:p>
        </w:tc>
        <w:tc>
          <w:tcPr>
            <w:tcW w:w="786"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29</w:t>
            </w:r>
          </w:p>
        </w:tc>
        <w:tc>
          <w:tcPr>
            <w:tcW w:w="786" w:type="dxa"/>
            <w:tcBorders>
              <w:top w:val="double" w:sz="4" w:space="0" w:color="auto"/>
              <w:left w:val="single" w:sz="4" w:space="0" w:color="auto"/>
              <w:bottom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30</w:t>
            </w:r>
          </w:p>
        </w:tc>
      </w:tr>
      <w:tr w:rsidR="00D023E3" w:rsidRPr="008146BA" w:rsidTr="004C3DC8">
        <w:trPr>
          <w:trHeight w:val="288"/>
        </w:trPr>
        <w:tc>
          <w:tcPr>
            <w:tcW w:w="786" w:type="dxa"/>
            <w:tcBorders>
              <w:top w:val="single" w:sz="12" w:space="0" w:color="auto"/>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6.5</w:t>
            </w:r>
          </w:p>
        </w:tc>
        <w:tc>
          <w:tcPr>
            <w:tcW w:w="786" w:type="dxa"/>
            <w:tcBorders>
              <w:top w:val="single" w:sz="12" w:space="0" w:color="auto"/>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top w:val="single" w:sz="12" w:space="0" w:color="auto"/>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9.9</w:t>
            </w:r>
          </w:p>
        </w:tc>
      </w:tr>
      <w:tr w:rsidR="00D023E3" w:rsidRPr="008146BA" w:rsidTr="004C3DC8">
        <w:trPr>
          <w:trHeight w:val="288"/>
        </w:trPr>
        <w:tc>
          <w:tcPr>
            <w:tcW w:w="786"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6.6</w:t>
            </w:r>
          </w:p>
        </w:tc>
        <w:tc>
          <w:tcPr>
            <w:tcW w:w="786" w:type="dxa"/>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9.5</w:t>
            </w:r>
          </w:p>
        </w:tc>
      </w:tr>
      <w:tr w:rsidR="00D023E3" w:rsidRPr="008146BA" w:rsidTr="004C3DC8">
        <w:trPr>
          <w:trHeight w:val="288"/>
        </w:trPr>
        <w:tc>
          <w:tcPr>
            <w:tcW w:w="786"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6.7</w:t>
            </w:r>
          </w:p>
        </w:tc>
        <w:tc>
          <w:tcPr>
            <w:tcW w:w="786" w:type="dxa"/>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9.8</w:t>
            </w:r>
          </w:p>
        </w:tc>
        <w:tc>
          <w:tcPr>
            <w:tcW w:w="786" w:type="dxa"/>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9.0</w:t>
            </w:r>
          </w:p>
        </w:tc>
      </w:tr>
      <w:tr w:rsidR="00D023E3" w:rsidRPr="008146BA" w:rsidTr="004C3DC8">
        <w:trPr>
          <w:trHeight w:val="288"/>
        </w:trPr>
        <w:tc>
          <w:tcPr>
            <w:tcW w:w="786"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6.8</w:t>
            </w:r>
          </w:p>
        </w:tc>
        <w:tc>
          <w:tcPr>
            <w:tcW w:w="786" w:type="dxa"/>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9.2</w:t>
            </w:r>
          </w:p>
        </w:tc>
        <w:tc>
          <w:tcPr>
            <w:tcW w:w="786" w:type="dxa"/>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8.5</w:t>
            </w:r>
          </w:p>
        </w:tc>
      </w:tr>
      <w:tr w:rsidR="00D023E3" w:rsidRPr="008146BA" w:rsidTr="004C3DC8">
        <w:trPr>
          <w:trHeight w:val="288"/>
        </w:trPr>
        <w:tc>
          <w:tcPr>
            <w:tcW w:w="786"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6.9</w:t>
            </w:r>
          </w:p>
        </w:tc>
        <w:tc>
          <w:tcPr>
            <w:tcW w:w="786" w:type="dxa"/>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8.6</w:t>
            </w:r>
          </w:p>
        </w:tc>
        <w:tc>
          <w:tcPr>
            <w:tcW w:w="786" w:type="dxa"/>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7.9</w:t>
            </w:r>
          </w:p>
        </w:tc>
      </w:tr>
      <w:tr w:rsidR="00D023E3" w:rsidRPr="008146BA" w:rsidTr="004C3DC8">
        <w:trPr>
          <w:trHeight w:val="288"/>
        </w:trPr>
        <w:tc>
          <w:tcPr>
            <w:tcW w:w="786"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7.0</w:t>
            </w:r>
          </w:p>
        </w:tc>
        <w:tc>
          <w:tcPr>
            <w:tcW w:w="786" w:type="dxa"/>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8.0</w:t>
            </w:r>
          </w:p>
        </w:tc>
        <w:tc>
          <w:tcPr>
            <w:tcW w:w="786" w:type="dxa"/>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7.3</w:t>
            </w:r>
          </w:p>
        </w:tc>
      </w:tr>
      <w:tr w:rsidR="00D023E3" w:rsidRPr="008146BA" w:rsidTr="004C3DC8">
        <w:trPr>
          <w:trHeight w:val="288"/>
        </w:trPr>
        <w:tc>
          <w:tcPr>
            <w:tcW w:w="786"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7.1</w:t>
            </w:r>
          </w:p>
        </w:tc>
        <w:tc>
          <w:tcPr>
            <w:tcW w:w="786" w:type="dxa"/>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7.9</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7.2</w:t>
            </w:r>
          </w:p>
        </w:tc>
        <w:tc>
          <w:tcPr>
            <w:tcW w:w="786" w:type="dxa"/>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6.7</w:t>
            </w:r>
          </w:p>
        </w:tc>
      </w:tr>
      <w:tr w:rsidR="00D023E3" w:rsidRPr="008146BA" w:rsidTr="004C3DC8">
        <w:trPr>
          <w:trHeight w:val="288"/>
        </w:trPr>
        <w:tc>
          <w:tcPr>
            <w:tcW w:w="786"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7.2</w:t>
            </w:r>
          </w:p>
        </w:tc>
        <w:tc>
          <w:tcPr>
            <w:tcW w:w="786" w:type="dxa"/>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6.5</w:t>
            </w:r>
          </w:p>
        </w:tc>
        <w:tc>
          <w:tcPr>
            <w:tcW w:w="786" w:type="dxa"/>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6.0</w:t>
            </w:r>
          </w:p>
        </w:tc>
      </w:tr>
      <w:tr w:rsidR="00D023E3" w:rsidRPr="008146BA" w:rsidTr="004C3DC8">
        <w:trPr>
          <w:trHeight w:val="288"/>
        </w:trPr>
        <w:tc>
          <w:tcPr>
            <w:tcW w:w="786"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7.3</w:t>
            </w:r>
          </w:p>
        </w:tc>
        <w:tc>
          <w:tcPr>
            <w:tcW w:w="786" w:type="dxa"/>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5.8</w:t>
            </w:r>
          </w:p>
        </w:tc>
        <w:tc>
          <w:tcPr>
            <w:tcW w:w="786" w:type="dxa"/>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5.3</w:t>
            </w:r>
          </w:p>
        </w:tc>
      </w:tr>
      <w:tr w:rsidR="00D023E3" w:rsidRPr="008146BA" w:rsidTr="004C3DC8">
        <w:trPr>
          <w:trHeight w:val="288"/>
        </w:trPr>
        <w:tc>
          <w:tcPr>
            <w:tcW w:w="786"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7.4</w:t>
            </w:r>
          </w:p>
        </w:tc>
        <w:tc>
          <w:tcPr>
            <w:tcW w:w="786" w:type="dxa"/>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5.1</w:t>
            </w:r>
          </w:p>
        </w:tc>
        <w:tc>
          <w:tcPr>
            <w:tcW w:w="786" w:type="dxa"/>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4.7</w:t>
            </w:r>
          </w:p>
        </w:tc>
      </w:tr>
      <w:tr w:rsidR="00D023E3" w:rsidRPr="008146BA" w:rsidTr="004C3DC8">
        <w:trPr>
          <w:trHeight w:val="288"/>
        </w:trPr>
        <w:tc>
          <w:tcPr>
            <w:tcW w:w="786"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7.5</w:t>
            </w:r>
          </w:p>
        </w:tc>
        <w:tc>
          <w:tcPr>
            <w:tcW w:w="786" w:type="dxa"/>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786" w:type="dxa"/>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4.0</w:t>
            </w:r>
          </w:p>
        </w:tc>
      </w:tr>
      <w:tr w:rsidR="00D023E3" w:rsidRPr="008146BA" w:rsidTr="004C3DC8">
        <w:trPr>
          <w:trHeight w:val="288"/>
        </w:trPr>
        <w:tc>
          <w:tcPr>
            <w:tcW w:w="786"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7.6</w:t>
            </w:r>
          </w:p>
        </w:tc>
        <w:tc>
          <w:tcPr>
            <w:tcW w:w="786" w:type="dxa"/>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7.9</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786" w:type="dxa"/>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r>
      <w:tr w:rsidR="00D023E3" w:rsidRPr="008146BA" w:rsidTr="004C3DC8">
        <w:trPr>
          <w:trHeight w:val="288"/>
        </w:trPr>
        <w:tc>
          <w:tcPr>
            <w:tcW w:w="786"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7.7</w:t>
            </w:r>
          </w:p>
        </w:tc>
        <w:tc>
          <w:tcPr>
            <w:tcW w:w="786" w:type="dxa"/>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7.9</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786" w:type="dxa"/>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r>
      <w:tr w:rsidR="00D023E3" w:rsidRPr="008146BA" w:rsidTr="004C3DC8">
        <w:trPr>
          <w:trHeight w:val="288"/>
        </w:trPr>
        <w:tc>
          <w:tcPr>
            <w:tcW w:w="786"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7.8</w:t>
            </w:r>
          </w:p>
        </w:tc>
        <w:tc>
          <w:tcPr>
            <w:tcW w:w="786" w:type="dxa"/>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7.9</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786" w:type="dxa"/>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r>
      <w:tr w:rsidR="00D023E3" w:rsidRPr="001862BC" w:rsidTr="004C3DC8">
        <w:trPr>
          <w:trHeight w:val="288"/>
        </w:trPr>
        <w:tc>
          <w:tcPr>
            <w:tcW w:w="786"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7.9</w:t>
            </w:r>
          </w:p>
        </w:tc>
        <w:tc>
          <w:tcPr>
            <w:tcW w:w="786" w:type="dxa"/>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786" w:type="dxa"/>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r>
      <w:tr w:rsidR="00D023E3" w:rsidRPr="001862BC" w:rsidTr="004C3DC8">
        <w:trPr>
          <w:trHeight w:val="288"/>
        </w:trPr>
        <w:tc>
          <w:tcPr>
            <w:tcW w:w="786"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8.0</w:t>
            </w:r>
          </w:p>
        </w:tc>
        <w:tc>
          <w:tcPr>
            <w:tcW w:w="786" w:type="dxa"/>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3.9</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786" w:type="dxa"/>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r>
      <w:tr w:rsidR="00D023E3" w:rsidRPr="001862BC" w:rsidTr="004C3DC8">
        <w:trPr>
          <w:trHeight w:val="288"/>
        </w:trPr>
        <w:tc>
          <w:tcPr>
            <w:tcW w:w="786"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8.1</w:t>
            </w:r>
          </w:p>
        </w:tc>
        <w:tc>
          <w:tcPr>
            <w:tcW w:w="786" w:type="dxa"/>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r>
      <w:tr w:rsidR="00D023E3" w:rsidRPr="001862BC" w:rsidTr="004C3DC8">
        <w:trPr>
          <w:trHeight w:val="288"/>
        </w:trPr>
        <w:tc>
          <w:tcPr>
            <w:tcW w:w="786"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8.2</w:t>
            </w:r>
          </w:p>
        </w:tc>
        <w:tc>
          <w:tcPr>
            <w:tcW w:w="786" w:type="dxa"/>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r>
      <w:tr w:rsidR="00D023E3" w:rsidRPr="001862BC" w:rsidTr="004C3DC8">
        <w:trPr>
          <w:trHeight w:val="288"/>
        </w:trPr>
        <w:tc>
          <w:tcPr>
            <w:tcW w:w="786"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8.3</w:t>
            </w:r>
          </w:p>
        </w:tc>
        <w:tc>
          <w:tcPr>
            <w:tcW w:w="786" w:type="dxa"/>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0.96</w:t>
            </w:r>
          </w:p>
        </w:tc>
      </w:tr>
      <w:tr w:rsidR="00D023E3" w:rsidRPr="001862BC" w:rsidTr="004C3DC8">
        <w:trPr>
          <w:trHeight w:val="288"/>
        </w:trPr>
        <w:tc>
          <w:tcPr>
            <w:tcW w:w="786"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8.4</w:t>
            </w:r>
          </w:p>
        </w:tc>
        <w:tc>
          <w:tcPr>
            <w:tcW w:w="786" w:type="dxa"/>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0.86</w:t>
            </w:r>
          </w:p>
        </w:tc>
        <w:tc>
          <w:tcPr>
            <w:tcW w:w="786" w:type="dxa"/>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0.79</w:t>
            </w:r>
          </w:p>
        </w:tc>
      </w:tr>
      <w:tr w:rsidR="00D023E3" w:rsidRPr="001862BC" w:rsidTr="004C3DC8">
        <w:trPr>
          <w:trHeight w:val="288"/>
        </w:trPr>
        <w:tc>
          <w:tcPr>
            <w:tcW w:w="786"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8.5</w:t>
            </w:r>
          </w:p>
        </w:tc>
        <w:tc>
          <w:tcPr>
            <w:tcW w:w="786" w:type="dxa"/>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0.71</w:t>
            </w:r>
          </w:p>
        </w:tc>
        <w:tc>
          <w:tcPr>
            <w:tcW w:w="786" w:type="dxa"/>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0.65</w:t>
            </w:r>
          </w:p>
        </w:tc>
      </w:tr>
      <w:tr w:rsidR="00D023E3" w:rsidRPr="001862BC" w:rsidTr="004C3DC8">
        <w:trPr>
          <w:trHeight w:val="288"/>
        </w:trPr>
        <w:tc>
          <w:tcPr>
            <w:tcW w:w="786"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8.6</w:t>
            </w:r>
          </w:p>
        </w:tc>
        <w:tc>
          <w:tcPr>
            <w:tcW w:w="786" w:type="dxa"/>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0.75</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0.69</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0.59</w:t>
            </w:r>
          </w:p>
        </w:tc>
        <w:tc>
          <w:tcPr>
            <w:tcW w:w="786" w:type="dxa"/>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0.54</w:t>
            </w:r>
          </w:p>
        </w:tc>
      </w:tr>
      <w:tr w:rsidR="00D023E3" w:rsidRPr="001862BC" w:rsidTr="004C3DC8">
        <w:trPr>
          <w:trHeight w:val="288"/>
        </w:trPr>
        <w:tc>
          <w:tcPr>
            <w:tcW w:w="786"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8.7</w:t>
            </w:r>
          </w:p>
        </w:tc>
        <w:tc>
          <w:tcPr>
            <w:tcW w:w="786" w:type="dxa"/>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0.49</w:t>
            </w:r>
          </w:p>
        </w:tc>
        <w:tc>
          <w:tcPr>
            <w:tcW w:w="786" w:type="dxa"/>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0.45</w:t>
            </w:r>
          </w:p>
        </w:tc>
      </w:tr>
      <w:tr w:rsidR="00D023E3" w:rsidRPr="001862BC" w:rsidTr="004C3DC8">
        <w:trPr>
          <w:trHeight w:val="288"/>
        </w:trPr>
        <w:tc>
          <w:tcPr>
            <w:tcW w:w="786"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8.8</w:t>
            </w:r>
          </w:p>
        </w:tc>
        <w:tc>
          <w:tcPr>
            <w:tcW w:w="786" w:type="dxa"/>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0.86</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0.79</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0.73</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0.52</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0.41</w:t>
            </w:r>
          </w:p>
        </w:tc>
        <w:tc>
          <w:tcPr>
            <w:tcW w:w="786" w:type="dxa"/>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0.37</w:t>
            </w:r>
          </w:p>
        </w:tc>
      </w:tr>
      <w:tr w:rsidR="00D023E3" w:rsidRPr="001862BC" w:rsidTr="004C3DC8">
        <w:trPr>
          <w:trHeight w:val="288"/>
        </w:trPr>
        <w:tc>
          <w:tcPr>
            <w:tcW w:w="786"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8.9</w:t>
            </w:r>
          </w:p>
        </w:tc>
        <w:tc>
          <w:tcPr>
            <w:tcW w:w="786" w:type="dxa"/>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0.93</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0.85</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0.79</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0.61</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0.56</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0.52</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0.48</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0.44</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0.40</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0.37</w:t>
            </w:r>
          </w:p>
        </w:tc>
        <w:tc>
          <w:tcPr>
            <w:tcW w:w="786"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0.34</w:t>
            </w:r>
          </w:p>
        </w:tc>
        <w:tc>
          <w:tcPr>
            <w:tcW w:w="786" w:type="dxa"/>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0.32</w:t>
            </w:r>
          </w:p>
        </w:tc>
      </w:tr>
      <w:tr w:rsidR="00D023E3" w:rsidRPr="001862BC" w:rsidTr="004C3DC8">
        <w:trPr>
          <w:trHeight w:val="288"/>
        </w:trPr>
        <w:tc>
          <w:tcPr>
            <w:tcW w:w="786" w:type="dxa"/>
            <w:tcBorders>
              <w:bottom w:val="double" w:sz="4" w:space="0" w:color="auto"/>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9.0</w:t>
            </w:r>
          </w:p>
        </w:tc>
        <w:tc>
          <w:tcPr>
            <w:tcW w:w="786" w:type="dxa"/>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0.88</w:t>
            </w:r>
          </w:p>
        </w:tc>
        <w:tc>
          <w:tcPr>
            <w:tcW w:w="786" w:type="dxa"/>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0.86</w:t>
            </w:r>
          </w:p>
        </w:tc>
        <w:tc>
          <w:tcPr>
            <w:tcW w:w="786" w:type="dxa"/>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0.79</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0.73</w:t>
            </w:r>
          </w:p>
        </w:tc>
        <w:tc>
          <w:tcPr>
            <w:tcW w:w="786" w:type="dxa"/>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0.62</w:t>
            </w:r>
          </w:p>
        </w:tc>
        <w:tc>
          <w:tcPr>
            <w:tcW w:w="786" w:type="dxa"/>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0.57</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0.52</w:t>
            </w:r>
          </w:p>
        </w:tc>
        <w:tc>
          <w:tcPr>
            <w:tcW w:w="786" w:type="dxa"/>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0.48</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0.44</w:t>
            </w:r>
          </w:p>
        </w:tc>
        <w:tc>
          <w:tcPr>
            <w:tcW w:w="786" w:type="dxa"/>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0.41</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0.37</w:t>
            </w:r>
          </w:p>
        </w:tc>
        <w:tc>
          <w:tcPr>
            <w:tcW w:w="786" w:type="dxa"/>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0.34</w:t>
            </w:r>
          </w:p>
        </w:tc>
        <w:tc>
          <w:tcPr>
            <w:tcW w:w="786"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0.32</w:t>
            </w:r>
          </w:p>
        </w:tc>
        <w:tc>
          <w:tcPr>
            <w:tcW w:w="786" w:type="dxa"/>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0.29</w:t>
            </w:r>
          </w:p>
        </w:tc>
        <w:tc>
          <w:tcPr>
            <w:tcW w:w="786" w:type="dxa"/>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0.27</w:t>
            </w:r>
          </w:p>
        </w:tc>
      </w:tr>
    </w:tbl>
    <w:p w:rsidR="00D023E3" w:rsidRDefault="00D023E3" w:rsidP="004D65A8">
      <w:pPr>
        <w:sectPr w:rsidR="00D023E3" w:rsidSect="00684E1C">
          <w:pgSz w:w="15840" w:h="12240" w:orient="landscape"/>
          <w:pgMar w:top="720" w:right="720" w:bottom="720" w:left="720" w:header="720" w:footer="720" w:gutter="0"/>
          <w:cols w:space="720"/>
          <w:docGrid w:linePitch="360"/>
        </w:sectPr>
      </w:pPr>
    </w:p>
    <w:tbl>
      <w:tblPr>
        <w:tblW w:w="14508" w:type="dxa"/>
        <w:tblBorders>
          <w:top w:val="double" w:sz="4" w:space="0" w:color="auto"/>
          <w:left w:val="double" w:sz="4" w:space="0" w:color="auto"/>
          <w:bottom w:val="double" w:sz="4" w:space="0" w:color="auto"/>
          <w:right w:val="double" w:sz="4" w:space="0" w:color="auto"/>
        </w:tblBorders>
        <w:tblLayout w:type="fixed"/>
        <w:tblCellMar>
          <w:left w:w="72" w:type="dxa"/>
          <w:right w:w="72" w:type="dxa"/>
        </w:tblCellMar>
        <w:tblLook w:val="00A0"/>
      </w:tblPr>
      <w:tblGrid>
        <w:gridCol w:w="580"/>
        <w:gridCol w:w="79"/>
        <w:gridCol w:w="501"/>
        <w:gridCol w:w="158"/>
        <w:gridCol w:w="422"/>
        <w:gridCol w:w="238"/>
        <w:gridCol w:w="343"/>
        <w:gridCol w:w="316"/>
        <w:gridCol w:w="264"/>
        <w:gridCol w:w="396"/>
        <w:gridCol w:w="184"/>
        <w:gridCol w:w="475"/>
        <w:gridCol w:w="106"/>
        <w:gridCol w:w="554"/>
        <w:gridCol w:w="26"/>
        <w:gridCol w:w="580"/>
        <w:gridCol w:w="53"/>
        <w:gridCol w:w="528"/>
        <w:gridCol w:w="132"/>
        <w:gridCol w:w="448"/>
        <w:gridCol w:w="211"/>
        <w:gridCol w:w="369"/>
        <w:gridCol w:w="291"/>
        <w:gridCol w:w="290"/>
        <w:gridCol w:w="369"/>
        <w:gridCol w:w="211"/>
        <w:gridCol w:w="448"/>
        <w:gridCol w:w="132"/>
        <w:gridCol w:w="528"/>
        <w:gridCol w:w="53"/>
        <w:gridCol w:w="580"/>
        <w:gridCol w:w="26"/>
        <w:gridCol w:w="554"/>
        <w:gridCol w:w="106"/>
        <w:gridCol w:w="475"/>
        <w:gridCol w:w="184"/>
        <w:gridCol w:w="396"/>
        <w:gridCol w:w="264"/>
        <w:gridCol w:w="316"/>
        <w:gridCol w:w="343"/>
        <w:gridCol w:w="238"/>
        <w:gridCol w:w="422"/>
        <w:gridCol w:w="158"/>
        <w:gridCol w:w="501"/>
        <w:gridCol w:w="79"/>
        <w:gridCol w:w="581"/>
      </w:tblGrid>
      <w:tr w:rsidR="00D023E3" w:rsidRPr="001862BC" w:rsidTr="009371F6">
        <w:trPr>
          <w:trHeight w:val="861"/>
        </w:trPr>
        <w:tc>
          <w:tcPr>
            <w:tcW w:w="14508" w:type="dxa"/>
            <w:gridSpan w:val="46"/>
            <w:tcBorders>
              <w:top w:val="double" w:sz="4" w:space="0" w:color="auto"/>
              <w:left w:val="double" w:sz="4" w:space="0" w:color="auto"/>
              <w:right w:val="double" w:sz="4" w:space="0" w:color="auto"/>
            </w:tcBorders>
            <w:shd w:val="clear" w:color="auto" w:fill="008272"/>
            <w:vAlign w:val="center"/>
          </w:tcPr>
          <w:p w:rsidR="00272C67" w:rsidRDefault="006E1E97" w:rsidP="00272C67">
            <w:pPr>
              <w:jc w:val="center"/>
              <w:rPr>
                <w:rFonts w:ascii="Arial" w:hAnsi="Arial" w:cs="Arial"/>
                <w:color w:val="FFFFFF" w:themeColor="background1"/>
                <w:sz w:val="24"/>
                <w:szCs w:val="24"/>
              </w:rPr>
            </w:pPr>
            <w:r w:rsidRPr="006E1E97">
              <w:rPr>
                <w:rFonts w:ascii="Arial" w:hAnsi="Arial" w:cs="Arial"/>
                <w:b/>
                <w:color w:val="FFFFFF" w:themeColor="background1"/>
                <w:sz w:val="24"/>
                <w:szCs w:val="24"/>
              </w:rPr>
              <w:lastRenderedPageBreak/>
              <w:t>Table 2</w:t>
            </w:r>
            <w:r w:rsidRPr="006E1E97">
              <w:rPr>
                <w:rFonts w:ascii="Arial" w:hAnsi="Arial" w:cs="Arial"/>
                <w:color w:val="FFFFFF" w:themeColor="background1"/>
                <w:sz w:val="24"/>
                <w:szCs w:val="24"/>
              </w:rPr>
              <w:t xml:space="preserve">: Ammonia Acute Criteria Values (One-hour Average*)—Salmonid Species </w:t>
            </w:r>
            <w:r w:rsidRPr="006E1E97">
              <w:rPr>
                <w:rFonts w:ascii="Arial" w:hAnsi="Arial" w:cs="Arial"/>
                <w:color w:val="FFFFFF" w:themeColor="background1"/>
                <w:sz w:val="24"/>
                <w:szCs w:val="24"/>
                <w:u w:val="single"/>
              </w:rPr>
              <w:t>Absent</w:t>
            </w:r>
          </w:p>
          <w:p w:rsidR="00272C67" w:rsidRDefault="006E1E97" w:rsidP="00272C67">
            <w:pPr>
              <w:jc w:val="center"/>
              <w:rPr>
                <w:rFonts w:ascii="Arial" w:hAnsi="Arial" w:cs="Arial"/>
                <w:color w:val="FFFFFF" w:themeColor="background1"/>
              </w:rPr>
            </w:pPr>
            <w:r w:rsidRPr="006E1E97">
              <w:rPr>
                <w:rFonts w:ascii="Arial" w:hAnsi="Arial" w:cs="Arial"/>
                <w:color w:val="FFFFFF" w:themeColor="background1"/>
                <w:sz w:val="24"/>
                <w:szCs w:val="24"/>
              </w:rPr>
              <w:t>Temperature and pH-Dependent and expressed as Total Ammonia Nitrogen (mg/L TAN)</w:t>
            </w:r>
          </w:p>
        </w:tc>
      </w:tr>
      <w:tr w:rsidR="00D023E3" w:rsidRPr="001862BC" w:rsidTr="009371F6">
        <w:trPr>
          <w:trHeight w:val="162"/>
        </w:trPr>
        <w:tc>
          <w:tcPr>
            <w:tcW w:w="14508" w:type="dxa"/>
            <w:gridSpan w:val="46"/>
            <w:tcBorders>
              <w:bottom w:val="nil"/>
            </w:tcBorders>
            <w:shd w:val="clear" w:color="auto" w:fill="B1DDCD"/>
            <w:vAlign w:val="center"/>
          </w:tcPr>
          <w:p w:rsidR="00272C67" w:rsidRDefault="00D023E3" w:rsidP="00272C67">
            <w:pPr>
              <w:jc w:val="center"/>
              <w:rPr>
                <w:rFonts w:ascii="Arial" w:hAnsi="Arial" w:cs="Arial"/>
                <w:b/>
              </w:rPr>
            </w:pPr>
            <w:r w:rsidRPr="008146BA">
              <w:rPr>
                <w:rFonts w:ascii="Arial" w:hAnsi="Arial" w:cs="Arial"/>
              </w:rPr>
              <w:t>Criteria cannot be exceeded more than once every three years</w:t>
            </w:r>
          </w:p>
        </w:tc>
      </w:tr>
      <w:tr w:rsidR="00D023E3" w:rsidRPr="001862BC" w:rsidTr="009371F6">
        <w:trPr>
          <w:trHeight w:val="711"/>
        </w:trPr>
        <w:tc>
          <w:tcPr>
            <w:tcW w:w="14508" w:type="dxa"/>
            <w:gridSpan w:val="46"/>
            <w:tcBorders>
              <w:top w:val="nil"/>
              <w:bottom w:val="single" w:sz="4" w:space="0" w:color="auto"/>
            </w:tcBorders>
            <w:shd w:val="clear" w:color="auto" w:fill="FFFFFF" w:themeFill="background1"/>
            <w:vAlign w:val="center"/>
          </w:tcPr>
          <w:p w:rsidR="009371F6" w:rsidRPr="009371F6" w:rsidRDefault="00D023E3" w:rsidP="008146BA">
            <w:pPr>
              <w:spacing w:before="240"/>
            </w:pPr>
            <m:oMathPara>
              <m:oMath>
                <m:r>
                  <w:rPr>
                    <w:rFonts w:ascii="Cambria Math" w:hAnsi="Cambria Math" w:cs="Arial"/>
                  </w:rPr>
                  <m:t>Acute</m:t>
                </m:r>
                <m:r>
                  <m:rPr>
                    <m:sty m:val="p"/>
                  </m:rPr>
                  <w:rPr>
                    <w:rFonts w:ascii="Cambria Math" w:hAnsi="Cambria Math" w:cs="Arial"/>
                  </w:rPr>
                  <m:t xml:space="preserve"> </m:t>
                </m:r>
                <m:r>
                  <w:rPr>
                    <w:rFonts w:ascii="Cambria Math" w:hAnsi="Cambria Math" w:cs="Arial"/>
                  </w:rPr>
                  <m:t>Criterion</m:t>
                </m:r>
                <m:r>
                  <m:rPr>
                    <m:sty m:val="p"/>
                  </m:rPr>
                  <w:rPr>
                    <w:rFonts w:ascii="Cambria Math" w:hAnsi="Cambria Math" w:cs="Arial"/>
                  </w:rPr>
                  <m:t xml:space="preserve">=0.7249 × </m:t>
                </m:r>
                <m:f>
                  <m:fPr>
                    <m:ctrlPr>
                      <w:rPr>
                        <w:rFonts w:ascii="Cambria Math" w:hAnsi="Cambria Math" w:cs="Arial"/>
                      </w:rPr>
                    </m:ctrlPr>
                  </m:fPr>
                  <m:num>
                    <m:r>
                      <m:rPr>
                        <m:sty m:val="p"/>
                      </m:rPr>
                      <w:rPr>
                        <w:rFonts w:ascii="Cambria Math" w:hAnsi="Cambria Math" w:cs="Arial"/>
                      </w:rPr>
                      <m:t>0.0114</m:t>
                    </m:r>
                  </m:num>
                  <m:den>
                    <m:r>
                      <m:rPr>
                        <m:sty m:val="p"/>
                      </m:rPr>
                      <w:rPr>
                        <w:rFonts w:ascii="Cambria Math" w:hAnsi="Cambria Math" w:cs="Arial"/>
                      </w:rPr>
                      <m:t>1+</m:t>
                    </m:r>
                    <m:sSup>
                      <m:sSupPr>
                        <m:ctrlPr>
                          <w:rPr>
                            <w:rFonts w:ascii="Cambria Math" w:hAnsi="Cambria Math" w:cs="Arial"/>
                          </w:rPr>
                        </m:ctrlPr>
                      </m:sSupPr>
                      <m:e>
                        <m:r>
                          <m:rPr>
                            <m:sty m:val="p"/>
                          </m:rPr>
                          <w:rPr>
                            <w:rFonts w:ascii="Cambria Math" w:hAnsi="Cambria Math" w:cs="Arial"/>
                          </w:rPr>
                          <m:t>10</m:t>
                        </m:r>
                      </m:e>
                      <m:sup>
                        <m:r>
                          <m:rPr>
                            <m:sty m:val="p"/>
                          </m:rPr>
                          <w:rPr>
                            <w:rFonts w:ascii="Cambria Math" w:hAnsi="Cambria Math" w:cs="Arial"/>
                          </w:rPr>
                          <m:t>7.204-</m:t>
                        </m:r>
                        <m:r>
                          <w:rPr>
                            <w:rFonts w:ascii="Cambria Math" w:hAnsi="Cambria Math" w:cs="Arial"/>
                          </w:rPr>
                          <m:t>pH</m:t>
                        </m:r>
                      </m:sup>
                    </m:sSup>
                  </m:den>
                </m:f>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1.6181</m:t>
                    </m:r>
                  </m:num>
                  <m:den>
                    <m:r>
                      <m:rPr>
                        <m:sty m:val="p"/>
                      </m:rPr>
                      <w:rPr>
                        <w:rFonts w:ascii="Cambria Math" w:hAnsi="Cambria Math" w:cs="Arial"/>
                      </w:rPr>
                      <m:t>1+</m:t>
                    </m:r>
                    <m:sSup>
                      <m:sSupPr>
                        <m:ctrlPr>
                          <w:rPr>
                            <w:rFonts w:ascii="Cambria Math" w:hAnsi="Cambria Math" w:cs="Arial"/>
                          </w:rPr>
                        </m:ctrlPr>
                      </m:sSupPr>
                      <m:e>
                        <m:r>
                          <m:rPr>
                            <m:sty m:val="p"/>
                          </m:rPr>
                          <w:rPr>
                            <w:rFonts w:ascii="Cambria Math" w:hAnsi="Cambria Math" w:cs="Arial"/>
                          </w:rPr>
                          <m:t>10</m:t>
                        </m:r>
                      </m:e>
                      <m:sup>
                        <m:r>
                          <w:rPr>
                            <w:rFonts w:ascii="Cambria Math" w:hAnsi="Cambria Math" w:cs="Arial"/>
                          </w:rPr>
                          <m:t>pH</m:t>
                        </m:r>
                        <m:r>
                          <m:rPr>
                            <m:sty m:val="p"/>
                          </m:rPr>
                          <w:rPr>
                            <w:rFonts w:ascii="Cambria Math" w:hAnsi="Cambria Math" w:cs="Arial"/>
                          </w:rPr>
                          <m:t>-7.204</m:t>
                        </m:r>
                      </m:sup>
                    </m:sSup>
                  </m:den>
                </m:f>
                <m:r>
                  <m:rPr>
                    <m:sty m:val="p"/>
                  </m:rPr>
                  <w:rPr>
                    <w:rFonts w:ascii="Cambria Math" w:hAnsi="Cambria Math" w:cs="Arial"/>
                  </w:rPr>
                  <m:t>×</m:t>
                </m:r>
                <m:r>
                  <w:rPr>
                    <w:rFonts w:ascii="Cambria Math" w:hAnsi="Cambria Math" w:cs="Arial"/>
                  </w:rPr>
                  <m:t>MIN</m:t>
                </m:r>
                <m:d>
                  <m:dPr>
                    <m:ctrlPr>
                      <w:rPr>
                        <w:rFonts w:ascii="Cambria Math" w:hAnsi="Cambria Math" w:cs="Arial"/>
                      </w:rPr>
                    </m:ctrlPr>
                  </m:dPr>
                  <m:e>
                    <m:r>
                      <m:rPr>
                        <m:sty m:val="p"/>
                      </m:rPr>
                      <w:rPr>
                        <w:rFonts w:ascii="Cambria Math" w:hAnsi="Cambria Math" w:cs="Arial"/>
                      </w:rPr>
                      <m:t>51.93, 23.12×</m:t>
                    </m:r>
                    <m:sSup>
                      <m:sSupPr>
                        <m:ctrlPr>
                          <w:rPr>
                            <w:rFonts w:ascii="Cambria Math" w:hAnsi="Cambria Math" w:cs="Arial"/>
                          </w:rPr>
                        </m:ctrlPr>
                      </m:sSupPr>
                      <m:e>
                        <m:r>
                          <m:rPr>
                            <m:sty m:val="p"/>
                          </m:rPr>
                          <w:rPr>
                            <w:rFonts w:ascii="Cambria Math" w:hAnsi="Cambria Math" w:cs="Arial"/>
                          </w:rPr>
                          <m:t>10</m:t>
                        </m:r>
                      </m:e>
                      <m:sup>
                        <m:r>
                          <m:rPr>
                            <m:sty m:val="p"/>
                          </m:rPr>
                          <w:rPr>
                            <w:rFonts w:ascii="Cambria Math" w:hAnsi="Cambria Math" w:cs="Arial"/>
                          </w:rPr>
                          <m:t>0.036×</m:t>
                        </m:r>
                        <m:d>
                          <m:dPr>
                            <m:ctrlPr>
                              <w:rPr>
                                <w:rFonts w:ascii="Cambria Math" w:hAnsi="Cambria Math" w:cs="Arial"/>
                              </w:rPr>
                            </m:ctrlPr>
                          </m:dPr>
                          <m:e>
                            <m:r>
                              <m:rPr>
                                <m:sty m:val="p"/>
                              </m:rPr>
                              <w:rPr>
                                <w:rFonts w:ascii="Cambria Math" w:hAnsi="Cambria Math" w:cs="Arial"/>
                              </w:rPr>
                              <m:t>20-</m:t>
                            </m:r>
                            <m:r>
                              <w:rPr>
                                <w:rFonts w:ascii="Cambria Math" w:hAnsi="Cambria Math" w:cs="Arial"/>
                              </w:rPr>
                              <m:t>T</m:t>
                            </m:r>
                          </m:e>
                        </m:d>
                      </m:sup>
                    </m:sSup>
                  </m:e>
                </m:d>
              </m:oMath>
            </m:oMathPara>
          </w:p>
        </w:tc>
      </w:tr>
      <w:tr w:rsidR="00D023E3" w:rsidRPr="001862BC" w:rsidTr="009371F6">
        <w:trPr>
          <w:trHeight w:val="299"/>
        </w:trPr>
        <w:tc>
          <w:tcPr>
            <w:tcW w:w="14508" w:type="dxa"/>
            <w:gridSpan w:val="46"/>
            <w:tcBorders>
              <w:top w:val="single" w:sz="4" w:space="0" w:color="auto"/>
              <w:bottom w:val="double" w:sz="4" w:space="0" w:color="auto"/>
            </w:tcBorders>
            <w:shd w:val="clear" w:color="auto" w:fill="FFFFFF" w:themeFill="background1"/>
            <w:vAlign w:val="center"/>
          </w:tcPr>
          <w:p w:rsidR="00272C67" w:rsidRDefault="00D023E3" w:rsidP="00272C67">
            <w:pPr>
              <w:jc w:val="center"/>
              <w:rPr>
                <w:rFonts w:ascii="Arial" w:hAnsi="Arial" w:cs="Arial"/>
              </w:rPr>
            </w:pPr>
            <w:r w:rsidRPr="00246659">
              <w:rPr>
                <w:rFonts w:ascii="Arial" w:hAnsi="Arial" w:cs="Arial"/>
                <w:b/>
              </w:rPr>
              <w:t>Temperature (</w:t>
            </w:r>
            <w:r w:rsidRPr="00246659">
              <w:rPr>
                <w:rFonts w:ascii="Arial" w:hAnsi="Arial" w:cs="Arial"/>
                <w:b/>
                <w:vertAlign w:val="superscript"/>
              </w:rPr>
              <w:t>o</w:t>
            </w:r>
            <w:r w:rsidRPr="00246659">
              <w:rPr>
                <w:rFonts w:ascii="Arial" w:hAnsi="Arial" w:cs="Arial"/>
                <w:b/>
              </w:rPr>
              <w:t>C</w:t>
            </w:r>
            <w:r w:rsidRPr="008146BA">
              <w:rPr>
                <w:rFonts w:ascii="Arial" w:hAnsi="Arial" w:cs="Arial"/>
              </w:rPr>
              <w:t>)</w:t>
            </w:r>
          </w:p>
        </w:tc>
      </w:tr>
      <w:tr w:rsidR="00D023E3" w:rsidRPr="001862BC" w:rsidTr="009371F6">
        <w:trPr>
          <w:trHeight w:val="299"/>
        </w:trPr>
        <w:tc>
          <w:tcPr>
            <w:tcW w:w="659" w:type="dxa"/>
            <w:gridSpan w:val="2"/>
            <w:tcBorders>
              <w:top w:val="double" w:sz="4" w:space="0" w:color="auto"/>
              <w:bottom w:val="single" w:sz="12" w:space="0" w:color="auto"/>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pH</w:t>
            </w:r>
          </w:p>
        </w:tc>
        <w:tc>
          <w:tcPr>
            <w:tcW w:w="659" w:type="dxa"/>
            <w:gridSpan w:val="2"/>
            <w:tcBorders>
              <w:top w:val="double" w:sz="4" w:space="0" w:color="auto"/>
              <w:left w:val="single" w:sz="12"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0-10</w:t>
            </w:r>
          </w:p>
        </w:tc>
        <w:tc>
          <w:tcPr>
            <w:tcW w:w="66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11</w:t>
            </w:r>
          </w:p>
        </w:tc>
        <w:tc>
          <w:tcPr>
            <w:tcW w:w="659"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12</w:t>
            </w:r>
          </w:p>
        </w:tc>
        <w:tc>
          <w:tcPr>
            <w:tcW w:w="66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13</w:t>
            </w:r>
          </w:p>
        </w:tc>
        <w:tc>
          <w:tcPr>
            <w:tcW w:w="659"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14</w:t>
            </w:r>
          </w:p>
        </w:tc>
        <w:tc>
          <w:tcPr>
            <w:tcW w:w="660" w:type="dxa"/>
            <w:gridSpan w:val="2"/>
            <w:tcBorders>
              <w:top w:val="double" w:sz="4" w:space="0" w:color="auto"/>
              <w:left w:val="single" w:sz="4" w:space="0" w:color="auto"/>
              <w:bottom w:val="single" w:sz="12"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15</w:t>
            </w:r>
          </w:p>
        </w:tc>
        <w:tc>
          <w:tcPr>
            <w:tcW w:w="659" w:type="dxa"/>
            <w:gridSpan w:val="3"/>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16</w:t>
            </w:r>
          </w:p>
        </w:tc>
        <w:tc>
          <w:tcPr>
            <w:tcW w:w="66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17</w:t>
            </w:r>
          </w:p>
        </w:tc>
        <w:tc>
          <w:tcPr>
            <w:tcW w:w="659"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18</w:t>
            </w:r>
          </w:p>
        </w:tc>
        <w:tc>
          <w:tcPr>
            <w:tcW w:w="66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19</w:t>
            </w:r>
          </w:p>
        </w:tc>
        <w:tc>
          <w:tcPr>
            <w:tcW w:w="659"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20</w:t>
            </w:r>
          </w:p>
        </w:tc>
        <w:tc>
          <w:tcPr>
            <w:tcW w:w="659"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21</w:t>
            </w:r>
          </w:p>
        </w:tc>
        <w:tc>
          <w:tcPr>
            <w:tcW w:w="660" w:type="dxa"/>
            <w:gridSpan w:val="2"/>
            <w:tcBorders>
              <w:top w:val="double" w:sz="4" w:space="0" w:color="auto"/>
              <w:left w:val="single" w:sz="4" w:space="0" w:color="auto"/>
              <w:bottom w:val="single" w:sz="12"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22</w:t>
            </w:r>
          </w:p>
        </w:tc>
        <w:tc>
          <w:tcPr>
            <w:tcW w:w="659" w:type="dxa"/>
            <w:gridSpan w:val="3"/>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23</w:t>
            </w:r>
          </w:p>
        </w:tc>
        <w:tc>
          <w:tcPr>
            <w:tcW w:w="66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24</w:t>
            </w:r>
          </w:p>
        </w:tc>
        <w:tc>
          <w:tcPr>
            <w:tcW w:w="659"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25</w:t>
            </w:r>
          </w:p>
        </w:tc>
        <w:tc>
          <w:tcPr>
            <w:tcW w:w="66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26</w:t>
            </w:r>
          </w:p>
        </w:tc>
        <w:tc>
          <w:tcPr>
            <w:tcW w:w="659"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27</w:t>
            </w:r>
          </w:p>
        </w:tc>
        <w:tc>
          <w:tcPr>
            <w:tcW w:w="660" w:type="dxa"/>
            <w:gridSpan w:val="2"/>
            <w:tcBorders>
              <w:top w:val="double" w:sz="4" w:space="0" w:color="auto"/>
              <w:left w:val="single" w:sz="4" w:space="0" w:color="auto"/>
              <w:bottom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28</w:t>
            </w:r>
          </w:p>
        </w:tc>
        <w:tc>
          <w:tcPr>
            <w:tcW w:w="659" w:type="dxa"/>
            <w:gridSpan w:val="2"/>
            <w:tcBorders>
              <w:top w:val="double" w:sz="4" w:space="0" w:color="auto"/>
              <w:left w:val="single" w:sz="4" w:space="0" w:color="auto"/>
              <w:bottom w:val="single" w:sz="12" w:space="0" w:color="auto"/>
            </w:tcBorders>
            <w:shd w:val="clear" w:color="auto" w:fill="FFFFFF" w:themeFill="background1"/>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29</w:t>
            </w:r>
          </w:p>
        </w:tc>
        <w:tc>
          <w:tcPr>
            <w:tcW w:w="660" w:type="dxa"/>
            <w:gridSpan w:val="2"/>
            <w:tcBorders>
              <w:top w:val="double" w:sz="4" w:space="0" w:color="auto"/>
              <w:left w:val="single" w:sz="4" w:space="0" w:color="auto"/>
              <w:bottom w:val="single" w:sz="12" w:space="0" w:color="auto"/>
            </w:tcBorders>
            <w:shd w:val="clear" w:color="auto" w:fill="FFFFFF" w:themeFill="background1"/>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30</w:t>
            </w:r>
          </w:p>
        </w:tc>
      </w:tr>
      <w:tr w:rsidR="00D023E3" w:rsidRPr="001862BC" w:rsidTr="009371F6">
        <w:trPr>
          <w:trHeight w:val="299"/>
        </w:trPr>
        <w:tc>
          <w:tcPr>
            <w:tcW w:w="659" w:type="dxa"/>
            <w:gridSpan w:val="2"/>
            <w:tcBorders>
              <w:top w:val="single" w:sz="12" w:space="0" w:color="auto"/>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6.5</w:t>
            </w:r>
          </w:p>
        </w:tc>
        <w:tc>
          <w:tcPr>
            <w:tcW w:w="659" w:type="dxa"/>
            <w:gridSpan w:val="2"/>
            <w:tcBorders>
              <w:top w:val="single" w:sz="12" w:space="0" w:color="auto"/>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51</w:t>
            </w:r>
          </w:p>
        </w:tc>
        <w:tc>
          <w:tcPr>
            <w:tcW w:w="66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48</w:t>
            </w:r>
          </w:p>
        </w:tc>
        <w:tc>
          <w:tcPr>
            <w:tcW w:w="659"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66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41</w:t>
            </w:r>
          </w:p>
        </w:tc>
        <w:tc>
          <w:tcPr>
            <w:tcW w:w="659"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37</w:t>
            </w:r>
          </w:p>
        </w:tc>
        <w:tc>
          <w:tcPr>
            <w:tcW w:w="660" w:type="dxa"/>
            <w:gridSpan w:val="2"/>
            <w:tcBorders>
              <w:top w:val="single" w:sz="12" w:space="0" w:color="auto"/>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34</w:t>
            </w:r>
          </w:p>
        </w:tc>
        <w:tc>
          <w:tcPr>
            <w:tcW w:w="659" w:type="dxa"/>
            <w:gridSpan w:val="3"/>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66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659"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66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659"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659"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660" w:type="dxa"/>
            <w:gridSpan w:val="2"/>
            <w:tcBorders>
              <w:top w:val="single" w:sz="12" w:space="0" w:color="auto"/>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659" w:type="dxa"/>
            <w:gridSpan w:val="3"/>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6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659"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6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59"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60" w:type="dxa"/>
            <w:gridSpan w:val="2"/>
            <w:tcBorders>
              <w:top w:val="single" w:sz="12" w:space="0" w:color="auto"/>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59" w:type="dxa"/>
            <w:gridSpan w:val="2"/>
            <w:tcBorders>
              <w:top w:val="single" w:sz="12" w:space="0" w:color="auto"/>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60" w:type="dxa"/>
            <w:gridSpan w:val="2"/>
            <w:tcBorders>
              <w:top w:val="single" w:sz="12" w:space="0" w:color="auto"/>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9.9</w:t>
            </w:r>
          </w:p>
        </w:tc>
      </w:tr>
      <w:tr w:rsidR="00D023E3" w:rsidRPr="001862BC" w:rsidTr="009371F6">
        <w:trPr>
          <w:trHeight w:val="299"/>
        </w:trPr>
        <w:tc>
          <w:tcPr>
            <w:tcW w:w="659" w:type="dxa"/>
            <w:gridSpan w:val="2"/>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6.6</w:t>
            </w:r>
          </w:p>
        </w:tc>
        <w:tc>
          <w:tcPr>
            <w:tcW w:w="659"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49</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46</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42</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39</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36</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6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59"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6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9.5</w:t>
            </w:r>
          </w:p>
        </w:tc>
      </w:tr>
      <w:tr w:rsidR="00D023E3" w:rsidRPr="001862BC" w:rsidTr="009371F6">
        <w:trPr>
          <w:trHeight w:val="299"/>
        </w:trPr>
        <w:tc>
          <w:tcPr>
            <w:tcW w:w="659" w:type="dxa"/>
            <w:gridSpan w:val="2"/>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6.7</w:t>
            </w:r>
          </w:p>
        </w:tc>
        <w:tc>
          <w:tcPr>
            <w:tcW w:w="659"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46</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40</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37</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34</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6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59"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9.8</w:t>
            </w:r>
          </w:p>
        </w:tc>
        <w:tc>
          <w:tcPr>
            <w:tcW w:w="66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9.0</w:t>
            </w:r>
          </w:p>
        </w:tc>
      </w:tr>
      <w:tr w:rsidR="00D023E3" w:rsidRPr="001862BC" w:rsidTr="009371F6">
        <w:trPr>
          <w:trHeight w:val="299"/>
        </w:trPr>
        <w:tc>
          <w:tcPr>
            <w:tcW w:w="659" w:type="dxa"/>
            <w:gridSpan w:val="2"/>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6.8</w:t>
            </w:r>
          </w:p>
        </w:tc>
        <w:tc>
          <w:tcPr>
            <w:tcW w:w="659"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41</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6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59"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9.2</w:t>
            </w:r>
          </w:p>
        </w:tc>
        <w:tc>
          <w:tcPr>
            <w:tcW w:w="66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8.5</w:t>
            </w:r>
          </w:p>
        </w:tc>
      </w:tr>
      <w:tr w:rsidR="00D023E3" w:rsidRPr="001862BC" w:rsidTr="009371F6">
        <w:trPr>
          <w:trHeight w:val="299"/>
        </w:trPr>
        <w:tc>
          <w:tcPr>
            <w:tcW w:w="659" w:type="dxa"/>
            <w:gridSpan w:val="2"/>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6.9</w:t>
            </w:r>
          </w:p>
        </w:tc>
        <w:tc>
          <w:tcPr>
            <w:tcW w:w="659"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41</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6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9.4</w:t>
            </w:r>
          </w:p>
        </w:tc>
        <w:tc>
          <w:tcPr>
            <w:tcW w:w="659"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8.6</w:t>
            </w:r>
          </w:p>
        </w:tc>
        <w:tc>
          <w:tcPr>
            <w:tcW w:w="66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7.9</w:t>
            </w:r>
          </w:p>
        </w:tc>
      </w:tr>
      <w:tr w:rsidR="00D023E3" w:rsidRPr="001862BC" w:rsidTr="009371F6">
        <w:trPr>
          <w:trHeight w:val="299"/>
        </w:trPr>
        <w:tc>
          <w:tcPr>
            <w:tcW w:w="659" w:type="dxa"/>
            <w:gridSpan w:val="2"/>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7.0</w:t>
            </w:r>
          </w:p>
        </w:tc>
        <w:tc>
          <w:tcPr>
            <w:tcW w:w="659"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9.4</w:t>
            </w:r>
          </w:p>
        </w:tc>
        <w:tc>
          <w:tcPr>
            <w:tcW w:w="66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8.6</w:t>
            </w:r>
          </w:p>
        </w:tc>
        <w:tc>
          <w:tcPr>
            <w:tcW w:w="659"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7.9</w:t>
            </w:r>
          </w:p>
        </w:tc>
        <w:tc>
          <w:tcPr>
            <w:tcW w:w="66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7.3</w:t>
            </w:r>
          </w:p>
        </w:tc>
      </w:tr>
      <w:tr w:rsidR="00D023E3" w:rsidRPr="001862BC" w:rsidTr="009371F6">
        <w:trPr>
          <w:trHeight w:val="299"/>
        </w:trPr>
        <w:tc>
          <w:tcPr>
            <w:tcW w:w="659" w:type="dxa"/>
            <w:gridSpan w:val="2"/>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7.1</w:t>
            </w:r>
          </w:p>
        </w:tc>
        <w:tc>
          <w:tcPr>
            <w:tcW w:w="659"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34</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9.3</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8.5</w:t>
            </w:r>
          </w:p>
        </w:tc>
        <w:tc>
          <w:tcPr>
            <w:tcW w:w="66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7.9</w:t>
            </w:r>
          </w:p>
        </w:tc>
        <w:tc>
          <w:tcPr>
            <w:tcW w:w="659"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7.2</w:t>
            </w:r>
          </w:p>
        </w:tc>
        <w:tc>
          <w:tcPr>
            <w:tcW w:w="66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6.7</w:t>
            </w:r>
          </w:p>
        </w:tc>
      </w:tr>
      <w:tr w:rsidR="00D023E3" w:rsidRPr="001862BC" w:rsidTr="009371F6">
        <w:trPr>
          <w:trHeight w:val="299"/>
        </w:trPr>
        <w:tc>
          <w:tcPr>
            <w:tcW w:w="659" w:type="dxa"/>
            <w:gridSpan w:val="2"/>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7.2</w:t>
            </w:r>
          </w:p>
        </w:tc>
        <w:tc>
          <w:tcPr>
            <w:tcW w:w="659"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9.8</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9.1</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8.3</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7.7</w:t>
            </w:r>
          </w:p>
        </w:tc>
        <w:tc>
          <w:tcPr>
            <w:tcW w:w="66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7.1</w:t>
            </w:r>
          </w:p>
        </w:tc>
        <w:tc>
          <w:tcPr>
            <w:tcW w:w="659"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6.5</w:t>
            </w:r>
          </w:p>
        </w:tc>
        <w:tc>
          <w:tcPr>
            <w:tcW w:w="66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6.0</w:t>
            </w:r>
          </w:p>
        </w:tc>
      </w:tr>
      <w:tr w:rsidR="00D023E3" w:rsidRPr="001862BC" w:rsidTr="009371F6">
        <w:trPr>
          <w:trHeight w:val="299"/>
        </w:trPr>
        <w:tc>
          <w:tcPr>
            <w:tcW w:w="659" w:type="dxa"/>
            <w:gridSpan w:val="2"/>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7.3</w:t>
            </w:r>
          </w:p>
        </w:tc>
        <w:tc>
          <w:tcPr>
            <w:tcW w:w="659"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9.5</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8.7</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8.0</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7.4</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6.8</w:t>
            </w:r>
          </w:p>
        </w:tc>
        <w:tc>
          <w:tcPr>
            <w:tcW w:w="66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6.3</w:t>
            </w:r>
          </w:p>
        </w:tc>
        <w:tc>
          <w:tcPr>
            <w:tcW w:w="659"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5.8</w:t>
            </w:r>
          </w:p>
        </w:tc>
        <w:tc>
          <w:tcPr>
            <w:tcW w:w="66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5.3</w:t>
            </w:r>
          </w:p>
        </w:tc>
      </w:tr>
      <w:tr w:rsidR="00D023E3" w:rsidRPr="001862BC" w:rsidTr="009371F6">
        <w:trPr>
          <w:trHeight w:val="299"/>
        </w:trPr>
        <w:tc>
          <w:tcPr>
            <w:tcW w:w="659" w:type="dxa"/>
            <w:gridSpan w:val="2"/>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7.4</w:t>
            </w:r>
          </w:p>
        </w:tc>
        <w:tc>
          <w:tcPr>
            <w:tcW w:w="659"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9.8</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9.0</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8.3</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7.7</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7.0</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6.5</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6.0</w:t>
            </w:r>
          </w:p>
        </w:tc>
        <w:tc>
          <w:tcPr>
            <w:tcW w:w="66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5.5</w:t>
            </w:r>
          </w:p>
        </w:tc>
        <w:tc>
          <w:tcPr>
            <w:tcW w:w="659"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5.1</w:t>
            </w:r>
          </w:p>
        </w:tc>
        <w:tc>
          <w:tcPr>
            <w:tcW w:w="66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4.7</w:t>
            </w:r>
          </w:p>
        </w:tc>
      </w:tr>
      <w:tr w:rsidR="00D023E3" w:rsidRPr="001862BC" w:rsidTr="009371F6">
        <w:trPr>
          <w:trHeight w:val="299"/>
        </w:trPr>
        <w:tc>
          <w:tcPr>
            <w:tcW w:w="659" w:type="dxa"/>
            <w:gridSpan w:val="2"/>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7.5</w:t>
            </w:r>
          </w:p>
        </w:tc>
        <w:tc>
          <w:tcPr>
            <w:tcW w:w="659"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9.2</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8.5</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7.8</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7.2</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6.6</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6.1</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5.6</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5.2</w:t>
            </w:r>
          </w:p>
        </w:tc>
        <w:tc>
          <w:tcPr>
            <w:tcW w:w="66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4.8</w:t>
            </w:r>
          </w:p>
        </w:tc>
        <w:tc>
          <w:tcPr>
            <w:tcW w:w="659"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66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4.0</w:t>
            </w:r>
          </w:p>
        </w:tc>
      </w:tr>
      <w:tr w:rsidR="00D023E3" w:rsidRPr="001862BC" w:rsidTr="009371F6">
        <w:trPr>
          <w:trHeight w:val="299"/>
        </w:trPr>
        <w:tc>
          <w:tcPr>
            <w:tcW w:w="659" w:type="dxa"/>
            <w:gridSpan w:val="2"/>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7.6</w:t>
            </w:r>
          </w:p>
        </w:tc>
        <w:tc>
          <w:tcPr>
            <w:tcW w:w="659"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9.3</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8.6</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7.9</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7.3</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6.7</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6.2</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5.7</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5.2</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4.8</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66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4.1</w:t>
            </w:r>
          </w:p>
        </w:tc>
        <w:tc>
          <w:tcPr>
            <w:tcW w:w="659"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66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r>
      <w:tr w:rsidR="00D023E3" w:rsidRPr="001862BC" w:rsidTr="009371F6">
        <w:trPr>
          <w:trHeight w:val="299"/>
        </w:trPr>
        <w:tc>
          <w:tcPr>
            <w:tcW w:w="659" w:type="dxa"/>
            <w:gridSpan w:val="2"/>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7.7</w:t>
            </w:r>
          </w:p>
        </w:tc>
        <w:tc>
          <w:tcPr>
            <w:tcW w:w="659"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9.3</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8.6</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7.9</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7.3</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6.7</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6.2</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5.7</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5.2</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4.8</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4.1</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66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659"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66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r>
      <w:tr w:rsidR="00D023E3" w:rsidRPr="001862BC" w:rsidTr="009371F6">
        <w:trPr>
          <w:trHeight w:val="299"/>
        </w:trPr>
        <w:tc>
          <w:tcPr>
            <w:tcW w:w="659" w:type="dxa"/>
            <w:gridSpan w:val="2"/>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7.8</w:t>
            </w:r>
          </w:p>
        </w:tc>
        <w:tc>
          <w:tcPr>
            <w:tcW w:w="659"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9.3</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8.5</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7.9</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6.7</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6.1</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5.6</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5.2</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4.8</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4.0</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3.7</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3.4</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66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659"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66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r>
      <w:tr w:rsidR="00D023E3" w:rsidRPr="001862BC" w:rsidTr="009371F6">
        <w:trPr>
          <w:trHeight w:val="299"/>
        </w:trPr>
        <w:tc>
          <w:tcPr>
            <w:tcW w:w="659" w:type="dxa"/>
            <w:gridSpan w:val="2"/>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7.9</w:t>
            </w:r>
          </w:p>
        </w:tc>
        <w:tc>
          <w:tcPr>
            <w:tcW w:w="659"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9.9</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9.1</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8.4</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7.7</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7.1</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6.6</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5.6</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5.1</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4.7</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4.3</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4.0</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3.7</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3.4</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66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659"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66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r>
      <w:tr w:rsidR="00D023E3" w:rsidRPr="001862BC" w:rsidTr="009371F6">
        <w:trPr>
          <w:trHeight w:val="299"/>
        </w:trPr>
        <w:tc>
          <w:tcPr>
            <w:tcW w:w="659" w:type="dxa"/>
            <w:gridSpan w:val="2"/>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8.0</w:t>
            </w:r>
          </w:p>
        </w:tc>
        <w:tc>
          <w:tcPr>
            <w:tcW w:w="659"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8.8</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8.2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7.6</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7.0</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6.4</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5.9</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5.4</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5.0</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4.6</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3.9</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3.6</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66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659"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66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r>
      <w:tr w:rsidR="00D023E3" w:rsidRPr="001862BC" w:rsidTr="009371F6">
        <w:trPr>
          <w:trHeight w:val="299"/>
        </w:trPr>
        <w:tc>
          <w:tcPr>
            <w:tcW w:w="659" w:type="dxa"/>
            <w:gridSpan w:val="2"/>
            <w:tcBorders>
              <w:bottom w:val="nil"/>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8.1</w:t>
            </w:r>
          </w:p>
        </w:tc>
        <w:tc>
          <w:tcPr>
            <w:tcW w:w="659" w:type="dxa"/>
            <w:gridSpan w:val="2"/>
            <w:tcBorders>
              <w:left w:val="single" w:sz="12"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7.2</w:t>
            </w:r>
          </w:p>
        </w:tc>
        <w:tc>
          <w:tcPr>
            <w:tcW w:w="66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6.8</w:t>
            </w:r>
          </w:p>
        </w:tc>
        <w:tc>
          <w:tcPr>
            <w:tcW w:w="659"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6.3</w:t>
            </w:r>
          </w:p>
        </w:tc>
        <w:tc>
          <w:tcPr>
            <w:tcW w:w="66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5.8</w:t>
            </w:r>
          </w:p>
        </w:tc>
        <w:tc>
          <w:tcPr>
            <w:tcW w:w="659"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5.3</w:t>
            </w:r>
          </w:p>
        </w:tc>
        <w:tc>
          <w:tcPr>
            <w:tcW w:w="660" w:type="dxa"/>
            <w:gridSpan w:val="2"/>
            <w:tcBorders>
              <w:left w:val="single" w:sz="4" w:space="0" w:color="auto"/>
              <w:bottom w:val="nil"/>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4.9</w:t>
            </w:r>
          </w:p>
        </w:tc>
        <w:tc>
          <w:tcPr>
            <w:tcW w:w="659" w:type="dxa"/>
            <w:gridSpan w:val="3"/>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4.5</w:t>
            </w:r>
          </w:p>
        </w:tc>
        <w:tc>
          <w:tcPr>
            <w:tcW w:w="66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4.1</w:t>
            </w:r>
          </w:p>
        </w:tc>
        <w:tc>
          <w:tcPr>
            <w:tcW w:w="659"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66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659"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659"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660" w:type="dxa"/>
            <w:gridSpan w:val="2"/>
            <w:tcBorders>
              <w:left w:val="single" w:sz="4" w:space="0" w:color="auto"/>
              <w:bottom w:val="nil"/>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659" w:type="dxa"/>
            <w:gridSpan w:val="3"/>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66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659"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66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659"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60" w:type="dxa"/>
            <w:gridSpan w:val="2"/>
            <w:tcBorders>
              <w:left w:val="single" w:sz="4" w:space="0" w:color="auto"/>
              <w:bottom w:val="nil"/>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59" w:type="dxa"/>
            <w:gridSpan w:val="2"/>
            <w:tcBorders>
              <w:left w:val="single" w:sz="4" w:space="0" w:color="auto"/>
              <w:bottom w:val="nil"/>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60" w:type="dxa"/>
            <w:gridSpan w:val="2"/>
            <w:tcBorders>
              <w:left w:val="single" w:sz="4" w:space="0" w:color="auto"/>
              <w:bottom w:val="nil"/>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r>
      <w:tr w:rsidR="00D023E3" w:rsidRPr="001862BC" w:rsidTr="009371F6">
        <w:trPr>
          <w:trHeight w:val="299"/>
        </w:trPr>
        <w:tc>
          <w:tcPr>
            <w:tcW w:w="659" w:type="dxa"/>
            <w:gridSpan w:val="2"/>
            <w:tcBorders>
              <w:top w:val="nil"/>
              <w:bottom w:val="nil"/>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8.2</w:t>
            </w:r>
          </w:p>
        </w:tc>
        <w:tc>
          <w:tcPr>
            <w:tcW w:w="659" w:type="dxa"/>
            <w:gridSpan w:val="2"/>
            <w:tcBorders>
              <w:top w:val="nil"/>
              <w:left w:val="single" w:sz="12"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6.0</w:t>
            </w:r>
          </w:p>
        </w:tc>
        <w:tc>
          <w:tcPr>
            <w:tcW w:w="66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5.6</w:t>
            </w:r>
          </w:p>
        </w:tc>
        <w:tc>
          <w:tcPr>
            <w:tcW w:w="659"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5.2</w:t>
            </w:r>
          </w:p>
        </w:tc>
        <w:tc>
          <w:tcPr>
            <w:tcW w:w="66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4.8</w:t>
            </w:r>
          </w:p>
        </w:tc>
        <w:tc>
          <w:tcPr>
            <w:tcW w:w="659"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660" w:type="dxa"/>
            <w:gridSpan w:val="2"/>
            <w:tcBorders>
              <w:top w:val="nil"/>
              <w:left w:val="single" w:sz="4" w:space="0" w:color="auto"/>
              <w:bottom w:val="nil"/>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4.0</w:t>
            </w:r>
          </w:p>
        </w:tc>
        <w:tc>
          <w:tcPr>
            <w:tcW w:w="659" w:type="dxa"/>
            <w:gridSpan w:val="3"/>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3.7</w:t>
            </w:r>
          </w:p>
        </w:tc>
        <w:tc>
          <w:tcPr>
            <w:tcW w:w="66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3.4</w:t>
            </w:r>
          </w:p>
        </w:tc>
        <w:tc>
          <w:tcPr>
            <w:tcW w:w="659"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66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659"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659"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660" w:type="dxa"/>
            <w:gridSpan w:val="2"/>
            <w:tcBorders>
              <w:top w:val="nil"/>
              <w:left w:val="single" w:sz="4" w:space="0" w:color="auto"/>
              <w:bottom w:val="nil"/>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659" w:type="dxa"/>
            <w:gridSpan w:val="3"/>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66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659"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6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659"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60" w:type="dxa"/>
            <w:gridSpan w:val="2"/>
            <w:tcBorders>
              <w:top w:val="nil"/>
              <w:left w:val="single" w:sz="4" w:space="0" w:color="auto"/>
              <w:bottom w:val="nil"/>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59" w:type="dxa"/>
            <w:gridSpan w:val="2"/>
            <w:tcBorders>
              <w:top w:val="nil"/>
              <w:left w:val="single" w:sz="4" w:space="0" w:color="auto"/>
              <w:bottom w:val="nil"/>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60" w:type="dxa"/>
            <w:gridSpan w:val="2"/>
            <w:tcBorders>
              <w:top w:val="nil"/>
              <w:left w:val="single" w:sz="4" w:space="0" w:color="auto"/>
              <w:bottom w:val="nil"/>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r>
      <w:tr w:rsidR="00D023E3" w:rsidRPr="001862BC" w:rsidTr="009371F6">
        <w:trPr>
          <w:trHeight w:val="299"/>
        </w:trPr>
        <w:tc>
          <w:tcPr>
            <w:tcW w:w="659" w:type="dxa"/>
            <w:gridSpan w:val="2"/>
            <w:tcBorders>
              <w:top w:val="nil"/>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8.3</w:t>
            </w:r>
          </w:p>
        </w:tc>
        <w:tc>
          <w:tcPr>
            <w:tcW w:w="659" w:type="dxa"/>
            <w:gridSpan w:val="2"/>
            <w:tcBorders>
              <w:top w:val="nil"/>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4.9</w:t>
            </w:r>
          </w:p>
        </w:tc>
        <w:tc>
          <w:tcPr>
            <w:tcW w:w="66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4.6</w:t>
            </w:r>
          </w:p>
        </w:tc>
        <w:tc>
          <w:tcPr>
            <w:tcW w:w="659"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4.3</w:t>
            </w:r>
          </w:p>
        </w:tc>
        <w:tc>
          <w:tcPr>
            <w:tcW w:w="66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3.9</w:t>
            </w:r>
          </w:p>
        </w:tc>
        <w:tc>
          <w:tcPr>
            <w:tcW w:w="659"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3.6</w:t>
            </w:r>
          </w:p>
        </w:tc>
        <w:tc>
          <w:tcPr>
            <w:tcW w:w="660" w:type="dxa"/>
            <w:gridSpan w:val="2"/>
            <w:tcBorders>
              <w:top w:val="nil"/>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659" w:type="dxa"/>
            <w:gridSpan w:val="3"/>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66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659"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66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659"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659"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660" w:type="dxa"/>
            <w:gridSpan w:val="2"/>
            <w:tcBorders>
              <w:top w:val="nil"/>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659" w:type="dxa"/>
            <w:gridSpan w:val="3"/>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6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659"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6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59"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60" w:type="dxa"/>
            <w:gridSpan w:val="2"/>
            <w:tcBorders>
              <w:top w:val="nil"/>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59" w:type="dxa"/>
            <w:gridSpan w:val="2"/>
            <w:tcBorders>
              <w:top w:val="nil"/>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60" w:type="dxa"/>
            <w:gridSpan w:val="2"/>
            <w:tcBorders>
              <w:top w:val="nil"/>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0.96</w:t>
            </w:r>
          </w:p>
        </w:tc>
      </w:tr>
      <w:tr w:rsidR="00D023E3" w:rsidRPr="001862BC" w:rsidTr="009371F6">
        <w:trPr>
          <w:trHeight w:val="299"/>
        </w:trPr>
        <w:tc>
          <w:tcPr>
            <w:tcW w:w="659" w:type="dxa"/>
            <w:gridSpan w:val="2"/>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8.4</w:t>
            </w:r>
          </w:p>
        </w:tc>
        <w:tc>
          <w:tcPr>
            <w:tcW w:w="659"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4.1</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6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0.93</w:t>
            </w:r>
          </w:p>
        </w:tc>
        <w:tc>
          <w:tcPr>
            <w:tcW w:w="659"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0.86</w:t>
            </w:r>
          </w:p>
        </w:tc>
        <w:tc>
          <w:tcPr>
            <w:tcW w:w="66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0.79</w:t>
            </w:r>
          </w:p>
        </w:tc>
      </w:tr>
      <w:tr w:rsidR="00D023E3" w:rsidRPr="001862BC" w:rsidTr="009371F6">
        <w:trPr>
          <w:trHeight w:val="299"/>
        </w:trPr>
        <w:tc>
          <w:tcPr>
            <w:tcW w:w="659" w:type="dxa"/>
            <w:gridSpan w:val="2"/>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8.5</w:t>
            </w:r>
          </w:p>
        </w:tc>
        <w:tc>
          <w:tcPr>
            <w:tcW w:w="659"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0.98</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0.90</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0.83</w:t>
            </w:r>
          </w:p>
        </w:tc>
        <w:tc>
          <w:tcPr>
            <w:tcW w:w="66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0.77</w:t>
            </w:r>
          </w:p>
        </w:tc>
        <w:tc>
          <w:tcPr>
            <w:tcW w:w="659"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0.71</w:t>
            </w:r>
          </w:p>
        </w:tc>
        <w:tc>
          <w:tcPr>
            <w:tcW w:w="66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0.65</w:t>
            </w:r>
          </w:p>
        </w:tc>
      </w:tr>
      <w:tr w:rsidR="00D023E3" w:rsidRPr="001862BC" w:rsidTr="009371F6">
        <w:trPr>
          <w:trHeight w:val="299"/>
        </w:trPr>
        <w:tc>
          <w:tcPr>
            <w:tcW w:w="659" w:type="dxa"/>
            <w:gridSpan w:val="2"/>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8.6</w:t>
            </w:r>
          </w:p>
        </w:tc>
        <w:tc>
          <w:tcPr>
            <w:tcW w:w="659"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0.96</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0.88</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0.81</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0.75</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0.69</w:t>
            </w:r>
          </w:p>
        </w:tc>
        <w:tc>
          <w:tcPr>
            <w:tcW w:w="66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0.63</w:t>
            </w:r>
          </w:p>
        </w:tc>
        <w:tc>
          <w:tcPr>
            <w:tcW w:w="659"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0.58</w:t>
            </w:r>
          </w:p>
        </w:tc>
        <w:tc>
          <w:tcPr>
            <w:tcW w:w="66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0.54</w:t>
            </w:r>
          </w:p>
        </w:tc>
      </w:tr>
      <w:tr w:rsidR="00D023E3" w:rsidRPr="001862BC" w:rsidTr="009371F6">
        <w:trPr>
          <w:trHeight w:val="299"/>
        </w:trPr>
        <w:tc>
          <w:tcPr>
            <w:tcW w:w="659" w:type="dxa"/>
            <w:gridSpan w:val="2"/>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8.7</w:t>
            </w:r>
          </w:p>
        </w:tc>
        <w:tc>
          <w:tcPr>
            <w:tcW w:w="659"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0.94</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0.87</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0.80</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0.74</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0.68</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0.62</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0.57</w:t>
            </w:r>
          </w:p>
        </w:tc>
        <w:tc>
          <w:tcPr>
            <w:tcW w:w="66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0.53</w:t>
            </w:r>
          </w:p>
        </w:tc>
        <w:tc>
          <w:tcPr>
            <w:tcW w:w="659"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0.49</w:t>
            </w:r>
          </w:p>
        </w:tc>
        <w:tc>
          <w:tcPr>
            <w:tcW w:w="66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0.45</w:t>
            </w:r>
          </w:p>
        </w:tc>
      </w:tr>
      <w:tr w:rsidR="00D023E3" w:rsidRPr="001862BC" w:rsidTr="009371F6">
        <w:trPr>
          <w:trHeight w:val="299"/>
        </w:trPr>
        <w:tc>
          <w:tcPr>
            <w:tcW w:w="659" w:type="dxa"/>
            <w:gridSpan w:val="2"/>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8.8</w:t>
            </w:r>
          </w:p>
        </w:tc>
        <w:tc>
          <w:tcPr>
            <w:tcW w:w="659"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0.93</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0.86</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0.79</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0.73</w:t>
            </w:r>
          </w:p>
        </w:tc>
        <w:tc>
          <w:tcPr>
            <w:tcW w:w="659" w:type="dxa"/>
            <w:gridSpan w:val="3"/>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0.67</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0.57</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0.48</w:t>
            </w:r>
          </w:p>
        </w:tc>
        <w:tc>
          <w:tcPr>
            <w:tcW w:w="66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0.44</w:t>
            </w:r>
          </w:p>
        </w:tc>
        <w:tc>
          <w:tcPr>
            <w:tcW w:w="659"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0.41</w:t>
            </w:r>
          </w:p>
        </w:tc>
        <w:tc>
          <w:tcPr>
            <w:tcW w:w="66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0.37</w:t>
            </w:r>
          </w:p>
        </w:tc>
      </w:tr>
      <w:tr w:rsidR="00D023E3" w:rsidRPr="001862BC" w:rsidTr="009371F6">
        <w:trPr>
          <w:trHeight w:val="299"/>
        </w:trPr>
        <w:tc>
          <w:tcPr>
            <w:tcW w:w="659" w:type="dxa"/>
            <w:gridSpan w:val="2"/>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8.9</w:t>
            </w:r>
          </w:p>
        </w:tc>
        <w:tc>
          <w:tcPr>
            <w:tcW w:w="659"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0.93</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0.85</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0.79</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0.72</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0.67</w:t>
            </w:r>
          </w:p>
        </w:tc>
        <w:tc>
          <w:tcPr>
            <w:tcW w:w="66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0.61</w:t>
            </w:r>
          </w:p>
        </w:tc>
        <w:tc>
          <w:tcPr>
            <w:tcW w:w="659" w:type="dxa"/>
            <w:gridSpan w:val="3"/>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0.56</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0.52</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0.48</w:t>
            </w:r>
          </w:p>
        </w:tc>
        <w:tc>
          <w:tcPr>
            <w:tcW w:w="66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0.44</w:t>
            </w:r>
          </w:p>
        </w:tc>
        <w:tc>
          <w:tcPr>
            <w:tcW w:w="659"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0.40</w:t>
            </w:r>
          </w:p>
        </w:tc>
        <w:tc>
          <w:tcPr>
            <w:tcW w:w="66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0.37</w:t>
            </w:r>
          </w:p>
        </w:tc>
        <w:tc>
          <w:tcPr>
            <w:tcW w:w="659"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0.34</w:t>
            </w:r>
          </w:p>
        </w:tc>
        <w:tc>
          <w:tcPr>
            <w:tcW w:w="66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0.32</w:t>
            </w:r>
          </w:p>
        </w:tc>
      </w:tr>
      <w:tr w:rsidR="00D023E3" w:rsidRPr="001862BC" w:rsidTr="009371F6">
        <w:trPr>
          <w:trHeight w:val="299"/>
        </w:trPr>
        <w:tc>
          <w:tcPr>
            <w:tcW w:w="659" w:type="dxa"/>
            <w:gridSpan w:val="2"/>
            <w:tcBorders>
              <w:bottom w:val="double" w:sz="4" w:space="0" w:color="auto"/>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9.0</w:t>
            </w:r>
          </w:p>
        </w:tc>
        <w:tc>
          <w:tcPr>
            <w:tcW w:w="659"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660" w:type="dxa"/>
            <w:gridSpan w:val="2"/>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660" w:type="dxa"/>
            <w:gridSpan w:val="2"/>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0.93</w:t>
            </w:r>
          </w:p>
        </w:tc>
        <w:tc>
          <w:tcPr>
            <w:tcW w:w="659" w:type="dxa"/>
            <w:gridSpan w:val="3"/>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0.86</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0.79</w:t>
            </w:r>
          </w:p>
        </w:tc>
        <w:tc>
          <w:tcPr>
            <w:tcW w:w="659" w:type="dxa"/>
            <w:gridSpan w:val="2"/>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0.73</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0.67</w:t>
            </w:r>
          </w:p>
        </w:tc>
        <w:tc>
          <w:tcPr>
            <w:tcW w:w="659" w:type="dxa"/>
            <w:gridSpan w:val="2"/>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0.62</w:t>
            </w:r>
          </w:p>
        </w:tc>
        <w:tc>
          <w:tcPr>
            <w:tcW w:w="659"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0.57</w:t>
            </w:r>
          </w:p>
        </w:tc>
        <w:tc>
          <w:tcPr>
            <w:tcW w:w="66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0.52</w:t>
            </w:r>
          </w:p>
        </w:tc>
        <w:tc>
          <w:tcPr>
            <w:tcW w:w="659" w:type="dxa"/>
            <w:gridSpan w:val="3"/>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0.48</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0.44</w:t>
            </w:r>
          </w:p>
        </w:tc>
        <w:tc>
          <w:tcPr>
            <w:tcW w:w="659" w:type="dxa"/>
            <w:gridSpan w:val="2"/>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0.41</w:t>
            </w:r>
          </w:p>
        </w:tc>
        <w:tc>
          <w:tcPr>
            <w:tcW w:w="66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0.37</w:t>
            </w:r>
          </w:p>
        </w:tc>
        <w:tc>
          <w:tcPr>
            <w:tcW w:w="659" w:type="dxa"/>
            <w:gridSpan w:val="2"/>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0.34</w:t>
            </w:r>
          </w:p>
        </w:tc>
        <w:tc>
          <w:tcPr>
            <w:tcW w:w="66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0.32</w:t>
            </w:r>
          </w:p>
        </w:tc>
        <w:tc>
          <w:tcPr>
            <w:tcW w:w="659"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0.29</w:t>
            </w:r>
          </w:p>
        </w:tc>
        <w:tc>
          <w:tcPr>
            <w:tcW w:w="66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0.27</w:t>
            </w:r>
          </w:p>
        </w:tc>
      </w:tr>
      <w:tr w:rsidR="00D023E3" w:rsidRPr="001862BC" w:rsidTr="009371F6">
        <w:trPr>
          <w:trHeight w:val="1131"/>
        </w:trPr>
        <w:tc>
          <w:tcPr>
            <w:tcW w:w="14508" w:type="dxa"/>
            <w:gridSpan w:val="46"/>
            <w:tcBorders>
              <w:top w:val="double" w:sz="4" w:space="0" w:color="auto"/>
              <w:left w:val="double" w:sz="4" w:space="0" w:color="auto"/>
              <w:right w:val="double" w:sz="4" w:space="0" w:color="auto"/>
            </w:tcBorders>
            <w:shd w:val="clear" w:color="auto" w:fill="008272"/>
            <w:vAlign w:val="center"/>
          </w:tcPr>
          <w:p w:rsidR="00272C67" w:rsidRDefault="00D023E3" w:rsidP="00272C67">
            <w:pPr>
              <w:jc w:val="center"/>
              <w:rPr>
                <w:rFonts w:ascii="Arial" w:hAnsi="Arial" w:cs="Arial"/>
                <w:color w:val="FFFFFF" w:themeColor="background1"/>
                <w:sz w:val="24"/>
                <w:szCs w:val="24"/>
              </w:rPr>
            </w:pPr>
            <w:r w:rsidRPr="009371F6">
              <w:rPr>
                <w:rFonts w:ascii="Arial" w:hAnsi="Arial" w:cs="Arial"/>
                <w:b/>
                <w:color w:val="FFFFFF" w:themeColor="background1"/>
                <w:sz w:val="24"/>
                <w:szCs w:val="24"/>
              </w:rPr>
              <w:lastRenderedPageBreak/>
              <w:t>Table 3</w:t>
            </w:r>
            <w:r w:rsidRPr="008146BA">
              <w:rPr>
                <w:rFonts w:ascii="Arial" w:hAnsi="Arial" w:cs="Arial"/>
                <w:color w:val="FFFFFF" w:themeColor="background1"/>
                <w:sz w:val="24"/>
                <w:szCs w:val="24"/>
              </w:rPr>
              <w:t>: Ammonia Chronic Criteria Values (30-day Rolling Average*)</w:t>
            </w:r>
          </w:p>
          <w:p w:rsidR="00272C67" w:rsidRDefault="00D023E3" w:rsidP="00272C67">
            <w:pPr>
              <w:ind w:left="720"/>
              <w:jc w:val="center"/>
              <w:rPr>
                <w:rFonts w:ascii="Arial" w:hAnsi="Arial" w:cs="Arial"/>
                <w:color w:val="FFFFFF" w:themeColor="background1"/>
              </w:rPr>
            </w:pPr>
            <w:r w:rsidRPr="009371F6">
              <w:rPr>
                <w:rFonts w:ascii="Arial" w:hAnsi="Arial" w:cs="Arial"/>
                <w:color w:val="FFFFFF" w:themeColor="background1"/>
              </w:rPr>
              <w:t>Temperature and pH-Dependent and expressed as Total Ammonia Nitrogen (mg/L TAN)</w:t>
            </w:r>
          </w:p>
          <w:p w:rsidR="00272C67" w:rsidRDefault="00D023E3" w:rsidP="00272C67">
            <w:pPr>
              <w:ind w:left="720"/>
              <w:jc w:val="center"/>
            </w:pPr>
            <w:r w:rsidRPr="009371F6">
              <w:rPr>
                <w:rFonts w:ascii="Arial" w:hAnsi="Arial" w:cs="Arial"/>
                <w:color w:val="FFFFFF" w:themeColor="background1"/>
              </w:rPr>
              <w:t>* The highest four-day average within th</w:t>
            </w:r>
            <w:r w:rsidR="002E0C83">
              <w:rPr>
                <w:rFonts w:ascii="Arial" w:hAnsi="Arial" w:cs="Arial"/>
                <w:color w:val="FFFFFF" w:themeColor="background1"/>
              </w:rPr>
              <w:t>e 30-day averaging period must</w:t>
            </w:r>
            <w:r w:rsidRPr="009371F6">
              <w:rPr>
                <w:rFonts w:ascii="Arial" w:hAnsi="Arial" w:cs="Arial"/>
                <w:color w:val="FFFFFF" w:themeColor="background1"/>
              </w:rPr>
              <w:t xml:space="preserve"> not be more than 2.5 times the chronic value</w:t>
            </w:r>
          </w:p>
        </w:tc>
      </w:tr>
      <w:tr w:rsidR="00D023E3" w:rsidRPr="001862BC" w:rsidTr="009371F6">
        <w:trPr>
          <w:trHeight w:val="333"/>
        </w:trPr>
        <w:tc>
          <w:tcPr>
            <w:tcW w:w="14508" w:type="dxa"/>
            <w:gridSpan w:val="46"/>
            <w:tcBorders>
              <w:bottom w:val="nil"/>
            </w:tcBorders>
            <w:shd w:val="clear" w:color="auto" w:fill="B1DDCD"/>
            <w:vAlign w:val="center"/>
          </w:tcPr>
          <w:p w:rsidR="00272C67" w:rsidRDefault="00D023E3" w:rsidP="00272C67">
            <w:pPr>
              <w:jc w:val="center"/>
              <w:rPr>
                <w:rFonts w:ascii="Arial" w:hAnsi="Arial" w:cs="Arial"/>
                <w:b/>
              </w:rPr>
            </w:pPr>
            <w:r w:rsidRPr="008146BA">
              <w:rPr>
                <w:rFonts w:ascii="Arial" w:hAnsi="Arial" w:cs="Arial"/>
              </w:rPr>
              <w:t>Criteria cannot be exceeded more than once every three years</w:t>
            </w:r>
          </w:p>
        </w:tc>
      </w:tr>
      <w:tr w:rsidR="00D023E3" w:rsidRPr="001862BC" w:rsidTr="009371F6">
        <w:trPr>
          <w:trHeight w:val="576"/>
        </w:trPr>
        <w:tc>
          <w:tcPr>
            <w:tcW w:w="14508" w:type="dxa"/>
            <w:gridSpan w:val="46"/>
            <w:tcBorders>
              <w:top w:val="nil"/>
              <w:bottom w:val="single" w:sz="4" w:space="0" w:color="auto"/>
            </w:tcBorders>
            <w:shd w:val="clear" w:color="auto" w:fill="FFFFFF" w:themeFill="background1"/>
            <w:vAlign w:val="center"/>
          </w:tcPr>
          <w:p w:rsidR="00272C67" w:rsidRDefault="00D023E3">
            <w:pPr>
              <w:rPr>
                <w:rFonts w:ascii="Arial" w:hAnsi="Arial" w:cs="Arial"/>
              </w:rPr>
            </w:pPr>
            <m:oMathPara>
              <m:oMath>
                <m:r>
                  <w:rPr>
                    <w:rFonts w:ascii="Cambria Math" w:hAnsi="Cambria Math" w:cs="Arial"/>
                  </w:rPr>
                  <m:t>C</m:t>
                </m:r>
                <m:r>
                  <w:rPr>
                    <w:rFonts w:ascii="Arial" w:hAnsi="Cambria Math" w:cs="Arial"/>
                  </w:rPr>
                  <m:t>h</m:t>
                </m:r>
                <m:r>
                  <w:rPr>
                    <w:rFonts w:ascii="Cambria Math" w:hAnsi="Cambria Math" w:cs="Arial"/>
                  </w:rPr>
                  <m:t>ronic</m:t>
                </m:r>
                <m:r>
                  <m:rPr>
                    <m:sty m:val="p"/>
                  </m:rPr>
                  <w:rPr>
                    <w:rFonts w:ascii="Cambria Math" w:hAnsi="Arial" w:cs="Arial"/>
                  </w:rPr>
                  <m:t xml:space="preserve"> </m:t>
                </m:r>
                <m:r>
                  <w:rPr>
                    <w:rFonts w:ascii="Cambria Math" w:hAnsi="Cambria Math" w:cs="Arial"/>
                  </w:rPr>
                  <m:t>Criterion</m:t>
                </m:r>
                <m:r>
                  <m:rPr>
                    <m:sty m:val="p"/>
                  </m:rPr>
                  <w:rPr>
                    <w:rFonts w:ascii="Cambria Math" w:hAnsi="Arial" w:cs="Arial"/>
                  </w:rPr>
                  <m:t xml:space="preserve">=0.8876 </m:t>
                </m:r>
                <m:r>
                  <m:rPr>
                    <m:sty m:val="p"/>
                  </m:rPr>
                  <w:rPr>
                    <w:rFonts w:ascii="Cambria Math" w:hAnsi="Arial" w:cs="Arial"/>
                  </w:rPr>
                  <m:t>×</m:t>
                </m:r>
                <m:r>
                  <m:rPr>
                    <m:sty m:val="p"/>
                  </m:rPr>
                  <w:rPr>
                    <w:rFonts w:ascii="Cambria Math" w:hAnsi="Arial" w:cs="Arial"/>
                  </w:rPr>
                  <m:t xml:space="preserve"> </m:t>
                </m:r>
                <m:d>
                  <m:dPr>
                    <m:ctrlPr>
                      <w:rPr>
                        <w:rFonts w:ascii="Cambria Math" w:hAnsi="Arial" w:cs="Arial"/>
                      </w:rPr>
                    </m:ctrlPr>
                  </m:dPr>
                  <m:e>
                    <m:f>
                      <m:fPr>
                        <m:ctrlPr>
                          <w:rPr>
                            <w:rFonts w:ascii="Cambria Math" w:hAnsi="Arial" w:cs="Arial"/>
                          </w:rPr>
                        </m:ctrlPr>
                      </m:fPr>
                      <m:num>
                        <m:r>
                          <m:rPr>
                            <m:sty m:val="p"/>
                          </m:rPr>
                          <w:rPr>
                            <w:rFonts w:ascii="Cambria Math" w:hAnsi="Arial" w:cs="Arial"/>
                          </w:rPr>
                          <m:t>0.0278</m:t>
                        </m:r>
                      </m:num>
                      <m:den>
                        <m:r>
                          <m:rPr>
                            <m:sty m:val="p"/>
                          </m:rPr>
                          <w:rPr>
                            <w:rFonts w:ascii="Cambria Math" w:hAnsi="Arial" w:cs="Arial"/>
                          </w:rPr>
                          <m:t>1+</m:t>
                        </m:r>
                        <m:sSup>
                          <m:sSupPr>
                            <m:ctrlPr>
                              <w:rPr>
                                <w:rFonts w:ascii="Cambria Math" w:hAnsi="Arial" w:cs="Arial"/>
                              </w:rPr>
                            </m:ctrlPr>
                          </m:sSupPr>
                          <m:e>
                            <m:r>
                              <m:rPr>
                                <m:sty m:val="p"/>
                              </m:rPr>
                              <w:rPr>
                                <w:rFonts w:ascii="Cambria Math" w:hAnsi="Arial" w:cs="Arial"/>
                              </w:rPr>
                              <m:t>10</m:t>
                            </m:r>
                          </m:e>
                          <m:sup>
                            <m:r>
                              <m:rPr>
                                <m:sty m:val="p"/>
                              </m:rPr>
                              <w:rPr>
                                <w:rFonts w:ascii="Cambria Math" w:hAnsi="Arial" w:cs="Arial"/>
                              </w:rPr>
                              <m:t>7.688</m:t>
                            </m:r>
                            <m:r>
                              <m:rPr>
                                <m:sty m:val="p"/>
                              </m:rPr>
                              <w:rPr>
                                <w:rFonts w:ascii="Cambria Math" w:hAnsi="Arial" w:cs="Arial"/>
                              </w:rPr>
                              <m:t>-</m:t>
                            </m:r>
                            <m:r>
                              <w:rPr>
                                <w:rFonts w:ascii="Cambria Math" w:hAnsi="Cambria Math" w:cs="Arial"/>
                              </w:rPr>
                              <m:t>pH</m:t>
                            </m:r>
                          </m:sup>
                        </m:sSup>
                      </m:den>
                    </m:f>
                    <m:r>
                      <m:rPr>
                        <m:sty m:val="p"/>
                      </m:rPr>
                      <w:rPr>
                        <w:rFonts w:ascii="Cambria Math" w:hAnsi="Arial" w:cs="Arial"/>
                      </w:rPr>
                      <m:t>+</m:t>
                    </m:r>
                    <m:f>
                      <m:fPr>
                        <m:ctrlPr>
                          <w:rPr>
                            <w:rFonts w:ascii="Cambria Math" w:hAnsi="Arial" w:cs="Arial"/>
                          </w:rPr>
                        </m:ctrlPr>
                      </m:fPr>
                      <m:num>
                        <m:r>
                          <m:rPr>
                            <m:sty m:val="p"/>
                          </m:rPr>
                          <w:rPr>
                            <w:rFonts w:ascii="Cambria Math" w:hAnsi="Arial" w:cs="Arial"/>
                          </w:rPr>
                          <m:t>1.1994</m:t>
                        </m:r>
                      </m:num>
                      <m:den>
                        <m:r>
                          <m:rPr>
                            <m:sty m:val="p"/>
                          </m:rPr>
                          <w:rPr>
                            <w:rFonts w:ascii="Cambria Math" w:hAnsi="Arial" w:cs="Arial"/>
                          </w:rPr>
                          <m:t>1+</m:t>
                        </m:r>
                        <m:sSup>
                          <m:sSupPr>
                            <m:ctrlPr>
                              <w:rPr>
                                <w:rFonts w:ascii="Cambria Math" w:hAnsi="Arial" w:cs="Arial"/>
                              </w:rPr>
                            </m:ctrlPr>
                          </m:sSupPr>
                          <m:e>
                            <m:r>
                              <m:rPr>
                                <m:sty m:val="p"/>
                              </m:rPr>
                              <w:rPr>
                                <w:rFonts w:ascii="Cambria Math" w:hAnsi="Arial" w:cs="Arial"/>
                              </w:rPr>
                              <m:t>10</m:t>
                            </m:r>
                          </m:e>
                          <m:sup>
                            <m:r>
                              <w:rPr>
                                <w:rFonts w:ascii="Cambria Math" w:hAnsi="Cambria Math" w:cs="Arial"/>
                              </w:rPr>
                              <m:t>pH</m:t>
                            </m:r>
                            <m:r>
                              <m:rPr>
                                <m:sty m:val="p"/>
                              </m:rPr>
                              <w:rPr>
                                <w:rFonts w:ascii="Arial" w:hAnsi="Arial" w:cs="Arial"/>
                              </w:rPr>
                              <m:t>-</m:t>
                            </m:r>
                            <m:r>
                              <m:rPr>
                                <m:sty m:val="p"/>
                              </m:rPr>
                              <w:rPr>
                                <w:rFonts w:ascii="Cambria Math" w:hAnsi="Arial" w:cs="Arial"/>
                              </w:rPr>
                              <m:t>7.688</m:t>
                            </m:r>
                          </m:sup>
                        </m:sSup>
                      </m:den>
                    </m:f>
                  </m:e>
                </m:d>
                <m:r>
                  <m:rPr>
                    <m:sty m:val="p"/>
                  </m:rPr>
                  <w:rPr>
                    <w:rFonts w:ascii="Cambria Math" w:hAnsi="Arial" w:cs="Arial"/>
                  </w:rPr>
                  <m:t>×</m:t>
                </m:r>
                <m:d>
                  <m:dPr>
                    <m:ctrlPr>
                      <w:rPr>
                        <w:rFonts w:ascii="Cambria Math" w:hAnsi="Arial" w:cs="Arial"/>
                      </w:rPr>
                    </m:ctrlPr>
                  </m:dPr>
                  <m:e>
                    <m:r>
                      <m:rPr>
                        <m:sty m:val="p"/>
                      </m:rPr>
                      <w:rPr>
                        <w:rFonts w:ascii="Cambria Math" w:hAnsi="Arial" w:cs="Arial"/>
                      </w:rPr>
                      <m:t>2.126</m:t>
                    </m:r>
                    <m:r>
                      <m:rPr>
                        <m:sty m:val="p"/>
                      </m:rPr>
                      <w:rPr>
                        <w:rFonts w:ascii="Cambria Math" w:hAnsi="Arial" w:cs="Arial"/>
                      </w:rPr>
                      <m:t>×</m:t>
                    </m:r>
                    <m:sSup>
                      <m:sSupPr>
                        <m:ctrlPr>
                          <w:rPr>
                            <w:rFonts w:ascii="Cambria Math" w:hAnsi="Arial" w:cs="Arial"/>
                          </w:rPr>
                        </m:ctrlPr>
                      </m:sSupPr>
                      <m:e>
                        <m:r>
                          <m:rPr>
                            <m:sty m:val="p"/>
                          </m:rPr>
                          <w:rPr>
                            <w:rFonts w:ascii="Cambria Math" w:hAnsi="Arial" w:cs="Arial"/>
                          </w:rPr>
                          <m:t>10</m:t>
                        </m:r>
                      </m:e>
                      <m:sup>
                        <m:r>
                          <m:rPr>
                            <m:sty m:val="p"/>
                          </m:rPr>
                          <w:rPr>
                            <w:rFonts w:ascii="Cambria Math" w:hAnsi="Arial" w:cs="Arial"/>
                          </w:rPr>
                          <m:t>0.028</m:t>
                        </m:r>
                        <m:r>
                          <m:rPr>
                            <m:sty m:val="p"/>
                          </m:rPr>
                          <w:rPr>
                            <w:rFonts w:ascii="Cambria Math" w:hAnsi="Arial" w:cs="Arial"/>
                          </w:rPr>
                          <m:t>×</m:t>
                        </m:r>
                        <m:d>
                          <m:dPr>
                            <m:ctrlPr>
                              <w:rPr>
                                <w:rFonts w:ascii="Cambria Math" w:hAnsi="Arial" w:cs="Arial"/>
                              </w:rPr>
                            </m:ctrlPr>
                          </m:dPr>
                          <m:e>
                            <m:r>
                              <m:rPr>
                                <m:sty m:val="p"/>
                              </m:rPr>
                              <w:rPr>
                                <w:rFonts w:ascii="Cambria Math" w:hAnsi="Arial" w:cs="Arial"/>
                              </w:rPr>
                              <m:t>20</m:t>
                            </m:r>
                            <m:r>
                              <m:rPr>
                                <m:sty m:val="p"/>
                              </m:rPr>
                              <w:rPr>
                                <w:rFonts w:ascii="Cambria Math" w:hAnsi="Arial" w:cs="Arial"/>
                              </w:rPr>
                              <m:t>-</m:t>
                            </m:r>
                            <m:r>
                              <w:rPr>
                                <w:rFonts w:ascii="Cambria Math" w:hAnsi="Cambria Math" w:cs="Arial"/>
                              </w:rPr>
                              <m:t>MAX</m:t>
                            </m:r>
                            <m:d>
                              <m:dPr>
                                <m:ctrlPr>
                                  <w:rPr>
                                    <w:rFonts w:ascii="Cambria Math" w:hAnsi="Arial" w:cs="Arial"/>
                                  </w:rPr>
                                </m:ctrlPr>
                              </m:dPr>
                              <m:e>
                                <m:r>
                                  <w:rPr>
                                    <w:rFonts w:ascii="Cambria Math" w:hAnsi="Cambria Math" w:cs="Arial"/>
                                  </w:rPr>
                                  <m:t>T</m:t>
                                </m:r>
                                <m:r>
                                  <m:rPr>
                                    <m:sty m:val="p"/>
                                  </m:rPr>
                                  <w:rPr>
                                    <w:rFonts w:ascii="Cambria Math" w:hAnsi="Arial" w:cs="Arial"/>
                                  </w:rPr>
                                  <m:t>,7</m:t>
                                </m:r>
                              </m:e>
                            </m:d>
                          </m:e>
                        </m:d>
                      </m:sup>
                    </m:sSup>
                  </m:e>
                </m:d>
              </m:oMath>
            </m:oMathPara>
          </w:p>
        </w:tc>
      </w:tr>
      <w:tr w:rsidR="00D023E3" w:rsidRPr="001862BC" w:rsidTr="009371F6">
        <w:trPr>
          <w:trHeight w:val="224"/>
        </w:trPr>
        <w:tc>
          <w:tcPr>
            <w:tcW w:w="14508" w:type="dxa"/>
            <w:gridSpan w:val="46"/>
            <w:tcBorders>
              <w:top w:val="single" w:sz="4" w:space="0" w:color="auto"/>
              <w:bottom w:val="double" w:sz="4" w:space="0" w:color="auto"/>
            </w:tcBorders>
            <w:shd w:val="clear" w:color="auto" w:fill="FFFFFF" w:themeFill="background1"/>
            <w:vAlign w:val="center"/>
          </w:tcPr>
          <w:p w:rsidR="00272C67" w:rsidRPr="00246659" w:rsidRDefault="00D023E3" w:rsidP="00272C67">
            <w:pPr>
              <w:jc w:val="center"/>
              <w:rPr>
                <w:rFonts w:ascii="Arial" w:hAnsi="Arial" w:cs="Arial"/>
                <w:b/>
              </w:rPr>
            </w:pPr>
            <w:r w:rsidRPr="00246659">
              <w:rPr>
                <w:rFonts w:ascii="Arial" w:hAnsi="Arial" w:cs="Arial"/>
                <w:b/>
              </w:rPr>
              <w:t>Temperature (</w:t>
            </w:r>
            <w:r w:rsidRPr="00246659">
              <w:rPr>
                <w:rFonts w:ascii="Arial" w:hAnsi="Arial" w:cs="Arial"/>
                <w:b/>
                <w:vertAlign w:val="superscript"/>
              </w:rPr>
              <w:t>o</w:t>
            </w:r>
            <w:r w:rsidRPr="00246659">
              <w:rPr>
                <w:rFonts w:ascii="Arial" w:hAnsi="Arial" w:cs="Arial"/>
                <w:b/>
              </w:rPr>
              <w:t>C)</w:t>
            </w:r>
          </w:p>
        </w:tc>
      </w:tr>
      <w:tr w:rsidR="00D023E3" w:rsidRPr="001862BC" w:rsidTr="009371F6">
        <w:trPr>
          <w:trHeight w:val="249"/>
        </w:trPr>
        <w:tc>
          <w:tcPr>
            <w:tcW w:w="580" w:type="dxa"/>
            <w:tcBorders>
              <w:top w:val="double" w:sz="4" w:space="0" w:color="auto"/>
              <w:bottom w:val="single" w:sz="12" w:space="0" w:color="auto"/>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pH</w:t>
            </w:r>
          </w:p>
        </w:tc>
        <w:tc>
          <w:tcPr>
            <w:tcW w:w="580" w:type="dxa"/>
            <w:gridSpan w:val="2"/>
            <w:tcBorders>
              <w:top w:val="double" w:sz="4" w:space="0" w:color="auto"/>
              <w:left w:val="single" w:sz="12"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0-7</w:t>
            </w:r>
          </w:p>
        </w:tc>
        <w:tc>
          <w:tcPr>
            <w:tcW w:w="58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w:t>
            </w:r>
          </w:p>
        </w:tc>
        <w:tc>
          <w:tcPr>
            <w:tcW w:w="581"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9</w:t>
            </w:r>
          </w:p>
        </w:tc>
        <w:tc>
          <w:tcPr>
            <w:tcW w:w="58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10</w:t>
            </w:r>
          </w:p>
        </w:tc>
        <w:tc>
          <w:tcPr>
            <w:tcW w:w="58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11</w:t>
            </w:r>
          </w:p>
        </w:tc>
        <w:tc>
          <w:tcPr>
            <w:tcW w:w="581" w:type="dxa"/>
            <w:gridSpan w:val="2"/>
            <w:tcBorders>
              <w:top w:val="double" w:sz="4" w:space="0" w:color="auto"/>
              <w:left w:val="single" w:sz="4" w:space="0" w:color="auto"/>
              <w:bottom w:val="single" w:sz="12"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12</w:t>
            </w:r>
          </w:p>
        </w:tc>
        <w:tc>
          <w:tcPr>
            <w:tcW w:w="58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13</w:t>
            </w:r>
          </w:p>
        </w:tc>
        <w:tc>
          <w:tcPr>
            <w:tcW w:w="580"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14</w:t>
            </w:r>
          </w:p>
        </w:tc>
        <w:tc>
          <w:tcPr>
            <w:tcW w:w="581"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15</w:t>
            </w:r>
          </w:p>
        </w:tc>
        <w:tc>
          <w:tcPr>
            <w:tcW w:w="58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16</w:t>
            </w:r>
          </w:p>
        </w:tc>
        <w:tc>
          <w:tcPr>
            <w:tcW w:w="58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17</w:t>
            </w:r>
          </w:p>
        </w:tc>
        <w:tc>
          <w:tcPr>
            <w:tcW w:w="581"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18</w:t>
            </w:r>
          </w:p>
        </w:tc>
        <w:tc>
          <w:tcPr>
            <w:tcW w:w="580" w:type="dxa"/>
            <w:gridSpan w:val="2"/>
            <w:tcBorders>
              <w:top w:val="double" w:sz="4" w:space="0" w:color="auto"/>
              <w:left w:val="single" w:sz="4" w:space="0" w:color="auto"/>
              <w:bottom w:val="single" w:sz="12"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19</w:t>
            </w:r>
          </w:p>
        </w:tc>
        <w:tc>
          <w:tcPr>
            <w:tcW w:w="58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20</w:t>
            </w:r>
          </w:p>
        </w:tc>
        <w:tc>
          <w:tcPr>
            <w:tcW w:w="581"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21</w:t>
            </w:r>
          </w:p>
        </w:tc>
        <w:tc>
          <w:tcPr>
            <w:tcW w:w="580" w:type="dxa"/>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22</w:t>
            </w:r>
          </w:p>
        </w:tc>
        <w:tc>
          <w:tcPr>
            <w:tcW w:w="580"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23</w:t>
            </w:r>
          </w:p>
        </w:tc>
        <w:tc>
          <w:tcPr>
            <w:tcW w:w="581" w:type="dxa"/>
            <w:gridSpan w:val="2"/>
            <w:tcBorders>
              <w:top w:val="double" w:sz="4" w:space="0" w:color="auto"/>
              <w:left w:val="single" w:sz="4" w:space="0" w:color="auto"/>
              <w:bottom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24</w:t>
            </w:r>
          </w:p>
        </w:tc>
        <w:tc>
          <w:tcPr>
            <w:tcW w:w="580" w:type="dxa"/>
            <w:gridSpan w:val="2"/>
            <w:tcBorders>
              <w:top w:val="double" w:sz="4" w:space="0" w:color="auto"/>
              <w:left w:val="single" w:sz="4" w:space="0" w:color="auto"/>
              <w:bottom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25</w:t>
            </w:r>
          </w:p>
        </w:tc>
        <w:tc>
          <w:tcPr>
            <w:tcW w:w="580" w:type="dxa"/>
            <w:gridSpan w:val="2"/>
            <w:tcBorders>
              <w:top w:val="double" w:sz="4" w:space="0" w:color="auto"/>
              <w:left w:val="single" w:sz="4" w:space="0" w:color="auto"/>
              <w:bottom w:val="single" w:sz="12" w:space="0" w:color="auto"/>
            </w:tcBorders>
            <w:shd w:val="clear" w:color="auto" w:fill="FFFFFF" w:themeFill="background1"/>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26</w:t>
            </w:r>
          </w:p>
        </w:tc>
        <w:tc>
          <w:tcPr>
            <w:tcW w:w="581" w:type="dxa"/>
            <w:gridSpan w:val="2"/>
            <w:tcBorders>
              <w:top w:val="double" w:sz="4" w:space="0" w:color="auto"/>
              <w:left w:val="single" w:sz="4" w:space="0" w:color="auto"/>
              <w:bottom w:val="single" w:sz="12" w:space="0" w:color="auto"/>
            </w:tcBorders>
            <w:shd w:val="clear" w:color="auto" w:fill="FFFFFF" w:themeFill="background1"/>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27</w:t>
            </w:r>
          </w:p>
        </w:tc>
        <w:tc>
          <w:tcPr>
            <w:tcW w:w="580" w:type="dxa"/>
            <w:gridSpan w:val="2"/>
            <w:tcBorders>
              <w:top w:val="double" w:sz="4" w:space="0" w:color="auto"/>
              <w:left w:val="single" w:sz="4" w:space="0" w:color="auto"/>
              <w:bottom w:val="single" w:sz="12" w:space="0" w:color="auto"/>
            </w:tcBorders>
            <w:shd w:val="clear" w:color="auto" w:fill="FFFFFF" w:themeFill="background1"/>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28</w:t>
            </w:r>
          </w:p>
        </w:tc>
        <w:tc>
          <w:tcPr>
            <w:tcW w:w="580" w:type="dxa"/>
            <w:gridSpan w:val="2"/>
            <w:tcBorders>
              <w:top w:val="double" w:sz="4" w:space="0" w:color="auto"/>
              <w:left w:val="single" w:sz="4" w:space="0" w:color="auto"/>
              <w:bottom w:val="single" w:sz="12" w:space="0" w:color="auto"/>
            </w:tcBorders>
            <w:shd w:val="clear" w:color="auto" w:fill="FFFFFF" w:themeFill="background1"/>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29</w:t>
            </w:r>
          </w:p>
        </w:tc>
        <w:tc>
          <w:tcPr>
            <w:tcW w:w="581" w:type="dxa"/>
            <w:tcBorders>
              <w:top w:val="double" w:sz="4" w:space="0" w:color="auto"/>
              <w:left w:val="single" w:sz="4" w:space="0" w:color="auto"/>
              <w:bottom w:val="single" w:sz="12" w:space="0" w:color="auto"/>
            </w:tcBorders>
            <w:shd w:val="clear" w:color="auto" w:fill="FFFFFF" w:themeFill="background1"/>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30</w:t>
            </w:r>
          </w:p>
        </w:tc>
      </w:tr>
      <w:tr w:rsidR="00D023E3" w:rsidRPr="001862BC" w:rsidTr="004C3DC8">
        <w:trPr>
          <w:trHeight w:val="288"/>
        </w:trPr>
        <w:tc>
          <w:tcPr>
            <w:tcW w:w="580" w:type="dxa"/>
            <w:tcBorders>
              <w:top w:val="single" w:sz="12" w:space="0" w:color="auto"/>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6.5</w:t>
            </w:r>
          </w:p>
        </w:tc>
        <w:tc>
          <w:tcPr>
            <w:tcW w:w="580" w:type="dxa"/>
            <w:gridSpan w:val="2"/>
            <w:tcBorders>
              <w:top w:val="single" w:sz="12" w:space="0" w:color="auto"/>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4.9</w:t>
            </w:r>
          </w:p>
        </w:tc>
        <w:tc>
          <w:tcPr>
            <w:tcW w:w="58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4.6</w:t>
            </w:r>
          </w:p>
        </w:tc>
        <w:tc>
          <w:tcPr>
            <w:tcW w:w="581"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4.3</w:t>
            </w:r>
          </w:p>
        </w:tc>
        <w:tc>
          <w:tcPr>
            <w:tcW w:w="58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4.1</w:t>
            </w:r>
          </w:p>
        </w:tc>
        <w:tc>
          <w:tcPr>
            <w:tcW w:w="58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581" w:type="dxa"/>
            <w:gridSpan w:val="2"/>
            <w:tcBorders>
              <w:top w:val="single" w:sz="12" w:space="0" w:color="auto"/>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3.6</w:t>
            </w:r>
          </w:p>
        </w:tc>
        <w:tc>
          <w:tcPr>
            <w:tcW w:w="58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580"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581"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58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58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581"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580" w:type="dxa"/>
            <w:gridSpan w:val="2"/>
            <w:tcBorders>
              <w:top w:val="single" w:sz="12" w:space="0" w:color="auto"/>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58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581"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580" w:type="dxa"/>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580"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1" w:type="dxa"/>
            <w:gridSpan w:val="2"/>
            <w:tcBorders>
              <w:top w:val="single" w:sz="12" w:space="0" w:color="auto"/>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0" w:type="dxa"/>
            <w:gridSpan w:val="2"/>
            <w:tcBorders>
              <w:top w:val="single" w:sz="12" w:space="0" w:color="auto"/>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0" w:type="dxa"/>
            <w:gridSpan w:val="2"/>
            <w:tcBorders>
              <w:top w:val="single" w:sz="12" w:space="0" w:color="auto"/>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1" w:type="dxa"/>
            <w:gridSpan w:val="2"/>
            <w:tcBorders>
              <w:top w:val="single" w:sz="12" w:space="0" w:color="auto"/>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0" w:type="dxa"/>
            <w:gridSpan w:val="2"/>
            <w:tcBorders>
              <w:top w:val="single" w:sz="12" w:space="0" w:color="auto"/>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top w:val="single" w:sz="12" w:space="0" w:color="auto"/>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1" w:type="dxa"/>
            <w:tcBorders>
              <w:top w:val="single" w:sz="12" w:space="0" w:color="auto"/>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r>
      <w:tr w:rsidR="00D023E3" w:rsidRPr="001862BC" w:rsidTr="004C3DC8">
        <w:trPr>
          <w:trHeight w:val="288"/>
        </w:trPr>
        <w:tc>
          <w:tcPr>
            <w:tcW w:w="580"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6.6</w:t>
            </w:r>
          </w:p>
        </w:tc>
        <w:tc>
          <w:tcPr>
            <w:tcW w:w="580"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4.8</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4.5</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4.3</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4.0</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581"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58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1"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1" w:type="dxa"/>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r>
      <w:tr w:rsidR="00D023E3" w:rsidRPr="001862BC" w:rsidTr="004C3DC8">
        <w:trPr>
          <w:trHeight w:val="288"/>
        </w:trPr>
        <w:tc>
          <w:tcPr>
            <w:tcW w:w="580"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6.7</w:t>
            </w:r>
          </w:p>
        </w:tc>
        <w:tc>
          <w:tcPr>
            <w:tcW w:w="580"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4.8</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4.5</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3.9</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3.7</w:t>
            </w:r>
          </w:p>
        </w:tc>
        <w:tc>
          <w:tcPr>
            <w:tcW w:w="581"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58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1"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1" w:type="dxa"/>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r>
      <w:tr w:rsidR="00D023E3" w:rsidRPr="001862BC" w:rsidTr="004C3DC8">
        <w:trPr>
          <w:trHeight w:val="288"/>
        </w:trPr>
        <w:tc>
          <w:tcPr>
            <w:tcW w:w="580"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6.8</w:t>
            </w:r>
          </w:p>
        </w:tc>
        <w:tc>
          <w:tcPr>
            <w:tcW w:w="580"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4.6</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4.1</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3.6</w:t>
            </w:r>
          </w:p>
        </w:tc>
        <w:tc>
          <w:tcPr>
            <w:tcW w:w="581"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3.4</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58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1"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1" w:type="dxa"/>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r>
      <w:tr w:rsidR="00D023E3" w:rsidRPr="001862BC" w:rsidTr="004C3DC8">
        <w:trPr>
          <w:trHeight w:val="288"/>
        </w:trPr>
        <w:tc>
          <w:tcPr>
            <w:tcW w:w="580" w:type="dxa"/>
            <w:tcBorders>
              <w:bottom w:val="nil"/>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6.9</w:t>
            </w:r>
          </w:p>
        </w:tc>
        <w:tc>
          <w:tcPr>
            <w:tcW w:w="580" w:type="dxa"/>
            <w:gridSpan w:val="2"/>
            <w:tcBorders>
              <w:left w:val="single" w:sz="12"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4.5</w:t>
            </w:r>
          </w:p>
        </w:tc>
        <w:tc>
          <w:tcPr>
            <w:tcW w:w="58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4.2</w:t>
            </w:r>
          </w:p>
        </w:tc>
        <w:tc>
          <w:tcPr>
            <w:tcW w:w="581"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4.0</w:t>
            </w:r>
          </w:p>
        </w:tc>
        <w:tc>
          <w:tcPr>
            <w:tcW w:w="58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3.7</w:t>
            </w:r>
          </w:p>
        </w:tc>
        <w:tc>
          <w:tcPr>
            <w:tcW w:w="58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581" w:type="dxa"/>
            <w:gridSpan w:val="2"/>
            <w:tcBorders>
              <w:left w:val="single" w:sz="4" w:space="0" w:color="auto"/>
              <w:bottom w:val="nil"/>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58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580" w:type="dxa"/>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581"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58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58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581"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580" w:type="dxa"/>
            <w:gridSpan w:val="2"/>
            <w:tcBorders>
              <w:left w:val="single" w:sz="4" w:space="0" w:color="auto"/>
              <w:bottom w:val="nil"/>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58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581"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0" w:type="dxa"/>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0"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1" w:type="dxa"/>
            <w:gridSpan w:val="2"/>
            <w:tcBorders>
              <w:left w:val="single" w:sz="4" w:space="0" w:color="auto"/>
              <w:bottom w:val="nil"/>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0" w:type="dxa"/>
            <w:gridSpan w:val="2"/>
            <w:tcBorders>
              <w:left w:val="single" w:sz="4" w:space="0" w:color="auto"/>
              <w:bottom w:val="nil"/>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0" w:type="dxa"/>
            <w:gridSpan w:val="2"/>
            <w:tcBorders>
              <w:left w:val="single" w:sz="4" w:space="0" w:color="auto"/>
              <w:bottom w:val="nil"/>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1" w:type="dxa"/>
            <w:gridSpan w:val="2"/>
            <w:tcBorders>
              <w:left w:val="single" w:sz="4" w:space="0" w:color="auto"/>
              <w:bottom w:val="nil"/>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left w:val="single" w:sz="4" w:space="0" w:color="auto"/>
              <w:bottom w:val="nil"/>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left w:val="single" w:sz="4" w:space="0" w:color="auto"/>
              <w:bottom w:val="nil"/>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1" w:type="dxa"/>
            <w:tcBorders>
              <w:left w:val="single" w:sz="4" w:space="0" w:color="auto"/>
              <w:bottom w:val="nil"/>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r>
      <w:tr w:rsidR="00D023E3" w:rsidRPr="001862BC" w:rsidTr="004C3DC8">
        <w:trPr>
          <w:trHeight w:val="288"/>
        </w:trPr>
        <w:tc>
          <w:tcPr>
            <w:tcW w:w="580" w:type="dxa"/>
            <w:tcBorders>
              <w:top w:val="nil"/>
              <w:bottom w:val="nil"/>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7.0</w:t>
            </w:r>
          </w:p>
        </w:tc>
        <w:tc>
          <w:tcPr>
            <w:tcW w:w="580" w:type="dxa"/>
            <w:gridSpan w:val="2"/>
            <w:tcBorders>
              <w:top w:val="nil"/>
              <w:left w:val="single" w:sz="12"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4.4</w:t>
            </w:r>
          </w:p>
        </w:tc>
        <w:tc>
          <w:tcPr>
            <w:tcW w:w="58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4.1</w:t>
            </w:r>
          </w:p>
        </w:tc>
        <w:tc>
          <w:tcPr>
            <w:tcW w:w="581"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58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3.6</w:t>
            </w:r>
          </w:p>
        </w:tc>
        <w:tc>
          <w:tcPr>
            <w:tcW w:w="58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3.4</w:t>
            </w:r>
          </w:p>
        </w:tc>
        <w:tc>
          <w:tcPr>
            <w:tcW w:w="581" w:type="dxa"/>
            <w:gridSpan w:val="2"/>
            <w:tcBorders>
              <w:top w:val="nil"/>
              <w:left w:val="single" w:sz="4" w:space="0" w:color="auto"/>
              <w:bottom w:val="nil"/>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58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580" w:type="dxa"/>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581"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58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58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581"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580" w:type="dxa"/>
            <w:gridSpan w:val="2"/>
            <w:tcBorders>
              <w:top w:val="nil"/>
              <w:left w:val="single" w:sz="4" w:space="0" w:color="auto"/>
              <w:bottom w:val="nil"/>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58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581"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0" w:type="dxa"/>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0"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1" w:type="dxa"/>
            <w:gridSpan w:val="2"/>
            <w:tcBorders>
              <w:top w:val="nil"/>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0" w:type="dxa"/>
            <w:gridSpan w:val="2"/>
            <w:tcBorders>
              <w:top w:val="nil"/>
              <w:left w:val="single" w:sz="4" w:space="0" w:color="auto"/>
              <w:bottom w:val="nil"/>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0" w:type="dxa"/>
            <w:gridSpan w:val="2"/>
            <w:tcBorders>
              <w:top w:val="nil"/>
              <w:left w:val="single" w:sz="4" w:space="0" w:color="auto"/>
              <w:bottom w:val="nil"/>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1" w:type="dxa"/>
            <w:gridSpan w:val="2"/>
            <w:tcBorders>
              <w:top w:val="nil"/>
              <w:left w:val="single" w:sz="4" w:space="0" w:color="auto"/>
              <w:bottom w:val="nil"/>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top w:val="nil"/>
              <w:left w:val="single" w:sz="4" w:space="0" w:color="auto"/>
              <w:bottom w:val="nil"/>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0" w:type="dxa"/>
            <w:gridSpan w:val="2"/>
            <w:tcBorders>
              <w:top w:val="nil"/>
              <w:left w:val="single" w:sz="4" w:space="0" w:color="auto"/>
              <w:bottom w:val="nil"/>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1" w:type="dxa"/>
            <w:tcBorders>
              <w:top w:val="nil"/>
              <w:left w:val="single" w:sz="4" w:space="0" w:color="auto"/>
              <w:bottom w:val="nil"/>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0.99</w:t>
            </w:r>
          </w:p>
        </w:tc>
      </w:tr>
      <w:tr w:rsidR="00D023E3" w:rsidRPr="001862BC" w:rsidTr="004C3DC8">
        <w:trPr>
          <w:trHeight w:val="288"/>
        </w:trPr>
        <w:tc>
          <w:tcPr>
            <w:tcW w:w="580" w:type="dxa"/>
            <w:tcBorders>
              <w:top w:val="nil"/>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7.1</w:t>
            </w:r>
          </w:p>
        </w:tc>
        <w:tc>
          <w:tcPr>
            <w:tcW w:w="580" w:type="dxa"/>
            <w:gridSpan w:val="2"/>
            <w:tcBorders>
              <w:top w:val="nil"/>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4.2</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3.9</w:t>
            </w:r>
          </w:p>
        </w:tc>
        <w:tc>
          <w:tcPr>
            <w:tcW w:w="581"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3.7</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581" w:type="dxa"/>
            <w:gridSpan w:val="2"/>
            <w:tcBorders>
              <w:top w:val="nil"/>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580" w:type="dxa"/>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581"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581"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580" w:type="dxa"/>
            <w:gridSpan w:val="2"/>
            <w:tcBorders>
              <w:top w:val="nil"/>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1"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0" w:type="dxa"/>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1"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0" w:type="dxa"/>
            <w:gridSpan w:val="2"/>
            <w:tcBorders>
              <w:top w:val="nil"/>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top w:val="nil"/>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1" w:type="dxa"/>
            <w:gridSpan w:val="2"/>
            <w:tcBorders>
              <w:top w:val="nil"/>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top w:val="nil"/>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0" w:type="dxa"/>
            <w:gridSpan w:val="2"/>
            <w:tcBorders>
              <w:top w:val="nil"/>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581" w:type="dxa"/>
            <w:tcBorders>
              <w:top w:val="nil"/>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0.95</w:t>
            </w:r>
          </w:p>
        </w:tc>
      </w:tr>
      <w:tr w:rsidR="00D023E3" w:rsidRPr="001862BC" w:rsidTr="004C3DC8">
        <w:trPr>
          <w:trHeight w:val="288"/>
        </w:trPr>
        <w:tc>
          <w:tcPr>
            <w:tcW w:w="580"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7.2</w:t>
            </w:r>
          </w:p>
        </w:tc>
        <w:tc>
          <w:tcPr>
            <w:tcW w:w="580"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4.0</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3.7</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581"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58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1"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0.96</w:t>
            </w:r>
          </w:p>
        </w:tc>
        <w:tc>
          <w:tcPr>
            <w:tcW w:w="581" w:type="dxa"/>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0.90</w:t>
            </w:r>
          </w:p>
        </w:tc>
      </w:tr>
      <w:tr w:rsidR="00D023E3" w:rsidRPr="001862BC" w:rsidTr="004C3DC8">
        <w:trPr>
          <w:trHeight w:val="288"/>
        </w:trPr>
        <w:tc>
          <w:tcPr>
            <w:tcW w:w="580"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7.3</w:t>
            </w:r>
          </w:p>
        </w:tc>
        <w:tc>
          <w:tcPr>
            <w:tcW w:w="580"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3.8</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581"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1"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0.97</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0.91</w:t>
            </w:r>
          </w:p>
        </w:tc>
        <w:tc>
          <w:tcPr>
            <w:tcW w:w="581" w:type="dxa"/>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0.85</w:t>
            </w:r>
          </w:p>
        </w:tc>
      </w:tr>
      <w:tr w:rsidR="00D023E3" w:rsidRPr="001862BC" w:rsidTr="004C3DC8">
        <w:trPr>
          <w:trHeight w:val="288"/>
        </w:trPr>
        <w:tc>
          <w:tcPr>
            <w:tcW w:w="580"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7.4</w:t>
            </w:r>
          </w:p>
        </w:tc>
        <w:tc>
          <w:tcPr>
            <w:tcW w:w="580"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3.5</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3.3</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3.1</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581"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581"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0.96</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0.90</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0.85</w:t>
            </w:r>
          </w:p>
        </w:tc>
        <w:tc>
          <w:tcPr>
            <w:tcW w:w="581" w:type="dxa"/>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0.79</w:t>
            </w:r>
          </w:p>
        </w:tc>
      </w:tr>
      <w:tr w:rsidR="00D023E3" w:rsidRPr="001862BC" w:rsidTr="004C3DC8">
        <w:trPr>
          <w:trHeight w:val="288"/>
        </w:trPr>
        <w:tc>
          <w:tcPr>
            <w:tcW w:w="580"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7.5</w:t>
            </w:r>
          </w:p>
        </w:tc>
        <w:tc>
          <w:tcPr>
            <w:tcW w:w="580"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3.0</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2.7</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2.5</w:t>
            </w:r>
          </w:p>
        </w:tc>
        <w:tc>
          <w:tcPr>
            <w:tcW w:w="581"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0.95</w:t>
            </w:r>
          </w:p>
        </w:tc>
        <w:tc>
          <w:tcPr>
            <w:tcW w:w="581"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0.89</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0.83</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0.78</w:t>
            </w:r>
          </w:p>
        </w:tc>
        <w:tc>
          <w:tcPr>
            <w:tcW w:w="581" w:type="dxa"/>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0.73</w:t>
            </w:r>
          </w:p>
        </w:tc>
      </w:tr>
      <w:tr w:rsidR="00D023E3" w:rsidRPr="001862BC" w:rsidTr="004C3DC8">
        <w:trPr>
          <w:trHeight w:val="288"/>
        </w:trPr>
        <w:tc>
          <w:tcPr>
            <w:tcW w:w="580"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7.6</w:t>
            </w:r>
          </w:p>
        </w:tc>
        <w:tc>
          <w:tcPr>
            <w:tcW w:w="580"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2.9</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2.8</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581"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0.98</w:t>
            </w:r>
          </w:p>
        </w:tc>
        <w:tc>
          <w:tcPr>
            <w:tcW w:w="58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0.92</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0.86</w:t>
            </w:r>
          </w:p>
        </w:tc>
        <w:tc>
          <w:tcPr>
            <w:tcW w:w="581"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0.81</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0.76</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0.71</w:t>
            </w:r>
          </w:p>
        </w:tc>
        <w:tc>
          <w:tcPr>
            <w:tcW w:w="581" w:type="dxa"/>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0.67</w:t>
            </w:r>
          </w:p>
        </w:tc>
      </w:tr>
      <w:tr w:rsidR="00D023E3" w:rsidRPr="001862BC" w:rsidTr="004C3DC8">
        <w:trPr>
          <w:trHeight w:val="288"/>
        </w:trPr>
        <w:tc>
          <w:tcPr>
            <w:tcW w:w="580"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7.7</w:t>
            </w:r>
          </w:p>
        </w:tc>
        <w:tc>
          <w:tcPr>
            <w:tcW w:w="580"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2.6</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2.4</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2.0</w:t>
            </w:r>
          </w:p>
        </w:tc>
        <w:tc>
          <w:tcPr>
            <w:tcW w:w="581"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0.94</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0.88</w:t>
            </w:r>
          </w:p>
        </w:tc>
        <w:tc>
          <w:tcPr>
            <w:tcW w:w="58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0.83</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0.78</w:t>
            </w:r>
          </w:p>
        </w:tc>
        <w:tc>
          <w:tcPr>
            <w:tcW w:w="581"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0.73</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0.68</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0.64</w:t>
            </w:r>
          </w:p>
        </w:tc>
        <w:tc>
          <w:tcPr>
            <w:tcW w:w="581" w:type="dxa"/>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0.60</w:t>
            </w:r>
          </w:p>
        </w:tc>
      </w:tr>
      <w:tr w:rsidR="00D023E3" w:rsidRPr="001862BC" w:rsidTr="004C3DC8">
        <w:trPr>
          <w:trHeight w:val="288"/>
        </w:trPr>
        <w:tc>
          <w:tcPr>
            <w:tcW w:w="580"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7.8</w:t>
            </w:r>
          </w:p>
        </w:tc>
        <w:tc>
          <w:tcPr>
            <w:tcW w:w="580"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2.3</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2.2</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1"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0.95</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0.89</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0.84</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0.79</w:t>
            </w:r>
          </w:p>
        </w:tc>
        <w:tc>
          <w:tcPr>
            <w:tcW w:w="58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0.74</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0.69</w:t>
            </w:r>
          </w:p>
        </w:tc>
        <w:tc>
          <w:tcPr>
            <w:tcW w:w="581"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0.65</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0.61</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0.57</w:t>
            </w:r>
          </w:p>
        </w:tc>
        <w:tc>
          <w:tcPr>
            <w:tcW w:w="581" w:type="dxa"/>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0.53</w:t>
            </w:r>
          </w:p>
        </w:tc>
      </w:tr>
      <w:tr w:rsidR="00D023E3" w:rsidRPr="001862BC" w:rsidTr="004C3DC8">
        <w:trPr>
          <w:trHeight w:val="288"/>
        </w:trPr>
        <w:tc>
          <w:tcPr>
            <w:tcW w:w="580"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7.9</w:t>
            </w:r>
          </w:p>
        </w:tc>
        <w:tc>
          <w:tcPr>
            <w:tcW w:w="580"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2.1</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1.9</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1"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58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0.95</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0.89</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0.84</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0.79</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0.74</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0.69</w:t>
            </w:r>
          </w:p>
        </w:tc>
        <w:tc>
          <w:tcPr>
            <w:tcW w:w="58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0.65</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0.61</w:t>
            </w:r>
          </w:p>
        </w:tc>
        <w:tc>
          <w:tcPr>
            <w:tcW w:w="581"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0.57</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0.53</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0.50</w:t>
            </w:r>
          </w:p>
        </w:tc>
        <w:tc>
          <w:tcPr>
            <w:tcW w:w="581" w:type="dxa"/>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0.47</w:t>
            </w:r>
          </w:p>
        </w:tc>
      </w:tr>
      <w:tr w:rsidR="00D023E3" w:rsidRPr="009371F6" w:rsidTr="004C3DC8">
        <w:trPr>
          <w:trHeight w:val="288"/>
        </w:trPr>
        <w:tc>
          <w:tcPr>
            <w:tcW w:w="580" w:type="dxa"/>
            <w:tcBorders>
              <w:bottom w:val="nil"/>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8.0</w:t>
            </w:r>
          </w:p>
        </w:tc>
        <w:tc>
          <w:tcPr>
            <w:tcW w:w="580" w:type="dxa"/>
            <w:gridSpan w:val="2"/>
            <w:tcBorders>
              <w:left w:val="single" w:sz="12"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1.8</w:t>
            </w:r>
          </w:p>
        </w:tc>
        <w:tc>
          <w:tcPr>
            <w:tcW w:w="580" w:type="dxa"/>
            <w:gridSpan w:val="2"/>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1.7</w:t>
            </w:r>
          </w:p>
        </w:tc>
        <w:tc>
          <w:tcPr>
            <w:tcW w:w="581" w:type="dxa"/>
            <w:gridSpan w:val="2"/>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1.6</w:t>
            </w:r>
          </w:p>
        </w:tc>
        <w:tc>
          <w:tcPr>
            <w:tcW w:w="580" w:type="dxa"/>
            <w:gridSpan w:val="2"/>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0" w:type="dxa"/>
            <w:gridSpan w:val="2"/>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1" w:type="dxa"/>
            <w:gridSpan w:val="2"/>
            <w:tcBorders>
              <w:left w:val="single" w:sz="4" w:space="0" w:color="auto"/>
              <w:bottom w:val="nil"/>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1" w:type="dxa"/>
            <w:gridSpan w:val="2"/>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0" w:type="dxa"/>
            <w:gridSpan w:val="2"/>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580" w:type="dxa"/>
            <w:gridSpan w:val="2"/>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0.94</w:t>
            </w:r>
          </w:p>
        </w:tc>
        <w:tc>
          <w:tcPr>
            <w:tcW w:w="581" w:type="dxa"/>
            <w:gridSpan w:val="2"/>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0.88</w:t>
            </w:r>
          </w:p>
        </w:tc>
        <w:tc>
          <w:tcPr>
            <w:tcW w:w="580" w:type="dxa"/>
            <w:gridSpan w:val="2"/>
            <w:tcBorders>
              <w:left w:val="single" w:sz="4" w:space="0" w:color="auto"/>
              <w:bottom w:val="nil"/>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0.83</w:t>
            </w:r>
          </w:p>
        </w:tc>
        <w:tc>
          <w:tcPr>
            <w:tcW w:w="580" w:type="dxa"/>
            <w:gridSpan w:val="2"/>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0.78</w:t>
            </w:r>
          </w:p>
        </w:tc>
        <w:tc>
          <w:tcPr>
            <w:tcW w:w="581" w:type="dxa"/>
            <w:gridSpan w:val="2"/>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0.73</w:t>
            </w:r>
          </w:p>
        </w:tc>
        <w:tc>
          <w:tcPr>
            <w:tcW w:w="580" w:type="dxa"/>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0.68</w:t>
            </w:r>
          </w:p>
        </w:tc>
        <w:tc>
          <w:tcPr>
            <w:tcW w:w="580" w:type="dxa"/>
            <w:gridSpan w:val="2"/>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0.64</w:t>
            </w:r>
          </w:p>
        </w:tc>
        <w:tc>
          <w:tcPr>
            <w:tcW w:w="581" w:type="dxa"/>
            <w:gridSpan w:val="2"/>
            <w:tcBorders>
              <w:left w:val="single" w:sz="4" w:space="0" w:color="auto"/>
              <w:bottom w:val="nil"/>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0.60</w:t>
            </w:r>
          </w:p>
        </w:tc>
        <w:tc>
          <w:tcPr>
            <w:tcW w:w="580" w:type="dxa"/>
            <w:gridSpan w:val="2"/>
            <w:tcBorders>
              <w:left w:val="single" w:sz="4" w:space="0" w:color="auto"/>
              <w:bottom w:val="nil"/>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0.56</w:t>
            </w:r>
          </w:p>
        </w:tc>
        <w:tc>
          <w:tcPr>
            <w:tcW w:w="580" w:type="dxa"/>
            <w:gridSpan w:val="2"/>
            <w:tcBorders>
              <w:left w:val="single" w:sz="4" w:space="0" w:color="auto"/>
              <w:bottom w:val="nil"/>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0.53</w:t>
            </w:r>
          </w:p>
        </w:tc>
        <w:tc>
          <w:tcPr>
            <w:tcW w:w="581" w:type="dxa"/>
            <w:gridSpan w:val="2"/>
            <w:tcBorders>
              <w:left w:val="single" w:sz="4" w:space="0" w:color="auto"/>
              <w:bottom w:val="nil"/>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0.50</w:t>
            </w:r>
          </w:p>
        </w:tc>
        <w:tc>
          <w:tcPr>
            <w:tcW w:w="580" w:type="dxa"/>
            <w:gridSpan w:val="2"/>
            <w:tcBorders>
              <w:left w:val="single" w:sz="4" w:space="0" w:color="auto"/>
              <w:bottom w:val="nil"/>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0.44</w:t>
            </w:r>
          </w:p>
        </w:tc>
        <w:tc>
          <w:tcPr>
            <w:tcW w:w="580" w:type="dxa"/>
            <w:gridSpan w:val="2"/>
            <w:tcBorders>
              <w:left w:val="single" w:sz="4" w:space="0" w:color="auto"/>
              <w:bottom w:val="nil"/>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0.44</w:t>
            </w:r>
          </w:p>
        </w:tc>
        <w:tc>
          <w:tcPr>
            <w:tcW w:w="581" w:type="dxa"/>
            <w:tcBorders>
              <w:left w:val="single" w:sz="4" w:space="0" w:color="auto"/>
              <w:bottom w:val="nil"/>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0.41</w:t>
            </w:r>
          </w:p>
        </w:tc>
      </w:tr>
      <w:tr w:rsidR="00D023E3" w:rsidRPr="001862BC" w:rsidTr="004C3DC8">
        <w:trPr>
          <w:trHeight w:val="288"/>
        </w:trPr>
        <w:tc>
          <w:tcPr>
            <w:tcW w:w="580" w:type="dxa"/>
            <w:tcBorders>
              <w:top w:val="nil"/>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8.1</w:t>
            </w:r>
          </w:p>
        </w:tc>
        <w:tc>
          <w:tcPr>
            <w:tcW w:w="580" w:type="dxa"/>
            <w:gridSpan w:val="2"/>
            <w:tcBorders>
              <w:top w:val="nil"/>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1.5</w:t>
            </w:r>
          </w:p>
        </w:tc>
        <w:tc>
          <w:tcPr>
            <w:tcW w:w="581"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1.4</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1" w:type="dxa"/>
            <w:gridSpan w:val="2"/>
            <w:tcBorders>
              <w:top w:val="nil"/>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0" w:type="dxa"/>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0.99</w:t>
            </w:r>
          </w:p>
        </w:tc>
        <w:tc>
          <w:tcPr>
            <w:tcW w:w="581"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0.92</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0.87</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0.81</w:t>
            </w:r>
          </w:p>
        </w:tc>
        <w:tc>
          <w:tcPr>
            <w:tcW w:w="581"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0.76</w:t>
            </w:r>
          </w:p>
        </w:tc>
        <w:tc>
          <w:tcPr>
            <w:tcW w:w="580" w:type="dxa"/>
            <w:gridSpan w:val="2"/>
            <w:tcBorders>
              <w:top w:val="nil"/>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0.71</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0.67</w:t>
            </w:r>
          </w:p>
        </w:tc>
        <w:tc>
          <w:tcPr>
            <w:tcW w:w="581"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0.63</w:t>
            </w:r>
          </w:p>
        </w:tc>
        <w:tc>
          <w:tcPr>
            <w:tcW w:w="580" w:type="dxa"/>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0.59</w:t>
            </w:r>
          </w:p>
        </w:tc>
        <w:tc>
          <w:tcPr>
            <w:tcW w:w="580"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0.55</w:t>
            </w:r>
          </w:p>
        </w:tc>
        <w:tc>
          <w:tcPr>
            <w:tcW w:w="581" w:type="dxa"/>
            <w:gridSpan w:val="2"/>
            <w:tcBorders>
              <w:top w:val="nil"/>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0.52</w:t>
            </w:r>
          </w:p>
        </w:tc>
        <w:tc>
          <w:tcPr>
            <w:tcW w:w="580" w:type="dxa"/>
            <w:gridSpan w:val="2"/>
            <w:tcBorders>
              <w:top w:val="nil"/>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0.49</w:t>
            </w:r>
          </w:p>
        </w:tc>
        <w:tc>
          <w:tcPr>
            <w:tcW w:w="580" w:type="dxa"/>
            <w:gridSpan w:val="2"/>
            <w:tcBorders>
              <w:top w:val="nil"/>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0.46</w:t>
            </w:r>
          </w:p>
        </w:tc>
        <w:tc>
          <w:tcPr>
            <w:tcW w:w="581" w:type="dxa"/>
            <w:gridSpan w:val="2"/>
            <w:tcBorders>
              <w:top w:val="nil"/>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0.43</w:t>
            </w:r>
          </w:p>
        </w:tc>
        <w:tc>
          <w:tcPr>
            <w:tcW w:w="580" w:type="dxa"/>
            <w:gridSpan w:val="2"/>
            <w:tcBorders>
              <w:top w:val="nil"/>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0.40</w:t>
            </w:r>
          </w:p>
        </w:tc>
        <w:tc>
          <w:tcPr>
            <w:tcW w:w="580" w:type="dxa"/>
            <w:gridSpan w:val="2"/>
            <w:tcBorders>
              <w:top w:val="nil"/>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0.38</w:t>
            </w:r>
          </w:p>
        </w:tc>
        <w:tc>
          <w:tcPr>
            <w:tcW w:w="581" w:type="dxa"/>
            <w:tcBorders>
              <w:top w:val="nil"/>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0.35</w:t>
            </w:r>
          </w:p>
        </w:tc>
      </w:tr>
      <w:tr w:rsidR="00D023E3" w:rsidRPr="001862BC" w:rsidTr="004C3DC8">
        <w:trPr>
          <w:trHeight w:val="288"/>
        </w:trPr>
        <w:tc>
          <w:tcPr>
            <w:tcW w:w="580"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8.2</w:t>
            </w:r>
          </w:p>
        </w:tc>
        <w:tc>
          <w:tcPr>
            <w:tcW w:w="580"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1.3</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1.2</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1.0</w:t>
            </w:r>
          </w:p>
        </w:tc>
        <w:tc>
          <w:tcPr>
            <w:tcW w:w="581"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0.96</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0.90</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0.84</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0.79</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0.74</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0.70</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0.65</w:t>
            </w:r>
          </w:p>
        </w:tc>
        <w:tc>
          <w:tcPr>
            <w:tcW w:w="58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0.61</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0.57</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0.54</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0.50</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0.47</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0.44</w:t>
            </w:r>
          </w:p>
        </w:tc>
        <w:tc>
          <w:tcPr>
            <w:tcW w:w="58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0.42</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0.39</w:t>
            </w:r>
          </w:p>
        </w:tc>
        <w:tc>
          <w:tcPr>
            <w:tcW w:w="581"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0.37</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0.34</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0.32</w:t>
            </w:r>
          </w:p>
        </w:tc>
        <w:tc>
          <w:tcPr>
            <w:tcW w:w="581" w:type="dxa"/>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0.30</w:t>
            </w:r>
          </w:p>
        </w:tc>
      </w:tr>
      <w:tr w:rsidR="00D023E3" w:rsidRPr="001862BC" w:rsidTr="004C3DC8">
        <w:trPr>
          <w:trHeight w:val="288"/>
        </w:trPr>
        <w:tc>
          <w:tcPr>
            <w:tcW w:w="580"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8.3</w:t>
            </w:r>
          </w:p>
        </w:tc>
        <w:tc>
          <w:tcPr>
            <w:tcW w:w="580"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1.1</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0.99</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0.93</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0.87</w:t>
            </w:r>
          </w:p>
        </w:tc>
        <w:tc>
          <w:tcPr>
            <w:tcW w:w="581"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0.76</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0.72</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0.67</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0.63</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0.59</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0.55</w:t>
            </w:r>
          </w:p>
        </w:tc>
        <w:tc>
          <w:tcPr>
            <w:tcW w:w="58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0.49</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0.46</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0.43</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0.40</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0.38</w:t>
            </w:r>
          </w:p>
        </w:tc>
        <w:tc>
          <w:tcPr>
            <w:tcW w:w="58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0.35</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0.33</w:t>
            </w:r>
          </w:p>
        </w:tc>
        <w:tc>
          <w:tcPr>
            <w:tcW w:w="581"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0.31</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0.29</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0.27</w:t>
            </w:r>
          </w:p>
        </w:tc>
        <w:tc>
          <w:tcPr>
            <w:tcW w:w="581" w:type="dxa"/>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0.26</w:t>
            </w:r>
          </w:p>
        </w:tc>
      </w:tr>
      <w:tr w:rsidR="00D023E3" w:rsidRPr="001862BC" w:rsidTr="004C3DC8">
        <w:trPr>
          <w:trHeight w:val="288"/>
        </w:trPr>
        <w:tc>
          <w:tcPr>
            <w:tcW w:w="580"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8.4</w:t>
            </w:r>
          </w:p>
        </w:tc>
        <w:tc>
          <w:tcPr>
            <w:tcW w:w="580"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0.95</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0.89</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0.84</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0.79</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0.74</w:t>
            </w:r>
          </w:p>
        </w:tc>
        <w:tc>
          <w:tcPr>
            <w:tcW w:w="581"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0.69</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0.65</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0.61</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0.57</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0.53</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0.50</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0.47</w:t>
            </w:r>
          </w:p>
        </w:tc>
        <w:tc>
          <w:tcPr>
            <w:tcW w:w="58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0.44</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0.41</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0.39</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0.36</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0.34</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0.32</w:t>
            </w:r>
          </w:p>
        </w:tc>
        <w:tc>
          <w:tcPr>
            <w:tcW w:w="58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0.30</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0.28</w:t>
            </w:r>
          </w:p>
        </w:tc>
        <w:tc>
          <w:tcPr>
            <w:tcW w:w="581"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0.26</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0.25</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0.23</w:t>
            </w:r>
          </w:p>
        </w:tc>
        <w:tc>
          <w:tcPr>
            <w:tcW w:w="581" w:type="dxa"/>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0.22</w:t>
            </w:r>
          </w:p>
        </w:tc>
      </w:tr>
      <w:tr w:rsidR="00D023E3" w:rsidRPr="001862BC" w:rsidTr="004C3DC8">
        <w:trPr>
          <w:trHeight w:val="288"/>
        </w:trPr>
        <w:tc>
          <w:tcPr>
            <w:tcW w:w="580"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8.5</w:t>
            </w:r>
          </w:p>
        </w:tc>
        <w:tc>
          <w:tcPr>
            <w:tcW w:w="580"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0.80</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0.75</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0.71</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0.67</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0.62</w:t>
            </w:r>
          </w:p>
        </w:tc>
        <w:tc>
          <w:tcPr>
            <w:tcW w:w="581"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0.58</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0.55</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0.51</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0.48</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0.45</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0.42</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0.40</w:t>
            </w:r>
          </w:p>
        </w:tc>
        <w:tc>
          <w:tcPr>
            <w:tcW w:w="58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0.37</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0.35</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0.33</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0.31</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0.29</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0.27</w:t>
            </w:r>
          </w:p>
        </w:tc>
        <w:tc>
          <w:tcPr>
            <w:tcW w:w="58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0.25</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0.24</w:t>
            </w:r>
          </w:p>
        </w:tc>
        <w:tc>
          <w:tcPr>
            <w:tcW w:w="581"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0.22</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0.21</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0.20</w:t>
            </w:r>
          </w:p>
        </w:tc>
        <w:tc>
          <w:tcPr>
            <w:tcW w:w="581" w:type="dxa"/>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0.18</w:t>
            </w:r>
          </w:p>
        </w:tc>
      </w:tr>
      <w:tr w:rsidR="00D023E3" w:rsidRPr="001862BC" w:rsidTr="004C3DC8">
        <w:trPr>
          <w:trHeight w:val="288"/>
        </w:trPr>
        <w:tc>
          <w:tcPr>
            <w:tcW w:w="580"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8.6</w:t>
            </w:r>
          </w:p>
        </w:tc>
        <w:tc>
          <w:tcPr>
            <w:tcW w:w="580"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0.68</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0.64</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0.60</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0.56</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0.53</w:t>
            </w:r>
          </w:p>
        </w:tc>
        <w:tc>
          <w:tcPr>
            <w:tcW w:w="581"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0.49</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0.46</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0.43</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0.41</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0.38</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0.36</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0.33</w:t>
            </w:r>
          </w:p>
        </w:tc>
        <w:tc>
          <w:tcPr>
            <w:tcW w:w="58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0.31</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0.29</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0.28</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0.26</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0.24</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0.23</w:t>
            </w:r>
          </w:p>
        </w:tc>
        <w:tc>
          <w:tcPr>
            <w:tcW w:w="58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0.21</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0.20</w:t>
            </w:r>
          </w:p>
        </w:tc>
        <w:tc>
          <w:tcPr>
            <w:tcW w:w="581"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0.19</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0.18</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0.16</w:t>
            </w:r>
          </w:p>
        </w:tc>
        <w:tc>
          <w:tcPr>
            <w:tcW w:w="581" w:type="dxa"/>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0.15</w:t>
            </w:r>
          </w:p>
        </w:tc>
      </w:tr>
      <w:tr w:rsidR="00D023E3" w:rsidRPr="001862BC" w:rsidTr="004C3DC8">
        <w:trPr>
          <w:trHeight w:val="288"/>
        </w:trPr>
        <w:tc>
          <w:tcPr>
            <w:tcW w:w="580"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8.7</w:t>
            </w:r>
          </w:p>
        </w:tc>
        <w:tc>
          <w:tcPr>
            <w:tcW w:w="580"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0.57</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0.54</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0.51</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0.47</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0.44</w:t>
            </w:r>
          </w:p>
        </w:tc>
        <w:tc>
          <w:tcPr>
            <w:tcW w:w="581"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0.39</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0.37</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0.34</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0.30</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0.28</w:t>
            </w:r>
          </w:p>
        </w:tc>
        <w:tc>
          <w:tcPr>
            <w:tcW w:w="58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0.27</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0.25</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0.23</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0.21</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0.19</w:t>
            </w:r>
          </w:p>
        </w:tc>
        <w:tc>
          <w:tcPr>
            <w:tcW w:w="58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0.18</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0.17</w:t>
            </w:r>
          </w:p>
        </w:tc>
        <w:tc>
          <w:tcPr>
            <w:tcW w:w="581"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0.16</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0.15</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0.14</w:t>
            </w:r>
          </w:p>
        </w:tc>
        <w:tc>
          <w:tcPr>
            <w:tcW w:w="581" w:type="dxa"/>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0.13</w:t>
            </w:r>
          </w:p>
        </w:tc>
      </w:tr>
      <w:tr w:rsidR="00D023E3" w:rsidRPr="001862BC" w:rsidTr="004C3DC8">
        <w:trPr>
          <w:trHeight w:val="288"/>
        </w:trPr>
        <w:tc>
          <w:tcPr>
            <w:tcW w:w="580" w:type="dxa"/>
            <w:tcBorders>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8.8</w:t>
            </w:r>
          </w:p>
        </w:tc>
        <w:tc>
          <w:tcPr>
            <w:tcW w:w="580"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0.49</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0.46</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0.43</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0.40</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0.38</w:t>
            </w:r>
          </w:p>
        </w:tc>
        <w:tc>
          <w:tcPr>
            <w:tcW w:w="581"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0.35</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0.33</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0.31</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0.29</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0.27</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0.26</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0.24</w:t>
            </w:r>
          </w:p>
        </w:tc>
        <w:tc>
          <w:tcPr>
            <w:tcW w:w="58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0.23</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0.21</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0.20</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0.19</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0.17</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0.16</w:t>
            </w:r>
          </w:p>
        </w:tc>
        <w:tc>
          <w:tcPr>
            <w:tcW w:w="58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0.15</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0.14</w:t>
            </w:r>
          </w:p>
        </w:tc>
        <w:tc>
          <w:tcPr>
            <w:tcW w:w="581"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0.13</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0.13</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0.12</w:t>
            </w:r>
          </w:p>
        </w:tc>
        <w:tc>
          <w:tcPr>
            <w:tcW w:w="581" w:type="dxa"/>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0.11</w:t>
            </w:r>
          </w:p>
        </w:tc>
      </w:tr>
      <w:tr w:rsidR="00D023E3" w:rsidRPr="001862BC" w:rsidTr="004C3DC8">
        <w:trPr>
          <w:trHeight w:val="288"/>
        </w:trPr>
        <w:tc>
          <w:tcPr>
            <w:tcW w:w="580" w:type="dxa"/>
            <w:tcBorders>
              <w:right w:val="single" w:sz="12" w:space="0" w:color="auto"/>
            </w:tcBorders>
            <w:shd w:val="clear" w:color="auto" w:fill="D9D9D9" w:themeFill="background1" w:themeFillShade="D9"/>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8.9</w:t>
            </w:r>
          </w:p>
        </w:tc>
        <w:tc>
          <w:tcPr>
            <w:tcW w:w="580" w:type="dxa"/>
            <w:gridSpan w:val="2"/>
            <w:tcBorders>
              <w:left w:val="single" w:sz="12"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0.42</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0.39</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0.37</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0.34</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0.32</w:t>
            </w:r>
          </w:p>
        </w:tc>
        <w:tc>
          <w:tcPr>
            <w:tcW w:w="581"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0.30</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0.28</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0.27</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0.25</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0.23</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0.22</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0.21</w:t>
            </w:r>
          </w:p>
        </w:tc>
        <w:tc>
          <w:tcPr>
            <w:tcW w:w="580" w:type="dxa"/>
            <w:gridSpan w:val="2"/>
            <w:tcBorders>
              <w:left w:val="single" w:sz="4" w:space="0" w:color="auto"/>
              <w:righ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0.19</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0.18</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0.17</w:t>
            </w:r>
          </w:p>
        </w:tc>
        <w:tc>
          <w:tcPr>
            <w:tcW w:w="580" w:type="dxa"/>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0.16</w:t>
            </w:r>
          </w:p>
        </w:tc>
        <w:tc>
          <w:tcPr>
            <w:tcW w:w="580"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0.15</w:t>
            </w:r>
          </w:p>
        </w:tc>
        <w:tc>
          <w:tcPr>
            <w:tcW w:w="581" w:type="dxa"/>
            <w:gridSpan w:val="2"/>
            <w:tcBorders>
              <w:left w:val="single" w:sz="4" w:space="0" w:color="auto"/>
              <w:righ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0.14</w:t>
            </w:r>
          </w:p>
        </w:tc>
        <w:tc>
          <w:tcPr>
            <w:tcW w:w="580" w:type="dxa"/>
            <w:gridSpan w:val="2"/>
            <w:tcBorders>
              <w:left w:val="single" w:sz="4" w:space="0" w:color="auto"/>
            </w:tcBorders>
            <w:shd w:val="clear" w:color="auto" w:fill="D9D9D9" w:themeFill="background1" w:themeFillShade="D9"/>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0.13</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0.12</w:t>
            </w:r>
          </w:p>
        </w:tc>
        <w:tc>
          <w:tcPr>
            <w:tcW w:w="581"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0.12</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0.11</w:t>
            </w:r>
          </w:p>
        </w:tc>
        <w:tc>
          <w:tcPr>
            <w:tcW w:w="580" w:type="dxa"/>
            <w:gridSpan w:val="2"/>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0.10</w:t>
            </w:r>
          </w:p>
        </w:tc>
        <w:tc>
          <w:tcPr>
            <w:tcW w:w="581" w:type="dxa"/>
            <w:tcBorders>
              <w:left w:val="single" w:sz="4" w:space="0" w:color="auto"/>
            </w:tcBorders>
            <w:shd w:val="clear" w:color="auto" w:fill="D9D9D9" w:themeFill="background1" w:themeFillShade="D9"/>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0.09</w:t>
            </w:r>
          </w:p>
        </w:tc>
      </w:tr>
      <w:tr w:rsidR="00D023E3" w:rsidRPr="001862BC" w:rsidTr="004C3DC8">
        <w:trPr>
          <w:trHeight w:val="288"/>
        </w:trPr>
        <w:tc>
          <w:tcPr>
            <w:tcW w:w="580" w:type="dxa"/>
            <w:tcBorders>
              <w:bottom w:val="double" w:sz="4" w:space="0" w:color="auto"/>
              <w:right w:val="single" w:sz="12" w:space="0" w:color="auto"/>
            </w:tcBorders>
            <w:shd w:val="clear" w:color="auto" w:fill="FFFFFF" w:themeFill="background1"/>
            <w:noWrap/>
            <w:vAlign w:val="center"/>
          </w:tcPr>
          <w:p w:rsidR="00272C67" w:rsidRPr="00246659" w:rsidRDefault="00D023E3">
            <w:pPr>
              <w:jc w:val="right"/>
              <w:rPr>
                <w:rFonts w:ascii="Arial" w:hAnsi="Arial" w:cs="Arial"/>
                <w:b/>
                <w:sz w:val="20"/>
                <w:szCs w:val="20"/>
              </w:rPr>
            </w:pPr>
            <w:r w:rsidRPr="00246659">
              <w:rPr>
                <w:rFonts w:ascii="Arial" w:hAnsi="Arial" w:cs="Arial"/>
                <w:b/>
                <w:sz w:val="20"/>
                <w:szCs w:val="20"/>
              </w:rPr>
              <w:t>9.0</w:t>
            </w:r>
          </w:p>
        </w:tc>
        <w:tc>
          <w:tcPr>
            <w:tcW w:w="580" w:type="dxa"/>
            <w:gridSpan w:val="2"/>
            <w:tcBorders>
              <w:left w:val="single" w:sz="12"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0.36</w:t>
            </w:r>
          </w:p>
        </w:tc>
        <w:tc>
          <w:tcPr>
            <w:tcW w:w="580" w:type="dxa"/>
            <w:gridSpan w:val="2"/>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0.34</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0.32</w:t>
            </w:r>
          </w:p>
        </w:tc>
        <w:tc>
          <w:tcPr>
            <w:tcW w:w="580" w:type="dxa"/>
            <w:gridSpan w:val="2"/>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0.30</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0.28</w:t>
            </w:r>
          </w:p>
        </w:tc>
        <w:tc>
          <w:tcPr>
            <w:tcW w:w="581"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0.26</w:t>
            </w:r>
          </w:p>
        </w:tc>
        <w:tc>
          <w:tcPr>
            <w:tcW w:w="580" w:type="dxa"/>
            <w:gridSpan w:val="2"/>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0.24</w:t>
            </w:r>
          </w:p>
        </w:tc>
        <w:tc>
          <w:tcPr>
            <w:tcW w:w="580" w:type="dxa"/>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0.23</w:t>
            </w:r>
          </w:p>
        </w:tc>
        <w:tc>
          <w:tcPr>
            <w:tcW w:w="581" w:type="dxa"/>
            <w:gridSpan w:val="2"/>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0.21</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0.20</w:t>
            </w:r>
          </w:p>
        </w:tc>
        <w:tc>
          <w:tcPr>
            <w:tcW w:w="580" w:type="dxa"/>
            <w:gridSpan w:val="2"/>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0.19</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0.18</w:t>
            </w:r>
          </w:p>
        </w:tc>
        <w:tc>
          <w:tcPr>
            <w:tcW w:w="580" w:type="dxa"/>
            <w:gridSpan w:val="2"/>
            <w:tcBorders>
              <w:left w:val="single" w:sz="4" w:space="0" w:color="auto"/>
              <w:righ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0.17</w:t>
            </w:r>
          </w:p>
        </w:tc>
        <w:tc>
          <w:tcPr>
            <w:tcW w:w="580" w:type="dxa"/>
            <w:gridSpan w:val="2"/>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0.16</w:t>
            </w:r>
          </w:p>
        </w:tc>
        <w:tc>
          <w:tcPr>
            <w:tcW w:w="581"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0.15</w:t>
            </w:r>
          </w:p>
        </w:tc>
        <w:tc>
          <w:tcPr>
            <w:tcW w:w="580" w:type="dxa"/>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0.14</w:t>
            </w:r>
          </w:p>
        </w:tc>
        <w:tc>
          <w:tcPr>
            <w:tcW w:w="580" w:type="dxa"/>
            <w:gridSpan w:val="2"/>
            <w:tcBorders>
              <w:left w:val="sing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0.13</w:t>
            </w:r>
          </w:p>
        </w:tc>
        <w:tc>
          <w:tcPr>
            <w:tcW w:w="581" w:type="dxa"/>
            <w:gridSpan w:val="2"/>
            <w:tcBorders>
              <w:left w:val="single" w:sz="4" w:space="0" w:color="auto"/>
              <w:bottom w:val="double" w:sz="4" w:space="0" w:color="auto"/>
              <w:righ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0.12</w:t>
            </w:r>
          </w:p>
        </w:tc>
        <w:tc>
          <w:tcPr>
            <w:tcW w:w="580" w:type="dxa"/>
            <w:gridSpan w:val="2"/>
            <w:tcBorders>
              <w:left w:val="single" w:sz="4" w:space="0" w:color="auto"/>
            </w:tcBorders>
            <w:shd w:val="clear" w:color="auto" w:fill="FFFFFF" w:themeFill="background1"/>
            <w:noWrap/>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0.11</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0.11</w:t>
            </w:r>
          </w:p>
        </w:tc>
        <w:tc>
          <w:tcPr>
            <w:tcW w:w="581"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0.10</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0.09</w:t>
            </w:r>
          </w:p>
        </w:tc>
        <w:tc>
          <w:tcPr>
            <w:tcW w:w="580" w:type="dxa"/>
            <w:gridSpan w:val="2"/>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0.09</w:t>
            </w:r>
          </w:p>
        </w:tc>
        <w:tc>
          <w:tcPr>
            <w:tcW w:w="581" w:type="dxa"/>
            <w:tcBorders>
              <w:left w:val="single" w:sz="4" w:space="0" w:color="auto"/>
            </w:tcBorders>
            <w:shd w:val="clear" w:color="auto" w:fill="FFFFFF" w:themeFill="background1"/>
            <w:vAlign w:val="center"/>
          </w:tcPr>
          <w:p w:rsidR="00272C67" w:rsidRPr="00246659" w:rsidRDefault="00D023E3">
            <w:pPr>
              <w:jc w:val="right"/>
              <w:rPr>
                <w:rFonts w:ascii="Arial" w:hAnsi="Arial" w:cs="Arial"/>
                <w:sz w:val="20"/>
                <w:szCs w:val="20"/>
              </w:rPr>
            </w:pPr>
            <w:r w:rsidRPr="00246659">
              <w:rPr>
                <w:rFonts w:ascii="Arial" w:hAnsi="Arial" w:cs="Arial"/>
                <w:sz w:val="20"/>
                <w:szCs w:val="20"/>
              </w:rPr>
              <w:t>0.08</w:t>
            </w:r>
          </w:p>
        </w:tc>
      </w:tr>
    </w:tbl>
    <w:p w:rsidR="00EE07AF" w:rsidRDefault="00EE07AF" w:rsidP="004C3DC8"/>
    <w:sectPr w:rsidR="00EE07AF" w:rsidSect="00EE07AF">
      <w:pgSz w:w="15840" w:h="12240" w:orient="landscape"/>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0D9E" w:rsidRDefault="00330D9E" w:rsidP="004D65A8">
      <w:r>
        <w:separator/>
      </w:r>
    </w:p>
  </w:endnote>
  <w:endnote w:type="continuationSeparator" w:id="0">
    <w:p w:rsidR="00330D9E" w:rsidRDefault="00330D9E" w:rsidP="004D65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Imprint MT Shadow">
    <w:panose1 w:val="040206050603030302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0D9E" w:rsidRPr="00B65506" w:rsidRDefault="00822E83" w:rsidP="004D65A8">
    <w:pPr>
      <w:pStyle w:val="Footer"/>
    </w:pPr>
    <w:sdt>
      <w:sdtPr>
        <w:alias w:val="Date"/>
        <w:tag w:val=""/>
        <w:id w:val="11665449"/>
        <w:dataBinding w:prefixMappings="xmlns:ns0='http://schemas.microsoft.com/office/2006/coverPageProps' " w:xpath="/ns0:CoverPageProperties[1]/ns0:PublishDate[1]" w:storeItemID="{55AF091B-3C7A-41E3-B477-F2FDAA23CFDA}"/>
        <w:date w:fullDate="2014-08-27T00:00:00Z">
          <w:dateFormat w:val="MMMM d, yyyy"/>
          <w:lid w:val="en-US"/>
          <w:storeMappedDataAs w:val="dateTime"/>
          <w:calendar w:val="gregorian"/>
        </w:date>
      </w:sdtPr>
      <w:sdtContent>
        <w:r w:rsidR="00330D9E">
          <w:t>August 27, 2014</w:t>
        </w:r>
      </w:sdtContent>
    </w:sdt>
    <w:r w:rsidR="00330D9E" w:rsidRPr="00B65506">
      <w:ptab w:relativeTo="margin" w:alignment="center" w:leader="none"/>
    </w:r>
    <w:r w:rsidR="00330D9E" w:rsidRPr="00B65506">
      <w:t>Ammonia Technical Support Document</w:t>
    </w:r>
    <w:r w:rsidR="00330D9E" w:rsidRPr="00B65506">
      <w:ptab w:relativeTo="margin" w:alignment="right" w:leader="none"/>
    </w:r>
    <w:r w:rsidR="00330D9E" w:rsidRPr="00B65506">
      <w:t xml:space="preserve">Page | </w:t>
    </w:r>
    <w:fldSimple w:instr=" PAGE   \* MERGEFORMAT ">
      <w:r w:rsidR="0024562E">
        <w:rPr>
          <w:noProof/>
        </w:rPr>
        <w:t>41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0D9E" w:rsidRDefault="00330D9E" w:rsidP="004D65A8">
      <w:r>
        <w:separator/>
      </w:r>
    </w:p>
  </w:footnote>
  <w:footnote w:type="continuationSeparator" w:id="0">
    <w:p w:rsidR="00330D9E" w:rsidRDefault="00330D9E" w:rsidP="004D65A8">
      <w:r>
        <w:continuationSeparator/>
      </w:r>
    </w:p>
  </w:footnote>
  <w:footnote w:id="1">
    <w:p w:rsidR="00330D9E" w:rsidRDefault="00330D9E">
      <w:pPr>
        <w:pStyle w:val="Footnote"/>
      </w:pPr>
      <w:r w:rsidRPr="00976189">
        <w:rPr>
          <w:rStyle w:val="FootnoteReference"/>
          <w:rFonts w:eastAsiaTheme="minorEastAsia"/>
          <w:lang w:eastAsia="ja-JP"/>
        </w:rPr>
        <w:footnoteRef/>
      </w:r>
      <w:r w:rsidRPr="00976189">
        <w:t xml:space="preserve"> National Marine Fisheries Service.  Jeopardy and Destruction or Adverse Modification of Critical Habitat Endangered Species Act Biological Opinion for Environmental Protection Agency’s Proposed Approval of Certain Oregon Administrative Rules Related to Revised Water Quality Criteria for Toxic Pollutants.  NMFS Consultation Number:  2008/00148.  August 14, 2012.</w:t>
      </w:r>
      <w:r>
        <w:t xml:space="preserve"> The long delay was due in part to technical challenges and litigation.</w:t>
      </w:r>
    </w:p>
  </w:footnote>
  <w:footnote w:id="2">
    <w:p w:rsidR="00330D9E" w:rsidRDefault="00330D9E">
      <w:pPr>
        <w:pStyle w:val="Footnote"/>
      </w:pPr>
      <w:r w:rsidRPr="001D095A">
        <w:rPr>
          <w:rStyle w:val="FootnoteReference"/>
          <w:rFonts w:eastAsiaTheme="minorEastAsia"/>
          <w:lang w:eastAsia="ja-JP"/>
        </w:rPr>
        <w:footnoteRef/>
      </w:r>
      <w:r w:rsidRPr="001D095A">
        <w:t xml:space="preserve"> Aluminum, Ammonia, Arsenic , gamma-BHC (Lindane), Cadmium, Chromium (III), Chromium (VI), Copper, Dieldrin, alpha- Endosulfan, beta- Endosulfan, Endrin, Heptachlor epoxide, Lead, Nickel, Pentachlorophenol, Selenium, Silver, Tributyltin, and Zinc. </w:t>
      </w:r>
    </w:p>
  </w:footnote>
  <w:footnote w:id="3">
    <w:p w:rsidR="00330D9E" w:rsidRDefault="00330D9E" w:rsidP="00976189">
      <w:pPr>
        <w:pStyle w:val="Footnote"/>
      </w:pPr>
      <w:r w:rsidRPr="00976189">
        <w:rPr>
          <w:rStyle w:val="FootnoteReference"/>
        </w:rPr>
        <w:footnoteRef/>
      </w:r>
      <w:r w:rsidRPr="00976189">
        <w:t xml:space="preserve"> LCR Chinook salmon, UWR Chinook salmon, UCR spring-run Chinook salmon, SR spring/summer-run Chinook salmon, SR fall-run Chinook salmon, CR chum salmon, LCR coho salmon, SONCC coho salmon, OC coho salmon, SR sockeye salmon, LCR steelhead, UWR steelhead, MCR steelhead, UCR steelhead, SRB steelhead, green sturgeon, eulachon (anadromous smelt), Southern Resident killer whales</w:t>
      </w:r>
    </w:p>
  </w:footnote>
  <w:footnote w:id="4">
    <w:p w:rsidR="00330D9E" w:rsidRDefault="00330D9E" w:rsidP="00976189">
      <w:pPr>
        <w:pStyle w:val="Footnote"/>
      </w:pPr>
      <w:r w:rsidRPr="00976189">
        <w:rPr>
          <w:rStyle w:val="FootnoteReference"/>
          <w:rFonts w:eastAsiaTheme="minorEastAsia"/>
          <w:lang w:eastAsia="ja-JP"/>
        </w:rPr>
        <w:footnoteRef/>
      </w:r>
      <w:r w:rsidRPr="00976189">
        <w:t xml:space="preserve"> Note that EPA withdrew their request for NMFS consultation on Oregon’s acute and chronic aluminum criteria when EPA realized that Oregon’s submitted aluminum criteria included a footnote that indicated the criteria are meant to apply to waters with pH less than 6.6 and hardness less than 12 mg/L (as CaCO3). This footnote differs from </w:t>
      </w:r>
      <w:r>
        <w:t xml:space="preserve">EPA </w:t>
      </w:r>
      <w:r w:rsidRPr="00976189">
        <w:t xml:space="preserve">national recommendations. The court-ordered Aug. 14, 2012 deadline for the biological opinion did not allow NMFS time </w:t>
      </w:r>
      <w:r>
        <w:t xml:space="preserve">to withdraw the </w:t>
      </w:r>
      <w:r w:rsidRPr="00976189">
        <w:t>acute and chronic aluminum</w:t>
      </w:r>
      <w:r>
        <w:t xml:space="preserve"> criteria</w:t>
      </w:r>
      <w:r w:rsidRPr="00976189">
        <w:t xml:space="preserve"> from its opinion. EPA ultimately disapproved Oregon’s aluminum criteria in their January 2013 action letter. </w:t>
      </w:r>
    </w:p>
  </w:footnote>
  <w:footnote w:id="5">
    <w:p w:rsidR="00330D9E" w:rsidRDefault="00330D9E">
      <w:pPr>
        <w:pStyle w:val="FootnoteText"/>
      </w:pPr>
      <w:r>
        <w:rPr>
          <w:rStyle w:val="FootnoteReference"/>
        </w:rPr>
        <w:footnoteRef/>
      </w:r>
      <w:r>
        <w:t xml:space="preserve"> </w:t>
      </w:r>
      <w:r w:rsidRPr="00976189">
        <w:t>National Marine Fisheries Service.  Jeopardy and Destruction or Adverse Modification of Critical Habitat Endangered Species Act Biological Opinion for Environmental Protection Agency’s Proposed Approval of Certain Oregon Administrative Rules Related to Revised Water Quality Criteria for Toxic Pollutants.  NMFS Consultation Number:  2008/00148.  August 14, 2012.</w:t>
      </w:r>
      <w:r>
        <w:t xml:space="preserve"> Page 550.</w:t>
      </w:r>
    </w:p>
  </w:footnote>
  <w:footnote w:id="6">
    <w:p w:rsidR="00330D9E" w:rsidRPr="008F5F6A" w:rsidRDefault="00330D9E" w:rsidP="006A288A">
      <w:pPr>
        <w:pStyle w:val="Footnote"/>
      </w:pPr>
      <w:r w:rsidRPr="0080765A">
        <w:rPr>
          <w:rStyle w:val="FootnoteReference"/>
        </w:rPr>
        <w:footnoteRef/>
      </w:r>
      <w:r w:rsidRPr="008F5F6A">
        <w:t xml:space="preserve"> Environmental Protection Agency, Region 10. EPA Clean Water Act 303(c) Determinations On Oregon’s New and Revised Aquatic Life Toxic Criteria Submitted on July 8, 2004, and as Amended by Oregon’s April 23, 2007 and July 21, 2011 Submissions. January 30, 2013.</w:t>
      </w:r>
    </w:p>
  </w:footnote>
  <w:footnote w:id="7">
    <w:p w:rsidR="00330D9E" w:rsidRPr="008F5F6A" w:rsidRDefault="00330D9E" w:rsidP="006A288A">
      <w:pPr>
        <w:pStyle w:val="Footnote"/>
      </w:pPr>
      <w:r w:rsidRPr="0080765A">
        <w:rPr>
          <w:rStyle w:val="FootnoteReference"/>
        </w:rPr>
        <w:footnoteRef/>
      </w:r>
      <w:r w:rsidRPr="008F5F6A">
        <w:t xml:space="preserve"> The U.S. Fish and Wildlife Serve objected to the mussel presence/absence proposal, urging EPA in 2010 comments to drop the bifurcated approach in favor of a single national standard. Also, the Natural Resource Defense Council expressed concerns about the bifurcated standard's effect on mussel species listed under the ESA and urged EPA to strengthen its criteria to protect both listed species and species in danger of becoming endangered in the future.</w:t>
      </w:r>
    </w:p>
  </w:footnote>
  <w:footnote w:id="8">
    <w:p w:rsidR="00330D9E" w:rsidRDefault="00330D9E">
      <w:pPr>
        <w:pStyle w:val="Footnote"/>
      </w:pPr>
      <w:r w:rsidRPr="0080765A">
        <w:rPr>
          <w:rStyle w:val="FootnoteReference"/>
        </w:rPr>
        <w:footnoteRef/>
      </w:r>
      <w:r w:rsidRPr="008F5F6A">
        <w:t xml:space="preserve"> Environmental Protection Agency. Final Aquatic Life Ambient Water Quality Criteria For Ammonia—Freshwater 2013. Federal Register Vol. 78, No. 163 Thursday, August 22, 2013.</w:t>
      </w:r>
    </w:p>
  </w:footnote>
  <w:footnote w:id="9">
    <w:p w:rsidR="00330D9E" w:rsidRPr="008F5F6A" w:rsidRDefault="00330D9E" w:rsidP="006A288A">
      <w:pPr>
        <w:pStyle w:val="Footnote"/>
      </w:pPr>
      <w:r w:rsidRPr="0080765A">
        <w:rPr>
          <w:rStyle w:val="FootnoteReference"/>
        </w:rPr>
        <w:footnoteRef/>
      </w:r>
      <w:r w:rsidRPr="008F5F6A">
        <w:t xml:space="preserve"> Environmental Protection Agency. Final Aquatic Life Ambient Water Quality Criteria For Ammonia—Freshwater 2013. Federal Register  Vol. 78, No. 163 Thursday, August 22, 2013.</w:t>
      </w:r>
    </w:p>
  </w:footnote>
  <w:footnote w:id="10">
    <w:p w:rsidR="00330D9E" w:rsidRDefault="00330D9E" w:rsidP="006A288A">
      <w:pPr>
        <w:pStyle w:val="Footnote"/>
      </w:pPr>
      <w:r w:rsidRPr="008F5F6A">
        <w:rPr>
          <w:rStyle w:val="FootnoteReference"/>
        </w:rPr>
        <w:footnoteRef/>
      </w:r>
      <w:r w:rsidRPr="008F5F6A">
        <w:t xml:space="preserve"> Environmental Protection Agency. Aquatic Life Ambient Water Quality Criteria for Ammonia – Freshwater 2013. Office of Water. EPA-822-R-13-001. April 2013.</w:t>
      </w:r>
    </w:p>
  </w:footnote>
  <w:footnote w:id="11">
    <w:p w:rsidR="00330D9E" w:rsidRPr="008F5F6A" w:rsidRDefault="00330D9E" w:rsidP="006A288A">
      <w:pPr>
        <w:pStyle w:val="Footnote"/>
      </w:pPr>
      <w:r w:rsidRPr="00327469">
        <w:rPr>
          <w:rStyle w:val="FootnoteReference"/>
          <w:rFonts w:asciiTheme="majorHAnsi" w:hAnsiTheme="majorHAnsi"/>
          <w:sz w:val="18"/>
          <w:szCs w:val="18"/>
        </w:rPr>
        <w:footnoteRef/>
      </w:r>
      <w:r w:rsidRPr="008F5F6A">
        <w:t xml:space="preserve"> Ethan Jay Nedeau, Allan K. Smith, Jen Stone, and Sarina Jepsen. </w:t>
      </w:r>
      <w:r w:rsidRPr="008F5F6A">
        <w:rPr>
          <w:i/>
        </w:rPr>
        <w:t>Freshwater Mussels of the Pacific Northwest, Second Edition</w:t>
      </w:r>
      <w:r w:rsidRPr="008F5F6A">
        <w:t>. The Xerces Society for Invertebrate Conservation. 2009.</w:t>
      </w:r>
    </w:p>
  </w:footnote>
  <w:footnote w:id="12">
    <w:p w:rsidR="00330D9E" w:rsidRPr="008F5F6A" w:rsidRDefault="00330D9E" w:rsidP="006A288A">
      <w:pPr>
        <w:pStyle w:val="Footnote"/>
      </w:pPr>
      <w:r w:rsidRPr="0080765A">
        <w:rPr>
          <w:rStyle w:val="FootnoteReference"/>
        </w:rPr>
        <w:footnoteRef/>
      </w:r>
      <w:r w:rsidRPr="008F5F6A">
        <w:t xml:space="preserve"> Xerces Society website: </w:t>
      </w:r>
      <w:hyperlink r:id="rId1" w:history="1">
        <w:r w:rsidRPr="0080765A">
          <w:rPr>
            <w:rStyle w:val="Hyperlink"/>
          </w:rPr>
          <w:t>http://www.xerces.org/mollusks/</w:t>
        </w:r>
      </w:hyperlink>
      <w:r w:rsidRPr="008F5F6A">
        <w:t>. Accessed on June 9, 2014.</w:t>
      </w:r>
    </w:p>
    <w:p w:rsidR="00330D9E" w:rsidRDefault="00330D9E" w:rsidP="006A288A">
      <w:pPr>
        <w:pStyle w:val="Footnote"/>
      </w:pPr>
    </w:p>
  </w:footnote>
  <w:footnote w:id="13">
    <w:p w:rsidR="00330D9E" w:rsidRDefault="00330D9E">
      <w:pPr>
        <w:pStyle w:val="Footnote"/>
      </w:pPr>
      <w:r w:rsidRPr="005361C5">
        <w:rPr>
          <w:rStyle w:val="FootnoteReference"/>
          <w:rFonts w:asciiTheme="majorHAnsi" w:hAnsiTheme="majorHAnsi"/>
          <w:sz w:val="18"/>
          <w:szCs w:val="18"/>
        </w:rPr>
        <w:footnoteRef/>
      </w:r>
      <w:r w:rsidRPr="005361C5">
        <w:t xml:space="preserve"> </w:t>
      </w:r>
      <w:r w:rsidRPr="008F5F6A">
        <w:t>Email from Lisa Huff, EPA</w:t>
      </w:r>
      <w:r>
        <w:t xml:space="preserve"> Headquarters</w:t>
      </w:r>
      <w:r w:rsidRPr="008F5F6A">
        <w:t xml:space="preserve"> to Kathleen Collins, EPA Region 10. June 9, 2014.</w:t>
      </w:r>
    </w:p>
  </w:footnote>
  <w:footnote w:id="14">
    <w:p w:rsidR="00330D9E" w:rsidRDefault="00330D9E" w:rsidP="004564B2">
      <w:pPr>
        <w:pStyle w:val="Footnote"/>
      </w:pPr>
      <w:r w:rsidRPr="0080765A">
        <w:rPr>
          <w:rStyle w:val="FootnoteReference"/>
        </w:rPr>
        <w:footnoteRef/>
      </w:r>
      <w:r w:rsidRPr="008F5F6A">
        <w:t xml:space="preserve"> Acute toxicity values from specific species toxicity tests are pooled together to calculate a geometric mean of the genus toxic concentration. This step is calculated as part of the EPA criteria derivation process. Generally, the lower the value the more toxic the chemical (in this case, ammonia) is to that species.</w:t>
      </w:r>
    </w:p>
  </w:footnote>
  <w:footnote w:id="15">
    <w:p w:rsidR="00330D9E" w:rsidRPr="008F5F6A" w:rsidRDefault="00330D9E" w:rsidP="006A288A">
      <w:pPr>
        <w:pStyle w:val="Footnote"/>
        <w:rPr>
          <w:rStyle w:val="FootnoteChar"/>
        </w:rPr>
      </w:pPr>
      <w:r w:rsidRPr="001D3F0A">
        <w:rPr>
          <w:rStyle w:val="FootnoteReference"/>
          <w:rFonts w:asciiTheme="majorHAnsi" w:hAnsiTheme="majorHAnsi"/>
          <w:sz w:val="18"/>
          <w:szCs w:val="18"/>
        </w:rPr>
        <w:footnoteRef/>
      </w:r>
      <w:r w:rsidRPr="001D3F0A">
        <w:t xml:space="preserve"> </w:t>
      </w:r>
      <w:r w:rsidRPr="0080765A">
        <w:rPr>
          <w:rStyle w:val="FootnoteChar"/>
        </w:rPr>
        <w:t>Note that the Lost River Sucker found in the Klamath Basin ranked #9 among the most sensitive species in the acute dataset.</w:t>
      </w:r>
    </w:p>
  </w:footnote>
  <w:footnote w:id="16">
    <w:p w:rsidR="00330D9E" w:rsidRDefault="00330D9E">
      <w:pPr>
        <w:pStyle w:val="Footnote"/>
      </w:pPr>
      <w:r w:rsidRPr="00BB4580">
        <w:rPr>
          <w:rStyle w:val="FootnoteReference"/>
          <w:rFonts w:asciiTheme="majorHAnsi" w:hAnsiTheme="majorHAnsi"/>
          <w:sz w:val="18"/>
          <w:szCs w:val="18"/>
        </w:rPr>
        <w:footnoteRef/>
      </w:r>
      <w:r w:rsidRPr="00BB4580">
        <w:t xml:space="preserve"> </w:t>
      </w:r>
      <w:r>
        <w:t>For more information, s</w:t>
      </w:r>
      <w:r w:rsidRPr="00BB4580">
        <w:t>ee discussion starting on page 13 in EPA’s 2013 Ammonia Criteria document</w:t>
      </w:r>
      <w:r>
        <w:t>.</w:t>
      </w:r>
    </w:p>
  </w:footnote>
  <w:footnote w:id="17">
    <w:p w:rsidR="00330D9E" w:rsidRDefault="00330D9E" w:rsidP="0096290D">
      <w:pPr>
        <w:pStyle w:val="FootnoteText"/>
      </w:pPr>
      <w:r w:rsidRPr="00996209">
        <w:rPr>
          <w:rStyle w:val="FootnoteReference"/>
          <w:rFonts w:asciiTheme="majorHAnsi" w:hAnsiTheme="majorHAnsi"/>
          <w:sz w:val="18"/>
          <w:szCs w:val="18"/>
        </w:rPr>
        <w:footnoteRef/>
      </w:r>
      <w:r w:rsidRPr="00996209">
        <w:t xml:space="preserve"> EPA. Revised Deletion Process for the Site-Specific Recalculation Procedure for Aquatic Life Criteria. Office of Water. EPA-823-R-13-001. April 2013. </w:t>
      </w:r>
    </w:p>
    <w:p w:rsidR="00330D9E" w:rsidRPr="00996209" w:rsidRDefault="00330D9E" w:rsidP="0096290D">
      <w:pPr>
        <w:pStyle w:val="FootnoteText"/>
      </w:pPr>
    </w:p>
  </w:footnote>
  <w:footnote w:id="18">
    <w:p w:rsidR="00330D9E" w:rsidRPr="001E3A15" w:rsidRDefault="00330D9E" w:rsidP="001E3A15">
      <w:pPr>
        <w:rPr>
          <w:sz w:val="20"/>
          <w:szCs w:val="20"/>
        </w:rPr>
      </w:pPr>
      <w:r w:rsidRPr="0091654E">
        <w:rPr>
          <w:rStyle w:val="FootnoteReference"/>
          <w:sz w:val="20"/>
          <w:szCs w:val="20"/>
        </w:rPr>
        <w:footnoteRef/>
      </w:r>
      <w:r w:rsidRPr="0091654E">
        <w:rPr>
          <w:sz w:val="20"/>
          <w:szCs w:val="20"/>
        </w:rPr>
        <w:t xml:space="preserve"> OAR 340-041-0002(54) "Salmonid or Salmonids" means native salmon, trout, mountain whitefish and char including bull trout. For purposes of Oregon water quality standards, salmonid does not include brook or brown trout becau</w:t>
      </w:r>
      <w:r>
        <w:rPr>
          <w:sz w:val="20"/>
          <w:szCs w:val="20"/>
        </w:rPr>
        <w:t>se they are introduced species.</w:t>
      </w:r>
    </w:p>
  </w:footnote>
  <w:footnote w:id="19">
    <w:p w:rsidR="00330D9E" w:rsidRPr="00EF13B3" w:rsidRDefault="00330D9E" w:rsidP="006A288A">
      <w:pPr>
        <w:pStyle w:val="Footnote"/>
      </w:pPr>
      <w:r w:rsidRPr="00EF13B3">
        <w:rPr>
          <w:rStyle w:val="FootnoteReference"/>
          <w:rFonts w:asciiTheme="majorHAnsi" w:hAnsiTheme="majorHAnsi"/>
          <w:sz w:val="18"/>
          <w:szCs w:val="18"/>
        </w:rPr>
        <w:footnoteRef/>
      </w:r>
      <w:r w:rsidRPr="00EF13B3">
        <w:t xml:space="preserve"> EPA. Revised Deletion Process for the Site-Specific Recalculation Procedure for Aquatic Life Criteria. Office of Water. EPA-823-R-13-001. April 2013.</w:t>
      </w:r>
    </w:p>
  </w:footnote>
  <w:footnote w:id="20">
    <w:p w:rsidR="00330D9E" w:rsidRDefault="00330D9E">
      <w:pPr>
        <w:pStyle w:val="Footnote"/>
      </w:pPr>
      <w:r w:rsidRPr="009006C9">
        <w:rPr>
          <w:rStyle w:val="FootnoteReference"/>
          <w:rFonts w:asciiTheme="majorHAnsi" w:hAnsiTheme="majorHAnsi"/>
          <w:sz w:val="18"/>
          <w:szCs w:val="18"/>
        </w:rPr>
        <w:footnoteRef/>
      </w:r>
      <w:r w:rsidRPr="009006C9">
        <w:t xml:space="preserve"> EPA. Technical Support Document for Conducting and Reviewing Freshwater Mussel Occurrence Surveys for the Development of Site-specific Water Quality Criteria for Ammonia. Office of Water. EPA 800-R-13-003. August 2013.</w:t>
      </w:r>
    </w:p>
  </w:footnote>
  <w:footnote w:id="21">
    <w:p w:rsidR="00330D9E" w:rsidRPr="00BE2D31" w:rsidRDefault="00330D9E" w:rsidP="006A288A">
      <w:pPr>
        <w:pStyle w:val="Footnote"/>
      </w:pPr>
      <w:r w:rsidRPr="00BE2D31">
        <w:rPr>
          <w:rStyle w:val="FootnoteReference"/>
          <w:rFonts w:asciiTheme="majorHAnsi" w:hAnsiTheme="majorHAnsi"/>
          <w:sz w:val="18"/>
          <w:szCs w:val="18"/>
        </w:rPr>
        <w:footnoteRef/>
      </w:r>
      <w:r w:rsidRPr="00BE2D31">
        <w:t xml:space="preserve"> 1Q10: The lowest 1-day flow based on a ten-year return interval</w:t>
      </w:r>
    </w:p>
  </w:footnote>
  <w:footnote w:id="22">
    <w:p w:rsidR="00330D9E" w:rsidRPr="00BE2D31" w:rsidRDefault="00330D9E" w:rsidP="006A288A">
      <w:pPr>
        <w:pStyle w:val="Footnote"/>
      </w:pPr>
      <w:r w:rsidRPr="00BE2D31">
        <w:rPr>
          <w:rStyle w:val="FootnoteReference"/>
          <w:rFonts w:asciiTheme="majorHAnsi" w:hAnsiTheme="majorHAnsi"/>
          <w:sz w:val="18"/>
          <w:szCs w:val="18"/>
        </w:rPr>
        <w:footnoteRef/>
      </w:r>
      <w:r w:rsidRPr="00BE2D31">
        <w:t xml:space="preserve"> 7Q10: The lowest 7-day average flow based on a ten-year return interval</w:t>
      </w:r>
      <w:r w:rsidRPr="00BE2D31">
        <w:rPr>
          <w:color w:val="151515"/>
          <w:sz w:val="19"/>
          <w:szCs w:val="19"/>
        </w:rPr>
        <w:t xml:space="preserve"> </w:t>
      </w:r>
    </w:p>
  </w:footnote>
  <w:footnote w:id="23">
    <w:p w:rsidR="00330D9E" w:rsidRPr="00BE2D31" w:rsidRDefault="00330D9E" w:rsidP="006A288A">
      <w:pPr>
        <w:pStyle w:val="Footnote"/>
      </w:pPr>
      <w:r w:rsidRPr="00BE2D31">
        <w:rPr>
          <w:rStyle w:val="FootnoteReference"/>
          <w:rFonts w:asciiTheme="majorHAnsi" w:hAnsiTheme="majorHAnsi"/>
          <w:sz w:val="18"/>
          <w:szCs w:val="18"/>
        </w:rPr>
        <w:footnoteRef/>
      </w:r>
      <w:r w:rsidRPr="00BE2D31">
        <w:t xml:space="preserve"> 1B3: Biologically-based design flow intended to ensure an excursion frequency of less than once every three years, for a 1-day average flow when flow records are analyzed using EPA's 1986 DFLOW procedure</w:t>
      </w:r>
    </w:p>
  </w:footnote>
  <w:footnote w:id="24">
    <w:p w:rsidR="00330D9E" w:rsidRPr="00BE2D31" w:rsidRDefault="00330D9E" w:rsidP="006A288A">
      <w:pPr>
        <w:pStyle w:val="Footnote"/>
      </w:pPr>
      <w:r w:rsidRPr="00BE2D31">
        <w:rPr>
          <w:rStyle w:val="FootnoteReference"/>
          <w:rFonts w:asciiTheme="majorHAnsi" w:hAnsiTheme="majorHAnsi"/>
          <w:sz w:val="18"/>
          <w:szCs w:val="18"/>
        </w:rPr>
        <w:footnoteRef/>
      </w:r>
      <w:r w:rsidRPr="00BE2D31">
        <w:t xml:space="preserve"> 30B3: Biologically-based design flow intended to ensure an excursion frequency of less than once every three years, for a 30-day average flow when flow records are analyzed using EPA's 1986 DFLOW procedure</w:t>
      </w:r>
    </w:p>
  </w:footnote>
  <w:footnote w:id="25">
    <w:p w:rsidR="00330D9E" w:rsidRPr="00BE2D31" w:rsidRDefault="00330D9E" w:rsidP="006A288A">
      <w:pPr>
        <w:pStyle w:val="Footnote"/>
      </w:pPr>
      <w:r w:rsidRPr="00BE2D31">
        <w:rPr>
          <w:rStyle w:val="FootnoteReference"/>
          <w:rFonts w:asciiTheme="majorHAnsi" w:hAnsiTheme="majorHAnsi"/>
          <w:sz w:val="18"/>
          <w:szCs w:val="18"/>
        </w:rPr>
        <w:footnoteRef/>
      </w:r>
      <w:r w:rsidRPr="00BE2D31">
        <w:t xml:space="preserve"> 30Q10: The lowest 30-day average flow based on a ten-year return interval </w:t>
      </w:r>
    </w:p>
  </w:footnote>
  <w:footnote w:id="26">
    <w:p w:rsidR="00330D9E" w:rsidRPr="00BE2D31" w:rsidRDefault="00330D9E" w:rsidP="006A288A">
      <w:pPr>
        <w:pStyle w:val="Footnote"/>
      </w:pPr>
      <w:r w:rsidRPr="00BE2D31">
        <w:rPr>
          <w:rStyle w:val="FootnoteReference"/>
          <w:rFonts w:asciiTheme="majorHAnsi" w:hAnsiTheme="majorHAnsi"/>
          <w:sz w:val="18"/>
          <w:szCs w:val="18"/>
        </w:rPr>
        <w:footnoteRef/>
      </w:r>
      <w:r w:rsidRPr="00BE2D31">
        <w:t xml:space="preserve"> 30Q5: The lowest 30-day average flow based on a five-year return interval</w:t>
      </w:r>
    </w:p>
  </w:footnote>
  <w:footnote w:id="27">
    <w:p w:rsidR="00330D9E" w:rsidRPr="00064795" w:rsidRDefault="00330D9E" w:rsidP="00064795">
      <w:pPr>
        <w:pStyle w:val="Footnote"/>
      </w:pPr>
      <w:r w:rsidRPr="008E6604">
        <w:rPr>
          <w:rStyle w:val="FootnoteReference"/>
          <w:szCs w:val="18"/>
        </w:rPr>
        <w:footnoteRef/>
      </w:r>
      <w:r w:rsidRPr="00064795">
        <w:t xml:space="preserve"> EPA Website:  </w:t>
      </w:r>
      <w:hyperlink r:id="rId2" w:history="1">
        <w:r w:rsidRPr="00427FB1">
          <w:rPr>
            <w:rStyle w:val="Hyperlink"/>
            <w:color w:val="auto"/>
            <w:szCs w:val="18"/>
            <w:u w:val="none"/>
          </w:rPr>
          <w:t>http://water.epa.gov/scitech/swguidance/standards/criteria/aqlife/ammonia/technical.cfm</w:t>
        </w:r>
      </w:hyperlink>
    </w:p>
  </w:footnote>
  <w:footnote w:id="28">
    <w:p w:rsidR="00330D9E" w:rsidRDefault="00330D9E">
      <w:pPr>
        <w:pStyle w:val="Footnote"/>
      </w:pPr>
      <w:r w:rsidRPr="008E6604">
        <w:rPr>
          <w:rStyle w:val="FootnoteReference"/>
          <w:szCs w:val="18"/>
        </w:rPr>
        <w:footnoteRef/>
      </w:r>
      <w:r w:rsidRPr="006A288A">
        <w:t xml:space="preserve"> Municipalities that discharge less than 1.0 million gallons a day have not been required to characterize their effluent for human health criteria, so their mixing zone studies may not include dilutions for 30Q5 flow. In these cases, </w:t>
      </w:r>
      <w:r>
        <w:t xml:space="preserve">small municipalities may need to revise </w:t>
      </w:r>
      <w:r w:rsidRPr="006A288A">
        <w:t>a mixing zone.</w:t>
      </w:r>
    </w:p>
  </w:footnote>
  <w:footnote w:id="29">
    <w:p w:rsidR="00330D9E" w:rsidRDefault="00330D9E">
      <w:pPr>
        <w:pStyle w:val="Footnote"/>
      </w:pPr>
      <w:r w:rsidRPr="008E6604">
        <w:rPr>
          <w:rStyle w:val="FootnoteReference"/>
          <w:szCs w:val="18"/>
        </w:rPr>
        <w:footnoteRef/>
      </w:r>
      <w:r w:rsidRPr="008E6604">
        <w:rPr>
          <w:vertAlign w:val="superscript"/>
        </w:rPr>
        <w:t xml:space="preserve"> </w:t>
      </w:r>
      <w:r w:rsidRPr="006A288A">
        <w:t xml:space="preserve">EPA. Federal Register Notice. Water Quality Criteria; Notice of Availability; 1999 Update of Ambient Water Quality Criteria for Ammonia; Notice. Wednesday, Dec. 22, 1999: </w:t>
      </w:r>
      <w:hyperlink r:id="rId3" w:history="1">
        <w:r w:rsidRPr="008E6604">
          <w:rPr>
            <w:rStyle w:val="Hyperlink"/>
            <w:color w:val="2E74B5" w:themeColor="accent1" w:themeShade="BF"/>
          </w:rPr>
          <w:t>http://www.epa.gov/fedrgstr/EPA-WATER/1999/December/Day-22/w33152.pdf</w:t>
        </w:r>
      </w:hyperlink>
      <w:r w:rsidRPr="008E6604">
        <w:rPr>
          <w:color w:val="2E74B5" w:themeColor="accent1" w:themeShade="BF"/>
          <w:u w:val="single"/>
        </w:rPr>
        <w:t xml:space="preserve">.  </w:t>
      </w:r>
      <w:r w:rsidRPr="006A288A">
        <w:t>Note that this document continues to be the latest guidance for implementing ammonia criteria for permitting purposes. EPA’s 2013 recommended criteria do not contain updated permitting guidance.</w:t>
      </w:r>
    </w:p>
    <w:p w:rsidR="00330D9E" w:rsidRDefault="00330D9E"/>
  </w:footnote>
  <w:footnote w:id="30">
    <w:p w:rsidR="00330D9E" w:rsidRPr="00391992" w:rsidRDefault="00330D9E" w:rsidP="004D65A8">
      <w:pPr>
        <w:pStyle w:val="FootnoteText"/>
      </w:pPr>
      <w:r w:rsidRPr="00391992">
        <w:rPr>
          <w:rStyle w:val="FootnoteReference"/>
          <w:rFonts w:asciiTheme="majorHAnsi" w:hAnsiTheme="majorHAnsi"/>
          <w:sz w:val="18"/>
          <w:szCs w:val="18"/>
        </w:rPr>
        <w:footnoteRef/>
      </w:r>
      <w:r w:rsidRPr="00391992">
        <w:t xml:space="preserve"> The FAV in the 1999 AWQC document of 11.23 mg TAN/L at pH 8 was lowered to the geometric mean of these seven LC50 values at the time in order to protect large rainbow trout which were shown in Thurston and Russo (1983) to be measurably more sensitive than other life stages.  The FAV prior to adjusting it to protect the commercially and recreationally important adult rainbow trout was calculated to be 14.32 mg TAN/L (CMC = 7.2 mg TAN/L) at pH 8.  This FAV based on protection of adult rainbow trout at pH 7 is 48.21 mg TAN/L (see also Appendix A in this document).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008478A8"/>
    <w:multiLevelType w:val="hybridMultilevel"/>
    <w:tmpl w:val="57EA0C3C"/>
    <w:lvl w:ilvl="0" w:tplc="04090001">
      <w:start w:val="1"/>
      <w:numFmt w:val="bullet"/>
      <w:lvlText w:val=""/>
      <w:lvlJc w:val="left"/>
      <w:pPr>
        <w:ind w:left="1440" w:hanging="360"/>
      </w:pPr>
      <w:rPr>
        <w:rFonts w:ascii="Symbol" w:hAnsi="Symbol" w:hint="default"/>
      </w:rPr>
    </w:lvl>
    <w:lvl w:ilvl="1" w:tplc="D39A4338">
      <w:start w:val="1"/>
      <w:numFmt w:val="bullet"/>
      <w:lvlText w:val=""/>
      <w:lvlJc w:val="left"/>
      <w:pPr>
        <w:ind w:left="2160" w:hanging="360"/>
      </w:pPr>
      <w:rPr>
        <w:rFonts w:ascii="Symbol" w:hAnsi="Symbol" w:hint="default"/>
        <w:color w:val="000000" w:themeColor="text1"/>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2300788"/>
    <w:multiLevelType w:val="hybridMultilevel"/>
    <w:tmpl w:val="1F5095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F04DEB"/>
    <w:multiLevelType w:val="hybridMultilevel"/>
    <w:tmpl w:val="FC887B86"/>
    <w:lvl w:ilvl="0" w:tplc="04090001">
      <w:start w:val="1"/>
      <w:numFmt w:val="bullet"/>
      <w:lvlText w:val=""/>
      <w:lvlJc w:val="left"/>
      <w:pPr>
        <w:ind w:left="1480" w:hanging="360"/>
      </w:pPr>
      <w:rPr>
        <w:rFonts w:ascii="Symbol" w:hAnsi="Symbol" w:hint="default"/>
      </w:rPr>
    </w:lvl>
    <w:lvl w:ilvl="1" w:tplc="04090003" w:tentative="1">
      <w:start w:val="1"/>
      <w:numFmt w:val="bullet"/>
      <w:lvlText w:val="o"/>
      <w:lvlJc w:val="left"/>
      <w:pPr>
        <w:ind w:left="2200" w:hanging="360"/>
      </w:pPr>
      <w:rPr>
        <w:rFonts w:ascii="Courier New" w:hAnsi="Courier New" w:cs="Courier New"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cs="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cs="Courier New" w:hint="default"/>
      </w:rPr>
    </w:lvl>
    <w:lvl w:ilvl="8" w:tplc="04090005" w:tentative="1">
      <w:start w:val="1"/>
      <w:numFmt w:val="bullet"/>
      <w:lvlText w:val=""/>
      <w:lvlJc w:val="left"/>
      <w:pPr>
        <w:ind w:left="7240" w:hanging="360"/>
      </w:pPr>
      <w:rPr>
        <w:rFonts w:ascii="Wingdings" w:hAnsi="Wingdings" w:hint="default"/>
      </w:rPr>
    </w:lvl>
  </w:abstractNum>
  <w:abstractNum w:abstractNumId="3">
    <w:nsid w:val="046373BF"/>
    <w:multiLevelType w:val="hybridMultilevel"/>
    <w:tmpl w:val="53BAA19A"/>
    <w:lvl w:ilvl="0" w:tplc="5C7695CA">
      <w:start w:val="3"/>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480E63"/>
    <w:multiLevelType w:val="hybridMultilevel"/>
    <w:tmpl w:val="5F325D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76E31E1"/>
    <w:multiLevelType w:val="hybridMultilevel"/>
    <w:tmpl w:val="B9187EE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8043C45"/>
    <w:multiLevelType w:val="hybridMultilevel"/>
    <w:tmpl w:val="DEF60DB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404111"/>
    <w:multiLevelType w:val="hybridMultilevel"/>
    <w:tmpl w:val="CE16D3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08C35C05"/>
    <w:multiLevelType w:val="hybridMultilevel"/>
    <w:tmpl w:val="724439B4"/>
    <w:lvl w:ilvl="0" w:tplc="FFFC1F7E">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9">
    <w:nsid w:val="09E254B9"/>
    <w:multiLevelType w:val="hybridMultilevel"/>
    <w:tmpl w:val="15F829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0781079"/>
    <w:multiLevelType w:val="hybridMultilevel"/>
    <w:tmpl w:val="4C6E7F9C"/>
    <w:lvl w:ilvl="0" w:tplc="28AA84D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4C50A7"/>
    <w:multiLevelType w:val="hybridMultilevel"/>
    <w:tmpl w:val="CEEA8814"/>
    <w:lvl w:ilvl="0" w:tplc="F8929756">
      <w:start w:val="1"/>
      <w:numFmt w:val="bullet"/>
      <w:lvlText w:val="•"/>
      <w:lvlJc w:val="left"/>
      <w:pPr>
        <w:tabs>
          <w:tab w:val="num" w:pos="720"/>
        </w:tabs>
        <w:ind w:left="720" w:hanging="360"/>
      </w:pPr>
      <w:rPr>
        <w:rFonts w:ascii="Times New Roman" w:hAnsi="Times New Roman" w:hint="default"/>
      </w:rPr>
    </w:lvl>
    <w:lvl w:ilvl="1" w:tplc="5434BD22">
      <w:start w:val="734"/>
      <w:numFmt w:val="bullet"/>
      <w:lvlText w:val="•"/>
      <w:lvlJc w:val="left"/>
      <w:pPr>
        <w:tabs>
          <w:tab w:val="num" w:pos="1440"/>
        </w:tabs>
        <w:ind w:left="1440" w:hanging="360"/>
      </w:pPr>
      <w:rPr>
        <w:rFonts w:ascii="Times New Roman" w:hAnsi="Times New Roman" w:hint="default"/>
      </w:rPr>
    </w:lvl>
    <w:lvl w:ilvl="2" w:tplc="61E291BE" w:tentative="1">
      <w:start w:val="1"/>
      <w:numFmt w:val="bullet"/>
      <w:lvlText w:val="•"/>
      <w:lvlJc w:val="left"/>
      <w:pPr>
        <w:tabs>
          <w:tab w:val="num" w:pos="2160"/>
        </w:tabs>
        <w:ind w:left="2160" w:hanging="360"/>
      </w:pPr>
      <w:rPr>
        <w:rFonts w:ascii="Times New Roman" w:hAnsi="Times New Roman" w:hint="default"/>
      </w:rPr>
    </w:lvl>
    <w:lvl w:ilvl="3" w:tplc="900A6F0A" w:tentative="1">
      <w:start w:val="1"/>
      <w:numFmt w:val="bullet"/>
      <w:lvlText w:val="•"/>
      <w:lvlJc w:val="left"/>
      <w:pPr>
        <w:tabs>
          <w:tab w:val="num" w:pos="2880"/>
        </w:tabs>
        <w:ind w:left="2880" w:hanging="360"/>
      </w:pPr>
      <w:rPr>
        <w:rFonts w:ascii="Times New Roman" w:hAnsi="Times New Roman" w:hint="default"/>
      </w:rPr>
    </w:lvl>
    <w:lvl w:ilvl="4" w:tplc="2F7AEB96" w:tentative="1">
      <w:start w:val="1"/>
      <w:numFmt w:val="bullet"/>
      <w:lvlText w:val="•"/>
      <w:lvlJc w:val="left"/>
      <w:pPr>
        <w:tabs>
          <w:tab w:val="num" w:pos="3600"/>
        </w:tabs>
        <w:ind w:left="3600" w:hanging="360"/>
      </w:pPr>
      <w:rPr>
        <w:rFonts w:ascii="Times New Roman" w:hAnsi="Times New Roman" w:hint="default"/>
      </w:rPr>
    </w:lvl>
    <w:lvl w:ilvl="5" w:tplc="8C285B56" w:tentative="1">
      <w:start w:val="1"/>
      <w:numFmt w:val="bullet"/>
      <w:lvlText w:val="•"/>
      <w:lvlJc w:val="left"/>
      <w:pPr>
        <w:tabs>
          <w:tab w:val="num" w:pos="4320"/>
        </w:tabs>
        <w:ind w:left="4320" w:hanging="360"/>
      </w:pPr>
      <w:rPr>
        <w:rFonts w:ascii="Times New Roman" w:hAnsi="Times New Roman" w:hint="default"/>
      </w:rPr>
    </w:lvl>
    <w:lvl w:ilvl="6" w:tplc="5B3A42F6" w:tentative="1">
      <w:start w:val="1"/>
      <w:numFmt w:val="bullet"/>
      <w:lvlText w:val="•"/>
      <w:lvlJc w:val="left"/>
      <w:pPr>
        <w:tabs>
          <w:tab w:val="num" w:pos="5040"/>
        </w:tabs>
        <w:ind w:left="5040" w:hanging="360"/>
      </w:pPr>
      <w:rPr>
        <w:rFonts w:ascii="Times New Roman" w:hAnsi="Times New Roman" w:hint="default"/>
      </w:rPr>
    </w:lvl>
    <w:lvl w:ilvl="7" w:tplc="3BB885C4" w:tentative="1">
      <w:start w:val="1"/>
      <w:numFmt w:val="bullet"/>
      <w:lvlText w:val="•"/>
      <w:lvlJc w:val="left"/>
      <w:pPr>
        <w:tabs>
          <w:tab w:val="num" w:pos="5760"/>
        </w:tabs>
        <w:ind w:left="5760" w:hanging="360"/>
      </w:pPr>
      <w:rPr>
        <w:rFonts w:ascii="Times New Roman" w:hAnsi="Times New Roman" w:hint="default"/>
      </w:rPr>
    </w:lvl>
    <w:lvl w:ilvl="8" w:tplc="27205442" w:tentative="1">
      <w:start w:val="1"/>
      <w:numFmt w:val="bullet"/>
      <w:lvlText w:val="•"/>
      <w:lvlJc w:val="left"/>
      <w:pPr>
        <w:tabs>
          <w:tab w:val="num" w:pos="6480"/>
        </w:tabs>
        <w:ind w:left="6480" w:hanging="360"/>
      </w:pPr>
      <w:rPr>
        <w:rFonts w:ascii="Times New Roman" w:hAnsi="Times New Roman" w:hint="default"/>
      </w:rPr>
    </w:lvl>
  </w:abstractNum>
  <w:abstractNum w:abstractNumId="12">
    <w:nsid w:val="12D066A7"/>
    <w:multiLevelType w:val="hybridMultilevel"/>
    <w:tmpl w:val="C1C2AF42"/>
    <w:lvl w:ilvl="0" w:tplc="04090005">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3">
    <w:nsid w:val="16A43513"/>
    <w:multiLevelType w:val="hybridMultilevel"/>
    <w:tmpl w:val="9992E0F8"/>
    <w:lvl w:ilvl="0" w:tplc="04090005">
      <w:start w:val="1"/>
      <w:numFmt w:val="bullet"/>
      <w:lvlText w:val=""/>
      <w:lvlJc w:val="left"/>
      <w:pPr>
        <w:ind w:left="824" w:hanging="360"/>
      </w:pPr>
      <w:rPr>
        <w:rFonts w:ascii="Wingdings" w:hAnsi="Wingdings"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14">
    <w:nsid w:val="17112BFC"/>
    <w:multiLevelType w:val="hybridMultilevel"/>
    <w:tmpl w:val="2DCEB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8245387"/>
    <w:multiLevelType w:val="hybridMultilevel"/>
    <w:tmpl w:val="4FEA5E16"/>
    <w:lvl w:ilvl="0" w:tplc="0409000B">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6">
    <w:nsid w:val="18CE5122"/>
    <w:multiLevelType w:val="hybridMultilevel"/>
    <w:tmpl w:val="E1A06CD0"/>
    <w:lvl w:ilvl="0" w:tplc="38381F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B56746E"/>
    <w:multiLevelType w:val="multilevel"/>
    <w:tmpl w:val="F9B2C37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B7100BD"/>
    <w:multiLevelType w:val="hybridMultilevel"/>
    <w:tmpl w:val="E1AC4380"/>
    <w:lvl w:ilvl="0" w:tplc="8B6410EA">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DD65E75"/>
    <w:multiLevelType w:val="hybridMultilevel"/>
    <w:tmpl w:val="3E28DD92"/>
    <w:lvl w:ilvl="0" w:tplc="C68A57C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0">
    <w:nsid w:val="1EFA1717"/>
    <w:multiLevelType w:val="hybridMultilevel"/>
    <w:tmpl w:val="02DE524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1074A48"/>
    <w:multiLevelType w:val="hybridMultilevel"/>
    <w:tmpl w:val="5BDC5BE2"/>
    <w:lvl w:ilvl="0" w:tplc="D39A4338">
      <w:start w:val="1"/>
      <w:numFmt w:val="bullet"/>
      <w:lvlText w:val=""/>
      <w:lvlJc w:val="left"/>
      <w:pPr>
        <w:ind w:left="792" w:hanging="360"/>
      </w:pPr>
      <w:rPr>
        <w:rFonts w:ascii="Symbol" w:hAnsi="Symbol" w:hint="default"/>
        <w:color w:val="000000" w:themeColor="text1"/>
      </w:rPr>
    </w:lvl>
    <w:lvl w:ilvl="1" w:tplc="D39A4338">
      <w:start w:val="1"/>
      <w:numFmt w:val="bullet"/>
      <w:lvlText w:val=""/>
      <w:lvlJc w:val="left"/>
      <w:pPr>
        <w:ind w:left="1512" w:hanging="360"/>
      </w:pPr>
      <w:rPr>
        <w:rFonts w:ascii="Symbol" w:hAnsi="Symbol" w:hint="default"/>
        <w:color w:val="000000" w:themeColor="text1"/>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2">
    <w:nsid w:val="259A3D1D"/>
    <w:multiLevelType w:val="hybridMultilevel"/>
    <w:tmpl w:val="A350A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5BE27B7"/>
    <w:multiLevelType w:val="hybridMultilevel"/>
    <w:tmpl w:val="87E25522"/>
    <w:lvl w:ilvl="0" w:tplc="BB762720">
      <w:start w:val="612"/>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98471AC"/>
    <w:multiLevelType w:val="hybridMultilevel"/>
    <w:tmpl w:val="F77AB826"/>
    <w:lvl w:ilvl="0" w:tplc="04090005">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5">
    <w:nsid w:val="2C15515D"/>
    <w:multiLevelType w:val="hybridMultilevel"/>
    <w:tmpl w:val="373425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3A6D93"/>
    <w:multiLevelType w:val="hybridMultilevel"/>
    <w:tmpl w:val="D36EC7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C65508B"/>
    <w:multiLevelType w:val="hybridMultilevel"/>
    <w:tmpl w:val="3A043AC4"/>
    <w:lvl w:ilvl="0" w:tplc="90BE33CC">
      <w:start w:val="1"/>
      <w:numFmt w:val="bullet"/>
      <w:lvlText w:val=""/>
      <w:lvlJc w:val="left"/>
      <w:pPr>
        <w:ind w:left="720" w:hanging="360"/>
      </w:pPr>
      <w:rPr>
        <w:rFonts w:ascii="Wingdings" w:hAnsi="Wingdings" w:hint="default"/>
        <w:color w:val="2F5496" w:themeColor="accent5" w:themeShade="BF"/>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6732ABB"/>
    <w:multiLevelType w:val="hybridMultilevel"/>
    <w:tmpl w:val="7B562942"/>
    <w:lvl w:ilvl="0" w:tplc="04090005">
      <w:start w:val="1"/>
      <w:numFmt w:val="bullet"/>
      <w:lvlText w:val=""/>
      <w:lvlJc w:val="left"/>
      <w:pPr>
        <w:ind w:left="792" w:hanging="360"/>
      </w:pPr>
      <w:rPr>
        <w:rFonts w:ascii="Wingdings" w:hAnsi="Wingdings"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9">
    <w:nsid w:val="384154C2"/>
    <w:multiLevelType w:val="hybridMultilevel"/>
    <w:tmpl w:val="D8027A30"/>
    <w:lvl w:ilvl="0" w:tplc="04090005">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0">
    <w:nsid w:val="3EFE4CAF"/>
    <w:multiLevelType w:val="hybridMultilevel"/>
    <w:tmpl w:val="3D066FA2"/>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31">
    <w:nsid w:val="3F6B3191"/>
    <w:multiLevelType w:val="hybridMultilevel"/>
    <w:tmpl w:val="98C8CA06"/>
    <w:lvl w:ilvl="0" w:tplc="04090005">
      <w:start w:val="1"/>
      <w:numFmt w:val="bullet"/>
      <w:lvlText w:val=""/>
      <w:lvlJc w:val="left"/>
      <w:pPr>
        <w:ind w:left="1446" w:hanging="360"/>
      </w:pPr>
      <w:rPr>
        <w:rFonts w:ascii="Wingdings" w:hAnsi="Wingdings" w:hint="default"/>
      </w:rPr>
    </w:lvl>
    <w:lvl w:ilvl="1" w:tplc="04090003">
      <w:start w:val="1"/>
      <w:numFmt w:val="bullet"/>
      <w:lvlText w:val="o"/>
      <w:lvlJc w:val="left"/>
      <w:pPr>
        <w:ind w:left="2166" w:hanging="360"/>
      </w:pPr>
      <w:rPr>
        <w:rFonts w:ascii="Courier New" w:hAnsi="Courier New" w:cs="Courier New" w:hint="default"/>
      </w:rPr>
    </w:lvl>
    <w:lvl w:ilvl="2" w:tplc="04090005">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2">
    <w:nsid w:val="422839A5"/>
    <w:multiLevelType w:val="hybridMultilevel"/>
    <w:tmpl w:val="4FB66C46"/>
    <w:lvl w:ilvl="0" w:tplc="35BA8868">
      <w:start w:val="1"/>
      <w:numFmt w:val="decimal"/>
      <w:lvlText w:val="%1."/>
      <w:lvlJc w:val="left"/>
      <w:pPr>
        <w:ind w:left="4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2DA6B60"/>
    <w:multiLevelType w:val="hybridMultilevel"/>
    <w:tmpl w:val="2CE6DE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5371E8A"/>
    <w:multiLevelType w:val="hybridMultilevel"/>
    <w:tmpl w:val="B3A65634"/>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35">
    <w:nsid w:val="460C00DB"/>
    <w:multiLevelType w:val="hybridMultilevel"/>
    <w:tmpl w:val="8D380290"/>
    <w:lvl w:ilvl="0" w:tplc="54EC3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60D25F3"/>
    <w:multiLevelType w:val="hybridMultilevel"/>
    <w:tmpl w:val="3C2A871C"/>
    <w:lvl w:ilvl="0" w:tplc="04090019">
      <w:start w:val="1"/>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7">
    <w:nsid w:val="463C3476"/>
    <w:multiLevelType w:val="hybridMultilevel"/>
    <w:tmpl w:val="36BAC8CC"/>
    <w:lvl w:ilvl="0" w:tplc="04090019">
      <w:start w:val="1"/>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8">
    <w:nsid w:val="48A47D37"/>
    <w:multiLevelType w:val="hybridMultilevel"/>
    <w:tmpl w:val="FCA273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FB0631B"/>
    <w:multiLevelType w:val="hybridMultilevel"/>
    <w:tmpl w:val="B186E8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4FF831B1"/>
    <w:multiLevelType w:val="hybridMultilevel"/>
    <w:tmpl w:val="325AF906"/>
    <w:lvl w:ilvl="0" w:tplc="1A604D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50451CD9"/>
    <w:multiLevelType w:val="hybridMultilevel"/>
    <w:tmpl w:val="B78CEBC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51E51641"/>
    <w:multiLevelType w:val="hybridMultilevel"/>
    <w:tmpl w:val="DE8C28E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539847FC"/>
    <w:multiLevelType w:val="hybridMultilevel"/>
    <w:tmpl w:val="0B762C1A"/>
    <w:lvl w:ilvl="0" w:tplc="1A2A2910">
      <w:start w:val="1"/>
      <w:numFmt w:val="lowerLetter"/>
      <w:lvlText w:val="%1."/>
      <w:lvlJc w:val="left"/>
      <w:pPr>
        <w:ind w:left="36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7E0643B"/>
    <w:multiLevelType w:val="hybridMultilevel"/>
    <w:tmpl w:val="D91A665A"/>
    <w:lvl w:ilvl="0" w:tplc="04090001">
      <w:start w:val="1"/>
      <w:numFmt w:val="bullet"/>
      <w:lvlText w:val=""/>
      <w:lvlJc w:val="left"/>
      <w:pPr>
        <w:ind w:left="1847" w:hanging="360"/>
      </w:pPr>
      <w:rPr>
        <w:rFonts w:ascii="Symbol" w:hAnsi="Symbol" w:hint="default"/>
      </w:rPr>
    </w:lvl>
    <w:lvl w:ilvl="1" w:tplc="04090003">
      <w:start w:val="1"/>
      <w:numFmt w:val="bullet"/>
      <w:lvlText w:val="o"/>
      <w:lvlJc w:val="left"/>
      <w:pPr>
        <w:ind w:left="2567" w:hanging="360"/>
      </w:pPr>
      <w:rPr>
        <w:rFonts w:ascii="Courier New" w:hAnsi="Courier New" w:cs="Courier New" w:hint="default"/>
      </w:rPr>
    </w:lvl>
    <w:lvl w:ilvl="2" w:tplc="04090005" w:tentative="1">
      <w:start w:val="1"/>
      <w:numFmt w:val="bullet"/>
      <w:lvlText w:val=""/>
      <w:lvlJc w:val="left"/>
      <w:pPr>
        <w:ind w:left="3287" w:hanging="360"/>
      </w:pPr>
      <w:rPr>
        <w:rFonts w:ascii="Wingdings" w:hAnsi="Wingdings" w:hint="default"/>
      </w:rPr>
    </w:lvl>
    <w:lvl w:ilvl="3" w:tplc="04090001" w:tentative="1">
      <w:start w:val="1"/>
      <w:numFmt w:val="bullet"/>
      <w:lvlText w:val=""/>
      <w:lvlJc w:val="left"/>
      <w:pPr>
        <w:ind w:left="4007" w:hanging="360"/>
      </w:pPr>
      <w:rPr>
        <w:rFonts w:ascii="Symbol" w:hAnsi="Symbol" w:hint="default"/>
      </w:rPr>
    </w:lvl>
    <w:lvl w:ilvl="4" w:tplc="04090003" w:tentative="1">
      <w:start w:val="1"/>
      <w:numFmt w:val="bullet"/>
      <w:lvlText w:val="o"/>
      <w:lvlJc w:val="left"/>
      <w:pPr>
        <w:ind w:left="4727" w:hanging="360"/>
      </w:pPr>
      <w:rPr>
        <w:rFonts w:ascii="Courier New" w:hAnsi="Courier New" w:cs="Courier New" w:hint="default"/>
      </w:rPr>
    </w:lvl>
    <w:lvl w:ilvl="5" w:tplc="04090005" w:tentative="1">
      <w:start w:val="1"/>
      <w:numFmt w:val="bullet"/>
      <w:lvlText w:val=""/>
      <w:lvlJc w:val="left"/>
      <w:pPr>
        <w:ind w:left="5447" w:hanging="360"/>
      </w:pPr>
      <w:rPr>
        <w:rFonts w:ascii="Wingdings" w:hAnsi="Wingdings" w:hint="default"/>
      </w:rPr>
    </w:lvl>
    <w:lvl w:ilvl="6" w:tplc="04090001" w:tentative="1">
      <w:start w:val="1"/>
      <w:numFmt w:val="bullet"/>
      <w:lvlText w:val=""/>
      <w:lvlJc w:val="left"/>
      <w:pPr>
        <w:ind w:left="6167" w:hanging="360"/>
      </w:pPr>
      <w:rPr>
        <w:rFonts w:ascii="Symbol" w:hAnsi="Symbol" w:hint="default"/>
      </w:rPr>
    </w:lvl>
    <w:lvl w:ilvl="7" w:tplc="04090003" w:tentative="1">
      <w:start w:val="1"/>
      <w:numFmt w:val="bullet"/>
      <w:lvlText w:val="o"/>
      <w:lvlJc w:val="left"/>
      <w:pPr>
        <w:ind w:left="6887" w:hanging="360"/>
      </w:pPr>
      <w:rPr>
        <w:rFonts w:ascii="Courier New" w:hAnsi="Courier New" w:cs="Courier New" w:hint="default"/>
      </w:rPr>
    </w:lvl>
    <w:lvl w:ilvl="8" w:tplc="04090005" w:tentative="1">
      <w:start w:val="1"/>
      <w:numFmt w:val="bullet"/>
      <w:lvlText w:val=""/>
      <w:lvlJc w:val="left"/>
      <w:pPr>
        <w:ind w:left="7607" w:hanging="360"/>
      </w:pPr>
      <w:rPr>
        <w:rFonts w:ascii="Wingdings" w:hAnsi="Wingdings" w:hint="default"/>
      </w:rPr>
    </w:lvl>
  </w:abstractNum>
  <w:abstractNum w:abstractNumId="45">
    <w:nsid w:val="58325157"/>
    <w:multiLevelType w:val="hybridMultilevel"/>
    <w:tmpl w:val="7A9AF8E0"/>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46">
    <w:nsid w:val="59B244A7"/>
    <w:multiLevelType w:val="hybridMultilevel"/>
    <w:tmpl w:val="F96AF6E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nsid w:val="59B8299A"/>
    <w:multiLevelType w:val="hybridMultilevel"/>
    <w:tmpl w:val="82A441E6"/>
    <w:lvl w:ilvl="0" w:tplc="1D687AE2">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9C3692C"/>
    <w:multiLevelType w:val="hybridMultilevel"/>
    <w:tmpl w:val="FAD4295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9">
    <w:nsid w:val="5A2F783A"/>
    <w:multiLevelType w:val="hybridMultilevel"/>
    <w:tmpl w:val="D93EB84C"/>
    <w:lvl w:ilvl="0" w:tplc="153E40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F4769EC"/>
    <w:multiLevelType w:val="hybridMultilevel"/>
    <w:tmpl w:val="02DE524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F645803"/>
    <w:multiLevelType w:val="hybridMultilevel"/>
    <w:tmpl w:val="7F705194"/>
    <w:lvl w:ilvl="0" w:tplc="0409000F">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52">
    <w:nsid w:val="60706F61"/>
    <w:multiLevelType w:val="hybridMultilevel"/>
    <w:tmpl w:val="A6103F12"/>
    <w:lvl w:ilvl="0" w:tplc="D37E3864">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53">
    <w:nsid w:val="60CB1A52"/>
    <w:multiLevelType w:val="hybridMultilevel"/>
    <w:tmpl w:val="C494F56A"/>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4">
    <w:nsid w:val="632549CE"/>
    <w:multiLevelType w:val="hybridMultilevel"/>
    <w:tmpl w:val="17B6F966"/>
    <w:lvl w:ilvl="0" w:tplc="1C2E8BA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nsid w:val="684B4591"/>
    <w:multiLevelType w:val="hybridMultilevel"/>
    <w:tmpl w:val="596C1C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695811A1"/>
    <w:multiLevelType w:val="hybridMultilevel"/>
    <w:tmpl w:val="1B30651A"/>
    <w:lvl w:ilvl="0" w:tplc="04090001">
      <w:start w:val="1"/>
      <w:numFmt w:val="bullet"/>
      <w:lvlText w:val=""/>
      <w:lvlJc w:val="left"/>
      <w:pPr>
        <w:ind w:left="817" w:hanging="360"/>
      </w:pPr>
      <w:rPr>
        <w:rFonts w:ascii="Symbol" w:hAnsi="Symbol" w:hint="default"/>
      </w:rPr>
    </w:lvl>
    <w:lvl w:ilvl="1" w:tplc="04090003" w:tentative="1">
      <w:start w:val="1"/>
      <w:numFmt w:val="bullet"/>
      <w:lvlText w:val="o"/>
      <w:lvlJc w:val="left"/>
      <w:pPr>
        <w:ind w:left="1537" w:hanging="360"/>
      </w:pPr>
      <w:rPr>
        <w:rFonts w:ascii="Courier New" w:hAnsi="Courier New" w:cs="Courier New" w:hint="default"/>
      </w:rPr>
    </w:lvl>
    <w:lvl w:ilvl="2" w:tplc="04090005" w:tentative="1">
      <w:start w:val="1"/>
      <w:numFmt w:val="bullet"/>
      <w:lvlText w:val=""/>
      <w:lvlJc w:val="left"/>
      <w:pPr>
        <w:ind w:left="2257" w:hanging="360"/>
      </w:pPr>
      <w:rPr>
        <w:rFonts w:ascii="Wingdings" w:hAnsi="Wingdings" w:hint="default"/>
      </w:rPr>
    </w:lvl>
    <w:lvl w:ilvl="3" w:tplc="04090001" w:tentative="1">
      <w:start w:val="1"/>
      <w:numFmt w:val="bullet"/>
      <w:lvlText w:val=""/>
      <w:lvlJc w:val="left"/>
      <w:pPr>
        <w:ind w:left="2977" w:hanging="360"/>
      </w:pPr>
      <w:rPr>
        <w:rFonts w:ascii="Symbol" w:hAnsi="Symbol" w:hint="default"/>
      </w:rPr>
    </w:lvl>
    <w:lvl w:ilvl="4" w:tplc="04090003" w:tentative="1">
      <w:start w:val="1"/>
      <w:numFmt w:val="bullet"/>
      <w:lvlText w:val="o"/>
      <w:lvlJc w:val="left"/>
      <w:pPr>
        <w:ind w:left="3697" w:hanging="360"/>
      </w:pPr>
      <w:rPr>
        <w:rFonts w:ascii="Courier New" w:hAnsi="Courier New" w:cs="Courier New" w:hint="default"/>
      </w:rPr>
    </w:lvl>
    <w:lvl w:ilvl="5" w:tplc="04090005" w:tentative="1">
      <w:start w:val="1"/>
      <w:numFmt w:val="bullet"/>
      <w:lvlText w:val=""/>
      <w:lvlJc w:val="left"/>
      <w:pPr>
        <w:ind w:left="4417" w:hanging="360"/>
      </w:pPr>
      <w:rPr>
        <w:rFonts w:ascii="Wingdings" w:hAnsi="Wingdings" w:hint="default"/>
      </w:rPr>
    </w:lvl>
    <w:lvl w:ilvl="6" w:tplc="04090001" w:tentative="1">
      <w:start w:val="1"/>
      <w:numFmt w:val="bullet"/>
      <w:lvlText w:val=""/>
      <w:lvlJc w:val="left"/>
      <w:pPr>
        <w:ind w:left="5137" w:hanging="360"/>
      </w:pPr>
      <w:rPr>
        <w:rFonts w:ascii="Symbol" w:hAnsi="Symbol" w:hint="default"/>
      </w:rPr>
    </w:lvl>
    <w:lvl w:ilvl="7" w:tplc="04090003" w:tentative="1">
      <w:start w:val="1"/>
      <w:numFmt w:val="bullet"/>
      <w:lvlText w:val="o"/>
      <w:lvlJc w:val="left"/>
      <w:pPr>
        <w:ind w:left="5857" w:hanging="360"/>
      </w:pPr>
      <w:rPr>
        <w:rFonts w:ascii="Courier New" w:hAnsi="Courier New" w:cs="Courier New" w:hint="default"/>
      </w:rPr>
    </w:lvl>
    <w:lvl w:ilvl="8" w:tplc="04090005" w:tentative="1">
      <w:start w:val="1"/>
      <w:numFmt w:val="bullet"/>
      <w:lvlText w:val=""/>
      <w:lvlJc w:val="left"/>
      <w:pPr>
        <w:ind w:left="6577" w:hanging="360"/>
      </w:pPr>
      <w:rPr>
        <w:rFonts w:ascii="Wingdings" w:hAnsi="Wingdings" w:hint="default"/>
      </w:rPr>
    </w:lvl>
  </w:abstractNum>
  <w:abstractNum w:abstractNumId="57">
    <w:nsid w:val="6D1E719F"/>
    <w:multiLevelType w:val="hybridMultilevel"/>
    <w:tmpl w:val="A1803F7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8">
    <w:nsid w:val="6F8B076A"/>
    <w:multiLevelType w:val="hybridMultilevel"/>
    <w:tmpl w:val="AA7E536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5E51E18"/>
    <w:multiLevelType w:val="hybridMultilevel"/>
    <w:tmpl w:val="893E9CE8"/>
    <w:lvl w:ilvl="0" w:tplc="931C1528">
      <w:start w:val="1"/>
      <w:numFmt w:val="decimal"/>
      <w:lvlText w:val="%1."/>
      <w:lvlJc w:val="left"/>
      <w:pPr>
        <w:ind w:left="4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7CD32C2"/>
    <w:multiLevelType w:val="hybridMultilevel"/>
    <w:tmpl w:val="25E4FBFC"/>
    <w:lvl w:ilvl="0" w:tplc="B2F05730">
      <w:start w:val="1"/>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61">
    <w:nsid w:val="79382A14"/>
    <w:multiLevelType w:val="hybridMultilevel"/>
    <w:tmpl w:val="E118E026"/>
    <w:lvl w:ilvl="0" w:tplc="04090005">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2">
    <w:nsid w:val="7B3875BE"/>
    <w:multiLevelType w:val="hybridMultilevel"/>
    <w:tmpl w:val="A7B43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BA40934"/>
    <w:multiLevelType w:val="hybridMultilevel"/>
    <w:tmpl w:val="6472E716"/>
    <w:lvl w:ilvl="0" w:tplc="04090005">
      <w:start w:val="1"/>
      <w:numFmt w:val="bullet"/>
      <w:lvlText w:val=""/>
      <w:lvlJc w:val="left"/>
      <w:pPr>
        <w:ind w:left="858" w:hanging="360"/>
      </w:pPr>
      <w:rPr>
        <w:rFonts w:ascii="Wingdings" w:hAnsi="Wingdings" w:hint="default"/>
      </w:rPr>
    </w:lvl>
    <w:lvl w:ilvl="1" w:tplc="04090003" w:tentative="1">
      <w:start w:val="1"/>
      <w:numFmt w:val="bullet"/>
      <w:lvlText w:val="o"/>
      <w:lvlJc w:val="left"/>
      <w:pPr>
        <w:ind w:left="1578" w:hanging="360"/>
      </w:pPr>
      <w:rPr>
        <w:rFonts w:ascii="Courier New" w:hAnsi="Courier New" w:cs="Courier New" w:hint="default"/>
      </w:rPr>
    </w:lvl>
    <w:lvl w:ilvl="2" w:tplc="04090005" w:tentative="1">
      <w:start w:val="1"/>
      <w:numFmt w:val="bullet"/>
      <w:lvlText w:val=""/>
      <w:lvlJc w:val="left"/>
      <w:pPr>
        <w:ind w:left="2298" w:hanging="360"/>
      </w:pPr>
      <w:rPr>
        <w:rFonts w:ascii="Wingdings" w:hAnsi="Wingdings" w:hint="default"/>
      </w:rPr>
    </w:lvl>
    <w:lvl w:ilvl="3" w:tplc="04090001" w:tentative="1">
      <w:start w:val="1"/>
      <w:numFmt w:val="bullet"/>
      <w:lvlText w:val=""/>
      <w:lvlJc w:val="left"/>
      <w:pPr>
        <w:ind w:left="3018" w:hanging="360"/>
      </w:pPr>
      <w:rPr>
        <w:rFonts w:ascii="Symbol" w:hAnsi="Symbol" w:hint="default"/>
      </w:rPr>
    </w:lvl>
    <w:lvl w:ilvl="4" w:tplc="04090003" w:tentative="1">
      <w:start w:val="1"/>
      <w:numFmt w:val="bullet"/>
      <w:lvlText w:val="o"/>
      <w:lvlJc w:val="left"/>
      <w:pPr>
        <w:ind w:left="3738" w:hanging="360"/>
      </w:pPr>
      <w:rPr>
        <w:rFonts w:ascii="Courier New" w:hAnsi="Courier New" w:cs="Courier New" w:hint="default"/>
      </w:rPr>
    </w:lvl>
    <w:lvl w:ilvl="5" w:tplc="04090005" w:tentative="1">
      <w:start w:val="1"/>
      <w:numFmt w:val="bullet"/>
      <w:lvlText w:val=""/>
      <w:lvlJc w:val="left"/>
      <w:pPr>
        <w:ind w:left="4458" w:hanging="360"/>
      </w:pPr>
      <w:rPr>
        <w:rFonts w:ascii="Wingdings" w:hAnsi="Wingdings" w:hint="default"/>
      </w:rPr>
    </w:lvl>
    <w:lvl w:ilvl="6" w:tplc="04090001" w:tentative="1">
      <w:start w:val="1"/>
      <w:numFmt w:val="bullet"/>
      <w:lvlText w:val=""/>
      <w:lvlJc w:val="left"/>
      <w:pPr>
        <w:ind w:left="5178" w:hanging="360"/>
      </w:pPr>
      <w:rPr>
        <w:rFonts w:ascii="Symbol" w:hAnsi="Symbol" w:hint="default"/>
      </w:rPr>
    </w:lvl>
    <w:lvl w:ilvl="7" w:tplc="04090003" w:tentative="1">
      <w:start w:val="1"/>
      <w:numFmt w:val="bullet"/>
      <w:lvlText w:val="o"/>
      <w:lvlJc w:val="left"/>
      <w:pPr>
        <w:ind w:left="5898" w:hanging="360"/>
      </w:pPr>
      <w:rPr>
        <w:rFonts w:ascii="Courier New" w:hAnsi="Courier New" w:cs="Courier New" w:hint="default"/>
      </w:rPr>
    </w:lvl>
    <w:lvl w:ilvl="8" w:tplc="04090005" w:tentative="1">
      <w:start w:val="1"/>
      <w:numFmt w:val="bullet"/>
      <w:lvlText w:val=""/>
      <w:lvlJc w:val="left"/>
      <w:pPr>
        <w:ind w:left="6618" w:hanging="360"/>
      </w:pPr>
      <w:rPr>
        <w:rFonts w:ascii="Wingdings" w:hAnsi="Wingdings" w:hint="default"/>
      </w:rPr>
    </w:lvl>
  </w:abstractNum>
  <w:abstractNum w:abstractNumId="64">
    <w:nsid w:val="7D72458B"/>
    <w:multiLevelType w:val="hybridMultilevel"/>
    <w:tmpl w:val="36BAC8CC"/>
    <w:lvl w:ilvl="0" w:tplc="04090019">
      <w:start w:val="1"/>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65">
    <w:nsid w:val="7F3A2971"/>
    <w:multiLevelType w:val="hybridMultilevel"/>
    <w:tmpl w:val="352AE2B0"/>
    <w:lvl w:ilvl="0" w:tplc="8C02B6B0">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3"/>
  </w:num>
  <w:num w:numId="3">
    <w:abstractNumId w:val="28"/>
  </w:num>
  <w:num w:numId="4">
    <w:abstractNumId w:val="31"/>
  </w:num>
  <w:num w:numId="5">
    <w:abstractNumId w:val="63"/>
  </w:num>
  <w:num w:numId="6">
    <w:abstractNumId w:val="24"/>
  </w:num>
  <w:num w:numId="7">
    <w:abstractNumId w:val="20"/>
  </w:num>
  <w:num w:numId="8">
    <w:abstractNumId w:val="8"/>
  </w:num>
  <w:num w:numId="9">
    <w:abstractNumId w:val="64"/>
  </w:num>
  <w:num w:numId="10">
    <w:abstractNumId w:val="41"/>
  </w:num>
  <w:num w:numId="11">
    <w:abstractNumId w:val="60"/>
  </w:num>
  <w:num w:numId="12">
    <w:abstractNumId w:val="36"/>
  </w:num>
  <w:num w:numId="13">
    <w:abstractNumId w:val="51"/>
  </w:num>
  <w:num w:numId="14">
    <w:abstractNumId w:val="6"/>
  </w:num>
  <w:num w:numId="15">
    <w:abstractNumId w:val="59"/>
  </w:num>
  <w:num w:numId="16">
    <w:abstractNumId w:val="65"/>
  </w:num>
  <w:num w:numId="17">
    <w:abstractNumId w:val="56"/>
  </w:num>
  <w:num w:numId="18">
    <w:abstractNumId w:val="35"/>
  </w:num>
  <w:num w:numId="19">
    <w:abstractNumId w:val="33"/>
  </w:num>
  <w:num w:numId="20">
    <w:abstractNumId w:val="19"/>
  </w:num>
  <w:num w:numId="21">
    <w:abstractNumId w:val="49"/>
  </w:num>
  <w:num w:numId="22">
    <w:abstractNumId w:val="40"/>
  </w:num>
  <w:num w:numId="23">
    <w:abstractNumId w:val="25"/>
  </w:num>
  <w:num w:numId="24">
    <w:abstractNumId w:val="32"/>
  </w:num>
  <w:num w:numId="25">
    <w:abstractNumId w:val="43"/>
  </w:num>
  <w:num w:numId="26">
    <w:abstractNumId w:val="3"/>
  </w:num>
  <w:num w:numId="27">
    <w:abstractNumId w:val="52"/>
  </w:num>
  <w:num w:numId="28">
    <w:abstractNumId w:val="37"/>
  </w:num>
  <w:num w:numId="29">
    <w:abstractNumId w:val="50"/>
  </w:num>
  <w:num w:numId="30">
    <w:abstractNumId w:val="47"/>
  </w:num>
  <w:num w:numId="31">
    <w:abstractNumId w:val="18"/>
  </w:num>
  <w:num w:numId="32">
    <w:abstractNumId w:val="27"/>
  </w:num>
  <w:num w:numId="33">
    <w:abstractNumId w:val="16"/>
  </w:num>
  <w:num w:numId="34">
    <w:abstractNumId w:val="58"/>
  </w:num>
  <w:num w:numId="35">
    <w:abstractNumId w:val="5"/>
  </w:num>
  <w:num w:numId="36">
    <w:abstractNumId w:val="10"/>
  </w:num>
  <w:num w:numId="37">
    <w:abstractNumId w:val="42"/>
  </w:num>
  <w:num w:numId="38">
    <w:abstractNumId w:val="53"/>
  </w:num>
  <w:num w:numId="39">
    <w:abstractNumId w:val="46"/>
  </w:num>
  <w:num w:numId="40">
    <w:abstractNumId w:val="61"/>
  </w:num>
  <w:num w:numId="41">
    <w:abstractNumId w:val="15"/>
  </w:num>
  <w:num w:numId="42">
    <w:abstractNumId w:val="17"/>
  </w:num>
  <w:num w:numId="43">
    <w:abstractNumId w:val="44"/>
  </w:num>
  <w:num w:numId="44">
    <w:abstractNumId w:val="21"/>
  </w:num>
  <w:num w:numId="45">
    <w:abstractNumId w:val="13"/>
  </w:num>
  <w:num w:numId="46">
    <w:abstractNumId w:val="12"/>
  </w:num>
  <w:num w:numId="47">
    <w:abstractNumId w:val="29"/>
  </w:num>
  <w:num w:numId="48">
    <w:abstractNumId w:val="38"/>
  </w:num>
  <w:num w:numId="49">
    <w:abstractNumId w:val="9"/>
  </w:num>
  <w:num w:numId="50">
    <w:abstractNumId w:val="45"/>
  </w:num>
  <w:num w:numId="51">
    <w:abstractNumId w:val="39"/>
  </w:num>
  <w:num w:numId="52">
    <w:abstractNumId w:val="26"/>
  </w:num>
  <w:num w:numId="53">
    <w:abstractNumId w:val="0"/>
  </w:num>
  <w:num w:numId="54">
    <w:abstractNumId w:val="1"/>
  </w:num>
  <w:num w:numId="55">
    <w:abstractNumId w:val="2"/>
  </w:num>
  <w:num w:numId="56">
    <w:abstractNumId w:val="34"/>
  </w:num>
  <w:num w:numId="57">
    <w:abstractNumId w:val="14"/>
  </w:num>
  <w:num w:numId="58">
    <w:abstractNumId w:val="55"/>
  </w:num>
  <w:num w:numId="59">
    <w:abstractNumId w:val="57"/>
  </w:num>
  <w:num w:numId="60">
    <w:abstractNumId w:val="4"/>
  </w:num>
  <w:num w:numId="61">
    <w:abstractNumId w:val="30"/>
  </w:num>
  <w:num w:numId="62">
    <w:abstractNumId w:val="54"/>
  </w:num>
  <w:num w:numId="63">
    <w:abstractNumId w:val="7"/>
  </w:num>
  <w:num w:numId="64">
    <w:abstractNumId w:val="62"/>
  </w:num>
  <w:num w:numId="65">
    <w:abstractNumId w:val="22"/>
  </w:num>
  <w:num w:numId="66">
    <w:abstractNumId w:val="48"/>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hideGrammaticalErrors/>
  <w:defaultTabStop w:val="720"/>
  <w:drawingGridHorizontalSpacing w:val="130"/>
  <w:displayHorizontalDrawingGridEvery w:val="2"/>
  <w:characterSpacingControl w:val="doNotCompress"/>
  <w:hdrShapeDefaults>
    <o:shapedefaults v:ext="edit" spidmax="2049">
      <o:colormenu v:ext="edit" strokecolor="none"/>
    </o:shapedefaults>
  </w:hdrShapeDefaults>
  <w:footnotePr>
    <w:footnote w:id="-1"/>
    <w:footnote w:id="0"/>
  </w:footnotePr>
  <w:endnotePr>
    <w:endnote w:id="-1"/>
    <w:endnote w:id="0"/>
  </w:endnotePr>
  <w:compat>
    <w:useFELayout/>
  </w:compat>
  <w:rsids>
    <w:rsidRoot w:val="006E68D2"/>
    <w:rsid w:val="0000087B"/>
    <w:rsid w:val="00002D4D"/>
    <w:rsid w:val="000058C8"/>
    <w:rsid w:val="0001197E"/>
    <w:rsid w:val="000146C4"/>
    <w:rsid w:val="0002275B"/>
    <w:rsid w:val="00030DBF"/>
    <w:rsid w:val="00031FA2"/>
    <w:rsid w:val="000336F3"/>
    <w:rsid w:val="000354F4"/>
    <w:rsid w:val="00035BFD"/>
    <w:rsid w:val="000362FE"/>
    <w:rsid w:val="00037E20"/>
    <w:rsid w:val="00040E6E"/>
    <w:rsid w:val="0004218A"/>
    <w:rsid w:val="000425B2"/>
    <w:rsid w:val="00046D82"/>
    <w:rsid w:val="000474D4"/>
    <w:rsid w:val="00047E4E"/>
    <w:rsid w:val="0005169A"/>
    <w:rsid w:val="0005590B"/>
    <w:rsid w:val="00064795"/>
    <w:rsid w:val="00066FE4"/>
    <w:rsid w:val="00067168"/>
    <w:rsid w:val="000763B4"/>
    <w:rsid w:val="00080BFB"/>
    <w:rsid w:val="00082F81"/>
    <w:rsid w:val="00085634"/>
    <w:rsid w:val="00086D3C"/>
    <w:rsid w:val="00093D4B"/>
    <w:rsid w:val="00094C0C"/>
    <w:rsid w:val="0009691E"/>
    <w:rsid w:val="000975D0"/>
    <w:rsid w:val="0009789C"/>
    <w:rsid w:val="000A2C9E"/>
    <w:rsid w:val="000A6CFE"/>
    <w:rsid w:val="000A715D"/>
    <w:rsid w:val="000B03FC"/>
    <w:rsid w:val="000B1BBC"/>
    <w:rsid w:val="000C1D0F"/>
    <w:rsid w:val="000C2A87"/>
    <w:rsid w:val="000C5BF2"/>
    <w:rsid w:val="000C602A"/>
    <w:rsid w:val="000D1507"/>
    <w:rsid w:val="000D24AE"/>
    <w:rsid w:val="000D4264"/>
    <w:rsid w:val="000E51C1"/>
    <w:rsid w:val="000E6B69"/>
    <w:rsid w:val="000E79A0"/>
    <w:rsid w:val="000F04CB"/>
    <w:rsid w:val="000F27A5"/>
    <w:rsid w:val="000F3AFE"/>
    <w:rsid w:val="000F4F6A"/>
    <w:rsid w:val="000F6394"/>
    <w:rsid w:val="000F66F4"/>
    <w:rsid w:val="000F7459"/>
    <w:rsid w:val="000F77B7"/>
    <w:rsid w:val="0010442F"/>
    <w:rsid w:val="001073A4"/>
    <w:rsid w:val="00107CEB"/>
    <w:rsid w:val="001249DE"/>
    <w:rsid w:val="001311AC"/>
    <w:rsid w:val="001506F9"/>
    <w:rsid w:val="00153A03"/>
    <w:rsid w:val="00154299"/>
    <w:rsid w:val="001618D4"/>
    <w:rsid w:val="0016648B"/>
    <w:rsid w:val="00167A80"/>
    <w:rsid w:val="001704A1"/>
    <w:rsid w:val="00171312"/>
    <w:rsid w:val="00171C3E"/>
    <w:rsid w:val="00173D5E"/>
    <w:rsid w:val="00174E4A"/>
    <w:rsid w:val="00177543"/>
    <w:rsid w:val="00182486"/>
    <w:rsid w:val="00184695"/>
    <w:rsid w:val="00190770"/>
    <w:rsid w:val="00193C01"/>
    <w:rsid w:val="0019507F"/>
    <w:rsid w:val="001A287B"/>
    <w:rsid w:val="001A2C8D"/>
    <w:rsid w:val="001A761B"/>
    <w:rsid w:val="001B2E02"/>
    <w:rsid w:val="001B45EF"/>
    <w:rsid w:val="001B7EBC"/>
    <w:rsid w:val="001C0907"/>
    <w:rsid w:val="001C3A2D"/>
    <w:rsid w:val="001D0244"/>
    <w:rsid w:val="001D095A"/>
    <w:rsid w:val="001D30F6"/>
    <w:rsid w:val="001D3F0A"/>
    <w:rsid w:val="001D7878"/>
    <w:rsid w:val="001E3A15"/>
    <w:rsid w:val="001E473C"/>
    <w:rsid w:val="001E6602"/>
    <w:rsid w:val="001F0663"/>
    <w:rsid w:val="001F0F41"/>
    <w:rsid w:val="00200D2E"/>
    <w:rsid w:val="002012EE"/>
    <w:rsid w:val="00201BCA"/>
    <w:rsid w:val="002039E2"/>
    <w:rsid w:val="00203F0E"/>
    <w:rsid w:val="00204EC5"/>
    <w:rsid w:val="00215A94"/>
    <w:rsid w:val="002223DC"/>
    <w:rsid w:val="00227440"/>
    <w:rsid w:val="002277A0"/>
    <w:rsid w:val="002319E1"/>
    <w:rsid w:val="00236435"/>
    <w:rsid w:val="00236967"/>
    <w:rsid w:val="0024053D"/>
    <w:rsid w:val="002421C2"/>
    <w:rsid w:val="00244E5D"/>
    <w:rsid w:val="0024562E"/>
    <w:rsid w:val="002456B8"/>
    <w:rsid w:val="00245BBF"/>
    <w:rsid w:val="00246659"/>
    <w:rsid w:val="00254F03"/>
    <w:rsid w:val="002628CD"/>
    <w:rsid w:val="00266322"/>
    <w:rsid w:val="002713F4"/>
    <w:rsid w:val="00272C67"/>
    <w:rsid w:val="00277267"/>
    <w:rsid w:val="00277580"/>
    <w:rsid w:val="00282A16"/>
    <w:rsid w:val="00284A4A"/>
    <w:rsid w:val="00287536"/>
    <w:rsid w:val="00290DBB"/>
    <w:rsid w:val="00291257"/>
    <w:rsid w:val="002950FF"/>
    <w:rsid w:val="002A0606"/>
    <w:rsid w:val="002A2431"/>
    <w:rsid w:val="002A382E"/>
    <w:rsid w:val="002A5D76"/>
    <w:rsid w:val="002B1B74"/>
    <w:rsid w:val="002B48EA"/>
    <w:rsid w:val="002B799E"/>
    <w:rsid w:val="002C0BAB"/>
    <w:rsid w:val="002C1459"/>
    <w:rsid w:val="002C1F8E"/>
    <w:rsid w:val="002C4953"/>
    <w:rsid w:val="002D4C11"/>
    <w:rsid w:val="002E0C83"/>
    <w:rsid w:val="002E29C9"/>
    <w:rsid w:val="002E3C31"/>
    <w:rsid w:val="002F2A34"/>
    <w:rsid w:val="002F3274"/>
    <w:rsid w:val="002F32DE"/>
    <w:rsid w:val="002F61A1"/>
    <w:rsid w:val="0030015B"/>
    <w:rsid w:val="00302F32"/>
    <w:rsid w:val="0030327E"/>
    <w:rsid w:val="00305466"/>
    <w:rsid w:val="0031086F"/>
    <w:rsid w:val="00310B8F"/>
    <w:rsid w:val="00310BD7"/>
    <w:rsid w:val="00312B7C"/>
    <w:rsid w:val="00327469"/>
    <w:rsid w:val="00330D9E"/>
    <w:rsid w:val="00331C19"/>
    <w:rsid w:val="00331EA7"/>
    <w:rsid w:val="003353E8"/>
    <w:rsid w:val="00335A10"/>
    <w:rsid w:val="00337E87"/>
    <w:rsid w:val="00341050"/>
    <w:rsid w:val="00342720"/>
    <w:rsid w:val="00347526"/>
    <w:rsid w:val="00352AC6"/>
    <w:rsid w:val="00352D8B"/>
    <w:rsid w:val="00355A4B"/>
    <w:rsid w:val="003628C9"/>
    <w:rsid w:val="00367127"/>
    <w:rsid w:val="003676FC"/>
    <w:rsid w:val="00367B14"/>
    <w:rsid w:val="003716F3"/>
    <w:rsid w:val="003727B1"/>
    <w:rsid w:val="0037713C"/>
    <w:rsid w:val="00381859"/>
    <w:rsid w:val="00382B32"/>
    <w:rsid w:val="003853CA"/>
    <w:rsid w:val="00386D6C"/>
    <w:rsid w:val="00387D2E"/>
    <w:rsid w:val="00391992"/>
    <w:rsid w:val="00394D31"/>
    <w:rsid w:val="003A0E10"/>
    <w:rsid w:val="003A420F"/>
    <w:rsid w:val="003A6548"/>
    <w:rsid w:val="003A6A53"/>
    <w:rsid w:val="003A7373"/>
    <w:rsid w:val="003A7D37"/>
    <w:rsid w:val="003B2A58"/>
    <w:rsid w:val="003B370A"/>
    <w:rsid w:val="003B65E5"/>
    <w:rsid w:val="003B6FF2"/>
    <w:rsid w:val="003B7267"/>
    <w:rsid w:val="003B7579"/>
    <w:rsid w:val="003B7946"/>
    <w:rsid w:val="003C225A"/>
    <w:rsid w:val="003C5D89"/>
    <w:rsid w:val="003C6AF4"/>
    <w:rsid w:val="003D2D54"/>
    <w:rsid w:val="003D398C"/>
    <w:rsid w:val="003D597F"/>
    <w:rsid w:val="003E4C03"/>
    <w:rsid w:val="003F159E"/>
    <w:rsid w:val="003F1F3C"/>
    <w:rsid w:val="003F3CCE"/>
    <w:rsid w:val="003F3E5D"/>
    <w:rsid w:val="003F4443"/>
    <w:rsid w:val="003F5A23"/>
    <w:rsid w:val="00404BFF"/>
    <w:rsid w:val="004109D2"/>
    <w:rsid w:val="004135CC"/>
    <w:rsid w:val="004162B4"/>
    <w:rsid w:val="00421932"/>
    <w:rsid w:val="004276A5"/>
    <w:rsid w:val="00427FB1"/>
    <w:rsid w:val="004301AF"/>
    <w:rsid w:val="00432731"/>
    <w:rsid w:val="00434C73"/>
    <w:rsid w:val="004564B2"/>
    <w:rsid w:val="00456A9D"/>
    <w:rsid w:val="00457AA4"/>
    <w:rsid w:val="00464BBE"/>
    <w:rsid w:val="00465DD9"/>
    <w:rsid w:val="0046670D"/>
    <w:rsid w:val="00466A9A"/>
    <w:rsid w:val="00467053"/>
    <w:rsid w:val="00472F39"/>
    <w:rsid w:val="0047509B"/>
    <w:rsid w:val="0047774C"/>
    <w:rsid w:val="00477E59"/>
    <w:rsid w:val="00485AAC"/>
    <w:rsid w:val="004919AA"/>
    <w:rsid w:val="00496077"/>
    <w:rsid w:val="00496B95"/>
    <w:rsid w:val="004972A6"/>
    <w:rsid w:val="004A24C3"/>
    <w:rsid w:val="004A697D"/>
    <w:rsid w:val="004B45FF"/>
    <w:rsid w:val="004B509A"/>
    <w:rsid w:val="004B5911"/>
    <w:rsid w:val="004B61F6"/>
    <w:rsid w:val="004C1B64"/>
    <w:rsid w:val="004C28FE"/>
    <w:rsid w:val="004C3BD9"/>
    <w:rsid w:val="004C3DC8"/>
    <w:rsid w:val="004C54B7"/>
    <w:rsid w:val="004C6F2B"/>
    <w:rsid w:val="004C743E"/>
    <w:rsid w:val="004D3082"/>
    <w:rsid w:val="004D65A8"/>
    <w:rsid w:val="004E2547"/>
    <w:rsid w:val="004E5DE0"/>
    <w:rsid w:val="004F4AE7"/>
    <w:rsid w:val="004F7E79"/>
    <w:rsid w:val="00500E95"/>
    <w:rsid w:val="005036A5"/>
    <w:rsid w:val="00506313"/>
    <w:rsid w:val="00506D3C"/>
    <w:rsid w:val="00506FD1"/>
    <w:rsid w:val="00511562"/>
    <w:rsid w:val="005153F8"/>
    <w:rsid w:val="00531987"/>
    <w:rsid w:val="00532218"/>
    <w:rsid w:val="00533BC4"/>
    <w:rsid w:val="005361C5"/>
    <w:rsid w:val="00540C17"/>
    <w:rsid w:val="00541C61"/>
    <w:rsid w:val="00541E12"/>
    <w:rsid w:val="005452B0"/>
    <w:rsid w:val="00561863"/>
    <w:rsid w:val="00561DCF"/>
    <w:rsid w:val="00565B91"/>
    <w:rsid w:val="00565DA7"/>
    <w:rsid w:val="00573772"/>
    <w:rsid w:val="00576686"/>
    <w:rsid w:val="00577431"/>
    <w:rsid w:val="00582C91"/>
    <w:rsid w:val="00584AAA"/>
    <w:rsid w:val="00586F2E"/>
    <w:rsid w:val="00597A06"/>
    <w:rsid w:val="005A68D8"/>
    <w:rsid w:val="005A6DE3"/>
    <w:rsid w:val="005B1F92"/>
    <w:rsid w:val="005B34FF"/>
    <w:rsid w:val="005C367C"/>
    <w:rsid w:val="005C53B9"/>
    <w:rsid w:val="005D02BC"/>
    <w:rsid w:val="005D19CB"/>
    <w:rsid w:val="005D2CF3"/>
    <w:rsid w:val="005D3CCA"/>
    <w:rsid w:val="005D5E63"/>
    <w:rsid w:val="005E5A15"/>
    <w:rsid w:val="005E6ECA"/>
    <w:rsid w:val="005E785E"/>
    <w:rsid w:val="005F21E7"/>
    <w:rsid w:val="005F3C50"/>
    <w:rsid w:val="005F4EA2"/>
    <w:rsid w:val="005F70B6"/>
    <w:rsid w:val="00600F4E"/>
    <w:rsid w:val="006078BF"/>
    <w:rsid w:val="00610E00"/>
    <w:rsid w:val="00612FC0"/>
    <w:rsid w:val="00614CA1"/>
    <w:rsid w:val="00623744"/>
    <w:rsid w:val="00640CD8"/>
    <w:rsid w:val="00641AD3"/>
    <w:rsid w:val="00642189"/>
    <w:rsid w:val="006432F8"/>
    <w:rsid w:val="00643D4D"/>
    <w:rsid w:val="00645856"/>
    <w:rsid w:val="00646C83"/>
    <w:rsid w:val="00646E4A"/>
    <w:rsid w:val="00647582"/>
    <w:rsid w:val="00647B1E"/>
    <w:rsid w:val="00650061"/>
    <w:rsid w:val="00651795"/>
    <w:rsid w:val="00652A81"/>
    <w:rsid w:val="00654802"/>
    <w:rsid w:val="006552CF"/>
    <w:rsid w:val="006552D0"/>
    <w:rsid w:val="00661F7C"/>
    <w:rsid w:val="00667028"/>
    <w:rsid w:val="00671707"/>
    <w:rsid w:val="00671AD1"/>
    <w:rsid w:val="00676BC3"/>
    <w:rsid w:val="006770FD"/>
    <w:rsid w:val="00684E1C"/>
    <w:rsid w:val="00685A21"/>
    <w:rsid w:val="00686F70"/>
    <w:rsid w:val="006932BF"/>
    <w:rsid w:val="00694707"/>
    <w:rsid w:val="00696D88"/>
    <w:rsid w:val="006A288A"/>
    <w:rsid w:val="006A289B"/>
    <w:rsid w:val="006A2A5F"/>
    <w:rsid w:val="006A37B4"/>
    <w:rsid w:val="006A75FA"/>
    <w:rsid w:val="006B0B1E"/>
    <w:rsid w:val="006B0F35"/>
    <w:rsid w:val="006B2255"/>
    <w:rsid w:val="006B5377"/>
    <w:rsid w:val="006C0177"/>
    <w:rsid w:val="006C183D"/>
    <w:rsid w:val="006C4708"/>
    <w:rsid w:val="006D166E"/>
    <w:rsid w:val="006D7F25"/>
    <w:rsid w:val="006E1E97"/>
    <w:rsid w:val="006E357F"/>
    <w:rsid w:val="006E4714"/>
    <w:rsid w:val="006E68D2"/>
    <w:rsid w:val="006F52F4"/>
    <w:rsid w:val="006F7492"/>
    <w:rsid w:val="00702277"/>
    <w:rsid w:val="00703BCA"/>
    <w:rsid w:val="00707F5C"/>
    <w:rsid w:val="0071365F"/>
    <w:rsid w:val="00716053"/>
    <w:rsid w:val="00720703"/>
    <w:rsid w:val="007232EE"/>
    <w:rsid w:val="007246B2"/>
    <w:rsid w:val="00725DEB"/>
    <w:rsid w:val="00726AAB"/>
    <w:rsid w:val="00736AB4"/>
    <w:rsid w:val="0074080F"/>
    <w:rsid w:val="00740B08"/>
    <w:rsid w:val="00742BC9"/>
    <w:rsid w:val="007431C1"/>
    <w:rsid w:val="00745C63"/>
    <w:rsid w:val="00745C92"/>
    <w:rsid w:val="00745D7D"/>
    <w:rsid w:val="00747317"/>
    <w:rsid w:val="0075014F"/>
    <w:rsid w:val="00751CC9"/>
    <w:rsid w:val="00753728"/>
    <w:rsid w:val="007541E3"/>
    <w:rsid w:val="0075737B"/>
    <w:rsid w:val="00760792"/>
    <w:rsid w:val="00762F40"/>
    <w:rsid w:val="007665E1"/>
    <w:rsid w:val="00774396"/>
    <w:rsid w:val="0077709E"/>
    <w:rsid w:val="00777402"/>
    <w:rsid w:val="0078610A"/>
    <w:rsid w:val="00790271"/>
    <w:rsid w:val="007929C7"/>
    <w:rsid w:val="007951D7"/>
    <w:rsid w:val="00796175"/>
    <w:rsid w:val="007A1590"/>
    <w:rsid w:val="007A395F"/>
    <w:rsid w:val="007A445D"/>
    <w:rsid w:val="007A724E"/>
    <w:rsid w:val="007B1054"/>
    <w:rsid w:val="007B6689"/>
    <w:rsid w:val="007B7A60"/>
    <w:rsid w:val="007C66F9"/>
    <w:rsid w:val="007C7259"/>
    <w:rsid w:val="007E20BB"/>
    <w:rsid w:val="007E5A61"/>
    <w:rsid w:val="007E64A3"/>
    <w:rsid w:val="007F5AC6"/>
    <w:rsid w:val="007F7816"/>
    <w:rsid w:val="0080176C"/>
    <w:rsid w:val="0080229B"/>
    <w:rsid w:val="00802CC3"/>
    <w:rsid w:val="0080765A"/>
    <w:rsid w:val="00807DB9"/>
    <w:rsid w:val="00810ACF"/>
    <w:rsid w:val="008144BF"/>
    <w:rsid w:val="008146BA"/>
    <w:rsid w:val="008148F4"/>
    <w:rsid w:val="0082050B"/>
    <w:rsid w:val="00820D3E"/>
    <w:rsid w:val="00820E28"/>
    <w:rsid w:val="008217FE"/>
    <w:rsid w:val="0082260F"/>
    <w:rsid w:val="00822E83"/>
    <w:rsid w:val="00824757"/>
    <w:rsid w:val="00830806"/>
    <w:rsid w:val="0083082E"/>
    <w:rsid w:val="00834881"/>
    <w:rsid w:val="00836560"/>
    <w:rsid w:val="00836F38"/>
    <w:rsid w:val="008421F1"/>
    <w:rsid w:val="0084556E"/>
    <w:rsid w:val="00846F99"/>
    <w:rsid w:val="0085330D"/>
    <w:rsid w:val="00864DAE"/>
    <w:rsid w:val="008675C5"/>
    <w:rsid w:val="008675E1"/>
    <w:rsid w:val="008701E5"/>
    <w:rsid w:val="00871717"/>
    <w:rsid w:val="0087579C"/>
    <w:rsid w:val="00885673"/>
    <w:rsid w:val="00895F7E"/>
    <w:rsid w:val="008A09DD"/>
    <w:rsid w:val="008A4868"/>
    <w:rsid w:val="008A77B9"/>
    <w:rsid w:val="008A7A55"/>
    <w:rsid w:val="008B0E8A"/>
    <w:rsid w:val="008B41DB"/>
    <w:rsid w:val="008B73A3"/>
    <w:rsid w:val="008B7CEB"/>
    <w:rsid w:val="008C51E6"/>
    <w:rsid w:val="008C7341"/>
    <w:rsid w:val="008D0754"/>
    <w:rsid w:val="008D61FA"/>
    <w:rsid w:val="008D72EE"/>
    <w:rsid w:val="008E0D44"/>
    <w:rsid w:val="008E6604"/>
    <w:rsid w:val="008F5F6A"/>
    <w:rsid w:val="008F6CBF"/>
    <w:rsid w:val="009006C9"/>
    <w:rsid w:val="00901F06"/>
    <w:rsid w:val="00907D03"/>
    <w:rsid w:val="009129A1"/>
    <w:rsid w:val="00914213"/>
    <w:rsid w:val="00914BB4"/>
    <w:rsid w:val="0091654E"/>
    <w:rsid w:val="0092557E"/>
    <w:rsid w:val="00925633"/>
    <w:rsid w:val="00925C20"/>
    <w:rsid w:val="00926E85"/>
    <w:rsid w:val="009306B4"/>
    <w:rsid w:val="009309B8"/>
    <w:rsid w:val="00932A0F"/>
    <w:rsid w:val="00932D3C"/>
    <w:rsid w:val="00935988"/>
    <w:rsid w:val="009363C2"/>
    <w:rsid w:val="00936FE7"/>
    <w:rsid w:val="009371F6"/>
    <w:rsid w:val="009401A7"/>
    <w:rsid w:val="0094623B"/>
    <w:rsid w:val="00946263"/>
    <w:rsid w:val="00950290"/>
    <w:rsid w:val="00950ECA"/>
    <w:rsid w:val="00952A75"/>
    <w:rsid w:val="00954503"/>
    <w:rsid w:val="00956830"/>
    <w:rsid w:val="009573AA"/>
    <w:rsid w:val="00960379"/>
    <w:rsid w:val="009620EC"/>
    <w:rsid w:val="0096290D"/>
    <w:rsid w:val="00964ACB"/>
    <w:rsid w:val="009656FC"/>
    <w:rsid w:val="00976061"/>
    <w:rsid w:val="00976189"/>
    <w:rsid w:val="00976C9A"/>
    <w:rsid w:val="00977C97"/>
    <w:rsid w:val="00981CBC"/>
    <w:rsid w:val="009833A4"/>
    <w:rsid w:val="0098548B"/>
    <w:rsid w:val="00986CD8"/>
    <w:rsid w:val="0099464B"/>
    <w:rsid w:val="0099600D"/>
    <w:rsid w:val="00996209"/>
    <w:rsid w:val="009B07C5"/>
    <w:rsid w:val="009B2D54"/>
    <w:rsid w:val="009B6F62"/>
    <w:rsid w:val="009B754E"/>
    <w:rsid w:val="009C1515"/>
    <w:rsid w:val="009C16BE"/>
    <w:rsid w:val="009C4536"/>
    <w:rsid w:val="009C506E"/>
    <w:rsid w:val="009C6852"/>
    <w:rsid w:val="009D05B8"/>
    <w:rsid w:val="009D7E74"/>
    <w:rsid w:val="009E16F1"/>
    <w:rsid w:val="009E37CF"/>
    <w:rsid w:val="009E38C7"/>
    <w:rsid w:val="009E4F59"/>
    <w:rsid w:val="009E5B52"/>
    <w:rsid w:val="009E788E"/>
    <w:rsid w:val="009E7C0E"/>
    <w:rsid w:val="009E7E90"/>
    <w:rsid w:val="009F0C85"/>
    <w:rsid w:val="009F184C"/>
    <w:rsid w:val="009F286D"/>
    <w:rsid w:val="009F55D5"/>
    <w:rsid w:val="009F64AA"/>
    <w:rsid w:val="009F7744"/>
    <w:rsid w:val="00A00DA4"/>
    <w:rsid w:val="00A01AAE"/>
    <w:rsid w:val="00A024C9"/>
    <w:rsid w:val="00A055BF"/>
    <w:rsid w:val="00A05A0F"/>
    <w:rsid w:val="00A075D6"/>
    <w:rsid w:val="00A14941"/>
    <w:rsid w:val="00A20D08"/>
    <w:rsid w:val="00A20EB0"/>
    <w:rsid w:val="00A21918"/>
    <w:rsid w:val="00A21E8F"/>
    <w:rsid w:val="00A22C74"/>
    <w:rsid w:val="00A24AC5"/>
    <w:rsid w:val="00A252A6"/>
    <w:rsid w:val="00A319A1"/>
    <w:rsid w:val="00A37AC0"/>
    <w:rsid w:val="00A4033F"/>
    <w:rsid w:val="00A43031"/>
    <w:rsid w:val="00A4667F"/>
    <w:rsid w:val="00A5075C"/>
    <w:rsid w:val="00A51347"/>
    <w:rsid w:val="00A54AC1"/>
    <w:rsid w:val="00A55A03"/>
    <w:rsid w:val="00A6610A"/>
    <w:rsid w:val="00A67F14"/>
    <w:rsid w:val="00A71B0C"/>
    <w:rsid w:val="00A7402D"/>
    <w:rsid w:val="00A7623A"/>
    <w:rsid w:val="00A76A7A"/>
    <w:rsid w:val="00A76DF3"/>
    <w:rsid w:val="00A813BF"/>
    <w:rsid w:val="00A8639E"/>
    <w:rsid w:val="00A87FF2"/>
    <w:rsid w:val="00A97A39"/>
    <w:rsid w:val="00AA74FB"/>
    <w:rsid w:val="00AB050E"/>
    <w:rsid w:val="00AB0518"/>
    <w:rsid w:val="00AB06C6"/>
    <w:rsid w:val="00AB6B92"/>
    <w:rsid w:val="00AB6DAC"/>
    <w:rsid w:val="00AB7751"/>
    <w:rsid w:val="00AB78BA"/>
    <w:rsid w:val="00AC154E"/>
    <w:rsid w:val="00AC24EE"/>
    <w:rsid w:val="00AC25D5"/>
    <w:rsid w:val="00AC288B"/>
    <w:rsid w:val="00AC3B04"/>
    <w:rsid w:val="00AD175B"/>
    <w:rsid w:val="00AD1BC9"/>
    <w:rsid w:val="00AD1D0C"/>
    <w:rsid w:val="00AD472E"/>
    <w:rsid w:val="00AD4A7E"/>
    <w:rsid w:val="00AF3689"/>
    <w:rsid w:val="00AF456A"/>
    <w:rsid w:val="00AF625A"/>
    <w:rsid w:val="00AF7AB6"/>
    <w:rsid w:val="00B01257"/>
    <w:rsid w:val="00B04F5B"/>
    <w:rsid w:val="00B05A90"/>
    <w:rsid w:val="00B22590"/>
    <w:rsid w:val="00B22AAF"/>
    <w:rsid w:val="00B22B9B"/>
    <w:rsid w:val="00B25D59"/>
    <w:rsid w:val="00B263B9"/>
    <w:rsid w:val="00B2708A"/>
    <w:rsid w:val="00B27744"/>
    <w:rsid w:val="00B328EF"/>
    <w:rsid w:val="00B338A7"/>
    <w:rsid w:val="00B341AF"/>
    <w:rsid w:val="00B36F88"/>
    <w:rsid w:val="00B37E94"/>
    <w:rsid w:val="00B410DD"/>
    <w:rsid w:val="00B44743"/>
    <w:rsid w:val="00B468E1"/>
    <w:rsid w:val="00B503CC"/>
    <w:rsid w:val="00B56BFF"/>
    <w:rsid w:val="00B570A1"/>
    <w:rsid w:val="00B57D44"/>
    <w:rsid w:val="00B614B5"/>
    <w:rsid w:val="00B65506"/>
    <w:rsid w:val="00B70D3D"/>
    <w:rsid w:val="00B71296"/>
    <w:rsid w:val="00B71E79"/>
    <w:rsid w:val="00B72216"/>
    <w:rsid w:val="00B8440A"/>
    <w:rsid w:val="00B94DBE"/>
    <w:rsid w:val="00BA121D"/>
    <w:rsid w:val="00BA1D1F"/>
    <w:rsid w:val="00BA2A09"/>
    <w:rsid w:val="00BA6C2C"/>
    <w:rsid w:val="00BB29ED"/>
    <w:rsid w:val="00BB3609"/>
    <w:rsid w:val="00BB361D"/>
    <w:rsid w:val="00BB4580"/>
    <w:rsid w:val="00BC30FF"/>
    <w:rsid w:val="00BC6F4D"/>
    <w:rsid w:val="00BC70EF"/>
    <w:rsid w:val="00BC7AE8"/>
    <w:rsid w:val="00BD4A69"/>
    <w:rsid w:val="00BE13D8"/>
    <w:rsid w:val="00BE1745"/>
    <w:rsid w:val="00BE2D31"/>
    <w:rsid w:val="00BE4DAB"/>
    <w:rsid w:val="00BE71F4"/>
    <w:rsid w:val="00BF1184"/>
    <w:rsid w:val="00BF1251"/>
    <w:rsid w:val="00BF231C"/>
    <w:rsid w:val="00BF3587"/>
    <w:rsid w:val="00BF3EA3"/>
    <w:rsid w:val="00BF4806"/>
    <w:rsid w:val="00BF610A"/>
    <w:rsid w:val="00C0308A"/>
    <w:rsid w:val="00C07F5F"/>
    <w:rsid w:val="00C10435"/>
    <w:rsid w:val="00C108B5"/>
    <w:rsid w:val="00C11796"/>
    <w:rsid w:val="00C11A3A"/>
    <w:rsid w:val="00C12E5B"/>
    <w:rsid w:val="00C15922"/>
    <w:rsid w:val="00C179B2"/>
    <w:rsid w:val="00C2034F"/>
    <w:rsid w:val="00C23486"/>
    <w:rsid w:val="00C2456A"/>
    <w:rsid w:val="00C31C5C"/>
    <w:rsid w:val="00C333CB"/>
    <w:rsid w:val="00C34625"/>
    <w:rsid w:val="00C42AD9"/>
    <w:rsid w:val="00C4519C"/>
    <w:rsid w:val="00C46738"/>
    <w:rsid w:val="00C54052"/>
    <w:rsid w:val="00C5440F"/>
    <w:rsid w:val="00C55F18"/>
    <w:rsid w:val="00C577D2"/>
    <w:rsid w:val="00C60E63"/>
    <w:rsid w:val="00C6105F"/>
    <w:rsid w:val="00C610DE"/>
    <w:rsid w:val="00C61C94"/>
    <w:rsid w:val="00C6314F"/>
    <w:rsid w:val="00C65B5F"/>
    <w:rsid w:val="00C70F3F"/>
    <w:rsid w:val="00C715D7"/>
    <w:rsid w:val="00C71CA5"/>
    <w:rsid w:val="00C75C70"/>
    <w:rsid w:val="00C774A0"/>
    <w:rsid w:val="00C80C05"/>
    <w:rsid w:val="00C84E82"/>
    <w:rsid w:val="00C93D54"/>
    <w:rsid w:val="00C9509F"/>
    <w:rsid w:val="00C95DDA"/>
    <w:rsid w:val="00CA0552"/>
    <w:rsid w:val="00CA4A7C"/>
    <w:rsid w:val="00CB095B"/>
    <w:rsid w:val="00CB3566"/>
    <w:rsid w:val="00CB3643"/>
    <w:rsid w:val="00CB4ABC"/>
    <w:rsid w:val="00CB60AD"/>
    <w:rsid w:val="00CB6670"/>
    <w:rsid w:val="00CB76B5"/>
    <w:rsid w:val="00CC71BB"/>
    <w:rsid w:val="00CD1390"/>
    <w:rsid w:val="00CF1274"/>
    <w:rsid w:val="00CF1486"/>
    <w:rsid w:val="00CF3DCB"/>
    <w:rsid w:val="00CF7B51"/>
    <w:rsid w:val="00D0023D"/>
    <w:rsid w:val="00D023E3"/>
    <w:rsid w:val="00D028A0"/>
    <w:rsid w:val="00D02967"/>
    <w:rsid w:val="00D04964"/>
    <w:rsid w:val="00D06429"/>
    <w:rsid w:val="00D07581"/>
    <w:rsid w:val="00D13A1D"/>
    <w:rsid w:val="00D14952"/>
    <w:rsid w:val="00D205ED"/>
    <w:rsid w:val="00D22A8E"/>
    <w:rsid w:val="00D244B3"/>
    <w:rsid w:val="00D24C36"/>
    <w:rsid w:val="00D2652B"/>
    <w:rsid w:val="00D27E3F"/>
    <w:rsid w:val="00D40893"/>
    <w:rsid w:val="00D42267"/>
    <w:rsid w:val="00D4680B"/>
    <w:rsid w:val="00D47EF2"/>
    <w:rsid w:val="00D508E1"/>
    <w:rsid w:val="00D55337"/>
    <w:rsid w:val="00D6076D"/>
    <w:rsid w:val="00D6342D"/>
    <w:rsid w:val="00D678A2"/>
    <w:rsid w:val="00D71506"/>
    <w:rsid w:val="00D730C4"/>
    <w:rsid w:val="00D7508D"/>
    <w:rsid w:val="00D80994"/>
    <w:rsid w:val="00D84C67"/>
    <w:rsid w:val="00D86394"/>
    <w:rsid w:val="00D864F8"/>
    <w:rsid w:val="00D944EB"/>
    <w:rsid w:val="00D94CF1"/>
    <w:rsid w:val="00DA1C7A"/>
    <w:rsid w:val="00DA5F7F"/>
    <w:rsid w:val="00DA604A"/>
    <w:rsid w:val="00DB158D"/>
    <w:rsid w:val="00DB2184"/>
    <w:rsid w:val="00DB2E66"/>
    <w:rsid w:val="00DB31F7"/>
    <w:rsid w:val="00DC2D85"/>
    <w:rsid w:val="00DC5485"/>
    <w:rsid w:val="00DD2184"/>
    <w:rsid w:val="00DD4EEB"/>
    <w:rsid w:val="00DD502B"/>
    <w:rsid w:val="00DD5A5B"/>
    <w:rsid w:val="00DD7F98"/>
    <w:rsid w:val="00DE1CCF"/>
    <w:rsid w:val="00DE2DA8"/>
    <w:rsid w:val="00DE7133"/>
    <w:rsid w:val="00DE7302"/>
    <w:rsid w:val="00DE76ED"/>
    <w:rsid w:val="00DE775E"/>
    <w:rsid w:val="00DE7A15"/>
    <w:rsid w:val="00DE7E18"/>
    <w:rsid w:val="00DF0BEA"/>
    <w:rsid w:val="00DF2418"/>
    <w:rsid w:val="00DF24A9"/>
    <w:rsid w:val="00DF7082"/>
    <w:rsid w:val="00E10C15"/>
    <w:rsid w:val="00E16E77"/>
    <w:rsid w:val="00E24E8F"/>
    <w:rsid w:val="00E272F0"/>
    <w:rsid w:val="00E27B0D"/>
    <w:rsid w:val="00E3160E"/>
    <w:rsid w:val="00E35C04"/>
    <w:rsid w:val="00E424D1"/>
    <w:rsid w:val="00E4442F"/>
    <w:rsid w:val="00E4534F"/>
    <w:rsid w:val="00E532C6"/>
    <w:rsid w:val="00E53F9C"/>
    <w:rsid w:val="00E56396"/>
    <w:rsid w:val="00E56BB5"/>
    <w:rsid w:val="00E60FE4"/>
    <w:rsid w:val="00E719A9"/>
    <w:rsid w:val="00E73717"/>
    <w:rsid w:val="00E73BC3"/>
    <w:rsid w:val="00E74315"/>
    <w:rsid w:val="00E77196"/>
    <w:rsid w:val="00E77EAD"/>
    <w:rsid w:val="00E80300"/>
    <w:rsid w:val="00E81B51"/>
    <w:rsid w:val="00E82444"/>
    <w:rsid w:val="00E87BBC"/>
    <w:rsid w:val="00E936DA"/>
    <w:rsid w:val="00E97420"/>
    <w:rsid w:val="00EA063C"/>
    <w:rsid w:val="00EA47DA"/>
    <w:rsid w:val="00EA51FC"/>
    <w:rsid w:val="00EA772D"/>
    <w:rsid w:val="00EC52C5"/>
    <w:rsid w:val="00EC6977"/>
    <w:rsid w:val="00EC70CC"/>
    <w:rsid w:val="00ED134E"/>
    <w:rsid w:val="00ED52FB"/>
    <w:rsid w:val="00ED77AA"/>
    <w:rsid w:val="00EE07AF"/>
    <w:rsid w:val="00EE0929"/>
    <w:rsid w:val="00EE3214"/>
    <w:rsid w:val="00EE4846"/>
    <w:rsid w:val="00EF13B3"/>
    <w:rsid w:val="00EF6EC3"/>
    <w:rsid w:val="00F064CF"/>
    <w:rsid w:val="00F1321D"/>
    <w:rsid w:val="00F1402D"/>
    <w:rsid w:val="00F15C24"/>
    <w:rsid w:val="00F15C85"/>
    <w:rsid w:val="00F27228"/>
    <w:rsid w:val="00F34EE5"/>
    <w:rsid w:val="00F35913"/>
    <w:rsid w:val="00F36CD1"/>
    <w:rsid w:val="00F40FFC"/>
    <w:rsid w:val="00F419D8"/>
    <w:rsid w:val="00F446B8"/>
    <w:rsid w:val="00F45AFD"/>
    <w:rsid w:val="00F47F2E"/>
    <w:rsid w:val="00F51E5A"/>
    <w:rsid w:val="00F530F5"/>
    <w:rsid w:val="00F569E0"/>
    <w:rsid w:val="00F62294"/>
    <w:rsid w:val="00F64A95"/>
    <w:rsid w:val="00F713A0"/>
    <w:rsid w:val="00F72314"/>
    <w:rsid w:val="00F7415E"/>
    <w:rsid w:val="00F7637F"/>
    <w:rsid w:val="00F7689B"/>
    <w:rsid w:val="00F813ED"/>
    <w:rsid w:val="00F81452"/>
    <w:rsid w:val="00F87B67"/>
    <w:rsid w:val="00F916CB"/>
    <w:rsid w:val="00F91F52"/>
    <w:rsid w:val="00F92C17"/>
    <w:rsid w:val="00F947FD"/>
    <w:rsid w:val="00FA42B5"/>
    <w:rsid w:val="00FA4547"/>
    <w:rsid w:val="00FA5205"/>
    <w:rsid w:val="00FB3CF9"/>
    <w:rsid w:val="00FB4D80"/>
    <w:rsid w:val="00FB7B16"/>
    <w:rsid w:val="00FC0C53"/>
    <w:rsid w:val="00FC1199"/>
    <w:rsid w:val="00FC1BAF"/>
    <w:rsid w:val="00FC24A8"/>
    <w:rsid w:val="00FD1EC1"/>
    <w:rsid w:val="00FD2B37"/>
    <w:rsid w:val="00FD5B56"/>
    <w:rsid w:val="00FD7FC0"/>
    <w:rsid w:val="00FE3811"/>
    <w:rsid w:val="00FE70A8"/>
    <w:rsid w:val="00FF026D"/>
    <w:rsid w:val="00FF46E3"/>
    <w:rsid w:val="00FF7804"/>
  </w:rsids>
  <m:mathPr>
    <m:mathFont m:val="Cambria Math"/>
    <m:brkBin m:val="before"/>
    <m:brkBinSub m:val="--"/>
    <m:smallFrac m:val="off"/>
    <m:dispDef/>
    <m:lMargin m:val="0"/>
    <m:rMargin m:val="0"/>
    <m:defJc m:val="centerGroup"/>
    <m:wrapIndent m:val="1440"/>
    <m:intLim m:val="subSup"/>
    <m:naryLim m:val="undOvr"/>
  </m:mathPr>
  <w:attachedSchema w:val="http://style-guard.com/StyleGuard.xsd"/>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uiPriority="36"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65A8"/>
    <w:pPr>
      <w:spacing w:after="0"/>
    </w:pPr>
    <w:rPr>
      <w:rFonts w:cstheme="majorHAnsi"/>
    </w:rPr>
  </w:style>
  <w:style w:type="paragraph" w:styleId="Heading1">
    <w:name w:val="heading 1"/>
    <w:basedOn w:val="Normal"/>
    <w:next w:val="Normal"/>
    <w:qFormat/>
    <w:rsid w:val="00960379"/>
    <w:pPr>
      <w:keepNext/>
      <w:keepLines/>
      <w:spacing w:before="480"/>
      <w:outlineLvl w:val="0"/>
    </w:pPr>
    <w:rPr>
      <w:rFonts w:asciiTheme="majorHAnsi" w:eastAsiaTheme="majorEastAsia" w:hAnsiTheme="majorHAnsi" w:cstheme="majorBidi"/>
      <w:b/>
      <w:smallCaps/>
      <w:color w:val="2B8F91"/>
      <w:sz w:val="40"/>
      <w:szCs w:val="32"/>
    </w:rPr>
  </w:style>
  <w:style w:type="paragraph" w:styleId="Heading2">
    <w:name w:val="heading 2"/>
    <w:basedOn w:val="Normal"/>
    <w:next w:val="Normal"/>
    <w:unhideWhenUsed/>
    <w:qFormat/>
    <w:rsid w:val="009C16BE"/>
    <w:pPr>
      <w:keepNext/>
      <w:keepLines/>
      <w:spacing w:before="240"/>
      <w:outlineLvl w:val="1"/>
    </w:pPr>
    <w:rPr>
      <w:rFonts w:asciiTheme="majorHAnsi" w:eastAsiaTheme="majorEastAsia" w:hAnsiTheme="majorHAnsi" w:cstheme="majorBidi"/>
      <w:color w:val="2B8F91"/>
      <w:sz w:val="28"/>
      <w:szCs w:val="26"/>
    </w:rPr>
  </w:style>
  <w:style w:type="paragraph" w:styleId="Heading3">
    <w:name w:val="heading 3"/>
    <w:basedOn w:val="Normal"/>
    <w:next w:val="Normal"/>
    <w:unhideWhenUsed/>
    <w:rsid w:val="009620EC"/>
    <w:pPr>
      <w:keepNext/>
      <w:keepLines/>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unhideWhenUsed/>
    <w:rsid w:val="009620EC"/>
    <w:pPr>
      <w:keepNext/>
      <w:keepLines/>
      <w:spacing w:before="600" w:after="600"/>
      <w:jc w:val="right"/>
      <w:outlineLvl w:val="3"/>
    </w:pPr>
    <w:rPr>
      <w:rFonts w:asciiTheme="majorHAnsi" w:eastAsiaTheme="majorEastAsia" w:hAnsiTheme="majorHAnsi" w:cstheme="majorBidi"/>
      <w:color w:val="2E74B5" w:themeColor="accent1" w:themeShade="BF"/>
      <w:sz w:val="40"/>
      <w:szCs w:val="40"/>
    </w:rPr>
  </w:style>
  <w:style w:type="paragraph" w:styleId="Heading5">
    <w:name w:val="heading 5"/>
    <w:basedOn w:val="Normal"/>
    <w:next w:val="Normal"/>
    <w:link w:val="Heading5Char"/>
    <w:uiPriority w:val="9"/>
    <w:semiHidden/>
    <w:unhideWhenUsed/>
    <w:rsid w:val="009620EC"/>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go">
    <w:name w:val="Logo"/>
    <w:basedOn w:val="Normal"/>
    <w:next w:val="Normal"/>
    <w:qFormat/>
    <w:rsid w:val="009620EC"/>
    <w:pPr>
      <w:jc w:val="right"/>
    </w:pPr>
    <w:rPr>
      <w:noProof/>
    </w:rPr>
  </w:style>
  <w:style w:type="table" w:styleId="TableGrid">
    <w:name w:val="Table Grid"/>
    <w:basedOn w:val="TableNormal"/>
    <w:uiPriority w:val="99"/>
    <w:rsid w:val="009620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1">
    <w:name w:val="Grid Table 1 Light - Accent 11"/>
    <w:basedOn w:val="TableNormal"/>
    <w:uiPriority w:val="46"/>
    <w:rsid w:val="009620EC"/>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9620EC"/>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hecklist">
    <w:name w:val="Checklist"/>
    <w:basedOn w:val="Normal"/>
    <w:next w:val="Normal"/>
    <w:qFormat/>
    <w:rsid w:val="009620EC"/>
    <w:pPr>
      <w:ind w:left="432" w:hanging="360"/>
    </w:pPr>
  </w:style>
  <w:style w:type="paragraph" w:styleId="Footer">
    <w:name w:val="footer"/>
    <w:basedOn w:val="Normal"/>
    <w:link w:val="FooterChar"/>
    <w:uiPriority w:val="99"/>
    <w:unhideWhenUsed/>
    <w:rsid w:val="009620EC"/>
    <w:pPr>
      <w:tabs>
        <w:tab w:val="center" w:pos="4680"/>
        <w:tab w:val="right" w:pos="9360"/>
      </w:tabs>
    </w:pPr>
  </w:style>
  <w:style w:type="character" w:customStyle="1" w:styleId="FooterChar">
    <w:name w:val="Footer Char"/>
    <w:basedOn w:val="DefaultParagraphFont"/>
    <w:link w:val="Footer"/>
    <w:uiPriority w:val="99"/>
    <w:rsid w:val="009620EC"/>
    <w:rPr>
      <w:sz w:val="20"/>
      <w:szCs w:val="20"/>
    </w:rPr>
  </w:style>
  <w:style w:type="character" w:styleId="PlaceholderText">
    <w:name w:val="Placeholder Text"/>
    <w:basedOn w:val="DefaultParagraphFont"/>
    <w:uiPriority w:val="99"/>
    <w:semiHidden/>
    <w:rsid w:val="009620EC"/>
    <w:rPr>
      <w:color w:val="808080"/>
    </w:rPr>
  </w:style>
  <w:style w:type="paragraph" w:styleId="Subtitle">
    <w:name w:val="Subtitle"/>
    <w:basedOn w:val="Normal"/>
    <w:next w:val="Normal"/>
    <w:qFormat/>
    <w:rsid w:val="009620EC"/>
    <w:pPr>
      <w:numPr>
        <w:ilvl w:val="1"/>
      </w:numPr>
      <w:spacing w:after="160"/>
      <w:ind w:left="72"/>
      <w:jc w:val="right"/>
    </w:pPr>
    <w:rPr>
      <w:caps/>
      <w:color w:val="7F7F7F" w:themeColor="text1" w:themeTint="80"/>
      <w:sz w:val="28"/>
      <w:szCs w:val="28"/>
    </w:rPr>
  </w:style>
  <w:style w:type="paragraph" w:styleId="Title">
    <w:name w:val="Title"/>
    <w:aliases w:val="Alpha List"/>
    <w:basedOn w:val="Normal"/>
    <w:next w:val="Normal"/>
    <w:autoRedefine/>
    <w:qFormat/>
    <w:rsid w:val="007246B2"/>
    <w:pPr>
      <w:spacing w:before="600" w:after="600"/>
      <w:ind w:left="720"/>
      <w:contextualSpacing/>
      <w:jc w:val="right"/>
    </w:pPr>
    <w:rPr>
      <w:rFonts w:ascii="Imprint MT Shadow" w:eastAsiaTheme="majorEastAsia" w:hAnsi="Imprint MT Shadow" w:cstheme="majorBidi"/>
      <w:b/>
      <w:caps/>
      <w:color w:val="767171" w:themeColor="background2" w:themeShade="80"/>
      <w:spacing w:val="-10"/>
      <w:kern w:val="28"/>
      <w:sz w:val="56"/>
      <w:szCs w:val="60"/>
    </w:rPr>
  </w:style>
  <w:style w:type="character" w:customStyle="1" w:styleId="Checkbox">
    <w:name w:val="Checkbox"/>
    <w:basedOn w:val="DefaultParagraphFont"/>
    <w:qFormat/>
    <w:rsid w:val="009620EC"/>
    <w:rPr>
      <w:rFonts w:cs="Segoe UI Symbol"/>
      <w:sz w:val="24"/>
      <w:szCs w:val="24"/>
    </w:rPr>
  </w:style>
  <w:style w:type="character" w:customStyle="1" w:styleId="Heading5Char">
    <w:name w:val="Heading 5 Char"/>
    <w:basedOn w:val="DefaultParagraphFont"/>
    <w:link w:val="Heading5"/>
    <w:uiPriority w:val="9"/>
    <w:semiHidden/>
    <w:rsid w:val="009620EC"/>
    <w:rPr>
      <w:rFonts w:asciiTheme="majorHAnsi" w:eastAsiaTheme="majorEastAsia" w:hAnsiTheme="majorHAnsi" w:cstheme="majorBidi"/>
      <w:color w:val="2E74B5" w:themeColor="accent1" w:themeShade="BF"/>
      <w:sz w:val="20"/>
      <w:szCs w:val="20"/>
    </w:rPr>
  </w:style>
  <w:style w:type="paragraph" w:styleId="ListParagraph">
    <w:name w:val="List Paragraph"/>
    <w:basedOn w:val="Normal"/>
    <w:link w:val="ListParagraphChar"/>
    <w:uiPriority w:val="34"/>
    <w:unhideWhenUsed/>
    <w:qFormat/>
    <w:rsid w:val="00382B32"/>
    <w:pPr>
      <w:ind w:left="720"/>
      <w:contextualSpacing/>
    </w:pPr>
  </w:style>
  <w:style w:type="paragraph" w:styleId="NormalWeb">
    <w:name w:val="Normal (Web)"/>
    <w:basedOn w:val="Normal"/>
    <w:uiPriority w:val="99"/>
    <w:unhideWhenUsed/>
    <w:rsid w:val="00173D5E"/>
    <w:pPr>
      <w:spacing w:before="100" w:beforeAutospacing="1" w:after="100" w:afterAutospacing="1"/>
    </w:pPr>
    <w:rPr>
      <w:rFonts w:ascii="Times New Roman" w:eastAsia="Times New Roman" w:hAnsi="Times New Roman" w:cs="Times New Roman"/>
      <w:sz w:val="24"/>
      <w:szCs w:val="24"/>
      <w:lang w:eastAsia="en-US"/>
    </w:rPr>
  </w:style>
  <w:style w:type="character" w:styleId="Hyperlink">
    <w:name w:val="Hyperlink"/>
    <w:basedOn w:val="DefaultParagraphFont"/>
    <w:uiPriority w:val="99"/>
    <w:unhideWhenUsed/>
    <w:rsid w:val="00DE7302"/>
    <w:rPr>
      <w:color w:val="0563C1" w:themeColor="hyperlink"/>
      <w:u w:val="single"/>
    </w:rPr>
  </w:style>
  <w:style w:type="paragraph" w:styleId="BalloonText">
    <w:name w:val="Balloon Text"/>
    <w:basedOn w:val="Normal"/>
    <w:link w:val="BalloonTextChar"/>
    <w:uiPriority w:val="99"/>
    <w:semiHidden/>
    <w:unhideWhenUsed/>
    <w:rsid w:val="00532218"/>
    <w:rPr>
      <w:rFonts w:ascii="Tahoma" w:hAnsi="Tahoma" w:cs="Tahoma"/>
      <w:sz w:val="16"/>
      <w:szCs w:val="16"/>
    </w:rPr>
  </w:style>
  <w:style w:type="character" w:customStyle="1" w:styleId="BalloonTextChar">
    <w:name w:val="Balloon Text Char"/>
    <w:basedOn w:val="DefaultParagraphFont"/>
    <w:link w:val="BalloonText"/>
    <w:uiPriority w:val="99"/>
    <w:semiHidden/>
    <w:rsid w:val="00532218"/>
    <w:rPr>
      <w:rFonts w:ascii="Tahoma" w:hAnsi="Tahoma" w:cs="Tahoma"/>
      <w:sz w:val="16"/>
      <w:szCs w:val="16"/>
    </w:rPr>
  </w:style>
  <w:style w:type="paragraph" w:styleId="Header">
    <w:name w:val="header"/>
    <w:basedOn w:val="Normal"/>
    <w:link w:val="HeaderChar"/>
    <w:uiPriority w:val="99"/>
    <w:semiHidden/>
    <w:unhideWhenUsed/>
    <w:rsid w:val="00BC7AE8"/>
    <w:pPr>
      <w:tabs>
        <w:tab w:val="center" w:pos="4680"/>
        <w:tab w:val="right" w:pos="9360"/>
      </w:tabs>
    </w:pPr>
  </w:style>
  <w:style w:type="character" w:customStyle="1" w:styleId="HeaderChar">
    <w:name w:val="Header Char"/>
    <w:basedOn w:val="DefaultParagraphFont"/>
    <w:link w:val="Header"/>
    <w:uiPriority w:val="99"/>
    <w:semiHidden/>
    <w:rsid w:val="00BC7AE8"/>
    <w:rPr>
      <w:sz w:val="20"/>
      <w:szCs w:val="20"/>
    </w:rPr>
  </w:style>
  <w:style w:type="paragraph" w:styleId="TOCHeading">
    <w:name w:val="TOC Heading"/>
    <w:basedOn w:val="Heading1"/>
    <w:next w:val="Normal"/>
    <w:uiPriority w:val="39"/>
    <w:unhideWhenUsed/>
    <w:qFormat/>
    <w:rsid w:val="00200D2E"/>
    <w:pPr>
      <w:outlineLvl w:val="9"/>
    </w:pPr>
    <w:rPr>
      <w:bCs/>
      <w:smallCaps w:val="0"/>
      <w:color w:val="2E74B5" w:themeColor="accent1" w:themeShade="BF"/>
      <w:sz w:val="28"/>
      <w:szCs w:val="28"/>
      <w:lang w:eastAsia="en-US"/>
    </w:rPr>
  </w:style>
  <w:style w:type="paragraph" w:styleId="TOC1">
    <w:name w:val="toc 1"/>
    <w:basedOn w:val="Normal"/>
    <w:next w:val="Normal"/>
    <w:autoRedefine/>
    <w:uiPriority w:val="39"/>
    <w:unhideWhenUsed/>
    <w:rsid w:val="00B56BFF"/>
    <w:pPr>
      <w:tabs>
        <w:tab w:val="right" w:pos="10070"/>
      </w:tabs>
      <w:spacing w:after="100"/>
    </w:pPr>
  </w:style>
  <w:style w:type="paragraph" w:styleId="TOC2">
    <w:name w:val="toc 2"/>
    <w:basedOn w:val="Normal"/>
    <w:next w:val="Normal"/>
    <w:autoRedefine/>
    <w:uiPriority w:val="39"/>
    <w:unhideWhenUsed/>
    <w:rsid w:val="00B56BFF"/>
    <w:pPr>
      <w:tabs>
        <w:tab w:val="right" w:pos="10080"/>
      </w:tabs>
      <w:spacing w:after="100"/>
      <w:ind w:left="200"/>
    </w:pPr>
  </w:style>
  <w:style w:type="character" w:styleId="SubtleEmphasis">
    <w:name w:val="Subtle Emphasis"/>
    <w:basedOn w:val="DefaultParagraphFont"/>
    <w:uiPriority w:val="19"/>
    <w:qFormat/>
    <w:rsid w:val="00C95DDA"/>
    <w:rPr>
      <w:rFonts w:asciiTheme="minorHAnsi" w:hAnsiTheme="minorHAnsi"/>
      <w:i/>
      <w:iCs/>
      <w:dstrike w:val="0"/>
      <w:color w:val="767171" w:themeColor="background2" w:themeShade="80"/>
      <w:sz w:val="22"/>
      <w:vertAlign w:val="baseline"/>
    </w:rPr>
  </w:style>
  <w:style w:type="paragraph" w:styleId="TOC3">
    <w:name w:val="toc 3"/>
    <w:basedOn w:val="Normal"/>
    <w:next w:val="Normal"/>
    <w:autoRedefine/>
    <w:uiPriority w:val="39"/>
    <w:unhideWhenUsed/>
    <w:rsid w:val="000E79A0"/>
    <w:pPr>
      <w:spacing w:after="100"/>
      <w:ind w:left="520"/>
    </w:pPr>
  </w:style>
  <w:style w:type="paragraph" w:styleId="TOC4">
    <w:name w:val="toc 4"/>
    <w:basedOn w:val="Normal"/>
    <w:next w:val="Normal"/>
    <w:autoRedefine/>
    <w:uiPriority w:val="39"/>
    <w:unhideWhenUsed/>
    <w:rsid w:val="000E79A0"/>
    <w:pPr>
      <w:spacing w:after="100"/>
      <w:ind w:left="660"/>
    </w:pPr>
    <w:rPr>
      <w:lang w:eastAsia="en-US"/>
    </w:rPr>
  </w:style>
  <w:style w:type="paragraph" w:styleId="TOC5">
    <w:name w:val="toc 5"/>
    <w:basedOn w:val="Normal"/>
    <w:next w:val="Normal"/>
    <w:autoRedefine/>
    <w:uiPriority w:val="39"/>
    <w:unhideWhenUsed/>
    <w:rsid w:val="000E79A0"/>
    <w:pPr>
      <w:spacing w:after="100"/>
      <w:ind w:left="880"/>
    </w:pPr>
    <w:rPr>
      <w:lang w:eastAsia="en-US"/>
    </w:rPr>
  </w:style>
  <w:style w:type="paragraph" w:styleId="TOC6">
    <w:name w:val="toc 6"/>
    <w:basedOn w:val="Normal"/>
    <w:next w:val="Normal"/>
    <w:autoRedefine/>
    <w:uiPriority w:val="39"/>
    <w:unhideWhenUsed/>
    <w:rsid w:val="000E79A0"/>
    <w:pPr>
      <w:spacing w:after="100"/>
      <w:ind w:left="1100"/>
    </w:pPr>
    <w:rPr>
      <w:lang w:eastAsia="en-US"/>
    </w:rPr>
  </w:style>
  <w:style w:type="paragraph" w:styleId="TOC7">
    <w:name w:val="toc 7"/>
    <w:basedOn w:val="Normal"/>
    <w:next w:val="Normal"/>
    <w:autoRedefine/>
    <w:uiPriority w:val="39"/>
    <w:unhideWhenUsed/>
    <w:rsid w:val="000E79A0"/>
    <w:pPr>
      <w:spacing w:after="100"/>
      <w:ind w:left="1320"/>
    </w:pPr>
    <w:rPr>
      <w:lang w:eastAsia="en-US"/>
    </w:rPr>
  </w:style>
  <w:style w:type="paragraph" w:styleId="TOC8">
    <w:name w:val="toc 8"/>
    <w:basedOn w:val="Normal"/>
    <w:next w:val="Normal"/>
    <w:autoRedefine/>
    <w:uiPriority w:val="39"/>
    <w:unhideWhenUsed/>
    <w:rsid w:val="000E79A0"/>
    <w:pPr>
      <w:spacing w:after="100"/>
      <w:ind w:left="1540"/>
    </w:pPr>
    <w:rPr>
      <w:lang w:eastAsia="en-US"/>
    </w:rPr>
  </w:style>
  <w:style w:type="paragraph" w:styleId="TOC9">
    <w:name w:val="toc 9"/>
    <w:basedOn w:val="Normal"/>
    <w:next w:val="Normal"/>
    <w:autoRedefine/>
    <w:uiPriority w:val="39"/>
    <w:unhideWhenUsed/>
    <w:rsid w:val="000E79A0"/>
    <w:pPr>
      <w:spacing w:after="100"/>
      <w:ind w:left="1760"/>
    </w:pPr>
    <w:rPr>
      <w:lang w:eastAsia="en-US"/>
    </w:rPr>
  </w:style>
  <w:style w:type="character" w:styleId="Emphasis">
    <w:name w:val="Emphasis"/>
    <w:basedOn w:val="DefaultParagraphFont"/>
    <w:uiPriority w:val="20"/>
    <w:qFormat/>
    <w:rsid w:val="00154299"/>
    <w:rPr>
      <w:i/>
      <w:iCs/>
    </w:rPr>
  </w:style>
  <w:style w:type="paragraph" w:customStyle="1" w:styleId="Default">
    <w:name w:val="Default"/>
    <w:rsid w:val="00CB6670"/>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FootnoteText">
    <w:name w:val="footnote text"/>
    <w:basedOn w:val="Normal"/>
    <w:link w:val="FootnoteTextChar"/>
    <w:uiPriority w:val="99"/>
    <w:unhideWhenUsed/>
    <w:rsid w:val="00CB6670"/>
    <w:rPr>
      <w:rFonts w:eastAsiaTheme="minorHAnsi"/>
      <w:sz w:val="20"/>
      <w:lang w:eastAsia="en-US"/>
    </w:rPr>
  </w:style>
  <w:style w:type="character" w:customStyle="1" w:styleId="FootnoteTextChar">
    <w:name w:val="Footnote Text Char"/>
    <w:basedOn w:val="DefaultParagraphFont"/>
    <w:link w:val="FootnoteText"/>
    <w:uiPriority w:val="99"/>
    <w:rsid w:val="00CB6670"/>
    <w:rPr>
      <w:rFonts w:eastAsiaTheme="minorHAnsi"/>
      <w:sz w:val="20"/>
      <w:szCs w:val="20"/>
      <w:lang w:eastAsia="en-US"/>
    </w:rPr>
  </w:style>
  <w:style w:type="character" w:styleId="FootnoteReference">
    <w:name w:val="footnote reference"/>
    <w:basedOn w:val="DefaultParagraphFont"/>
    <w:uiPriority w:val="99"/>
    <w:semiHidden/>
    <w:unhideWhenUsed/>
    <w:rsid w:val="00CB6670"/>
    <w:rPr>
      <w:vertAlign w:val="superscript"/>
    </w:rPr>
  </w:style>
  <w:style w:type="character" w:styleId="CommentReference">
    <w:name w:val="annotation reference"/>
    <w:basedOn w:val="DefaultParagraphFont"/>
    <w:uiPriority w:val="99"/>
    <w:semiHidden/>
    <w:unhideWhenUsed/>
    <w:rsid w:val="0080176C"/>
    <w:rPr>
      <w:sz w:val="16"/>
      <w:szCs w:val="16"/>
    </w:rPr>
  </w:style>
  <w:style w:type="paragraph" w:styleId="CommentText">
    <w:name w:val="annotation text"/>
    <w:basedOn w:val="Normal"/>
    <w:link w:val="CommentTextChar"/>
    <w:uiPriority w:val="99"/>
    <w:unhideWhenUsed/>
    <w:rsid w:val="0080176C"/>
    <w:rPr>
      <w:sz w:val="20"/>
    </w:rPr>
  </w:style>
  <w:style w:type="character" w:customStyle="1" w:styleId="CommentTextChar">
    <w:name w:val="Comment Text Char"/>
    <w:basedOn w:val="DefaultParagraphFont"/>
    <w:link w:val="CommentText"/>
    <w:uiPriority w:val="99"/>
    <w:rsid w:val="0080176C"/>
    <w:rPr>
      <w:color w:val="1F3864" w:themeColor="accent5" w:themeShade="80"/>
      <w:sz w:val="20"/>
      <w:szCs w:val="20"/>
    </w:rPr>
  </w:style>
  <w:style w:type="paragraph" w:styleId="CommentSubject">
    <w:name w:val="annotation subject"/>
    <w:basedOn w:val="CommentText"/>
    <w:next w:val="CommentText"/>
    <w:link w:val="CommentSubjectChar"/>
    <w:uiPriority w:val="99"/>
    <w:semiHidden/>
    <w:unhideWhenUsed/>
    <w:rsid w:val="0080176C"/>
    <w:rPr>
      <w:b/>
      <w:bCs/>
    </w:rPr>
  </w:style>
  <w:style w:type="character" w:customStyle="1" w:styleId="CommentSubjectChar">
    <w:name w:val="Comment Subject Char"/>
    <w:basedOn w:val="CommentTextChar"/>
    <w:link w:val="CommentSubject"/>
    <w:uiPriority w:val="99"/>
    <w:semiHidden/>
    <w:rsid w:val="0080176C"/>
    <w:rPr>
      <w:b/>
      <w:bCs/>
    </w:rPr>
  </w:style>
  <w:style w:type="paragraph" w:styleId="Caption">
    <w:name w:val="caption"/>
    <w:basedOn w:val="Normal"/>
    <w:next w:val="Normal"/>
    <w:uiPriority w:val="99"/>
    <w:qFormat/>
    <w:rsid w:val="002039E2"/>
    <w:pPr>
      <w:jc w:val="center"/>
    </w:pPr>
    <w:rPr>
      <w:rFonts w:ascii="Times New Roman" w:eastAsia="Times New Roman" w:hAnsi="Times New Roman" w:cs="Times New Roman"/>
      <w:b/>
      <w:szCs w:val="24"/>
      <w:lang w:eastAsia="en-US"/>
    </w:rPr>
  </w:style>
  <w:style w:type="table" w:styleId="LightGrid-Accent6">
    <w:name w:val="Light Grid Accent 6"/>
    <w:basedOn w:val="TableNormal"/>
    <w:uiPriority w:val="62"/>
    <w:rsid w:val="002039E2"/>
    <w:pPr>
      <w:spacing w:after="0" w:line="240" w:lineRule="auto"/>
    </w:pPr>
    <w:rPr>
      <w:rFonts w:ascii="Calibri" w:eastAsia="Calibri" w:hAnsi="Calibri" w:cs="Times New Roman"/>
      <w:sz w:val="20"/>
      <w:szCs w:val="20"/>
      <w:lang w:eastAsia="en-US"/>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Accent3">
    <w:name w:val="Light List Accent 3"/>
    <w:basedOn w:val="TableNormal"/>
    <w:uiPriority w:val="61"/>
    <w:rsid w:val="007C66F9"/>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TABLE">
    <w:name w:val="TABLE"/>
    <w:basedOn w:val="Normal"/>
    <w:link w:val="TABLEChar"/>
    <w:qFormat/>
    <w:rsid w:val="001073A4"/>
    <w:pPr>
      <w:numPr>
        <w:ilvl w:val="12"/>
      </w:numPr>
      <w:tabs>
        <w:tab w:val="left" w:pos="-1080"/>
        <w:tab w:val="left" w:pos="-720"/>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2"/>
    </w:pPr>
    <w:rPr>
      <w:rFonts w:ascii="Times New Roman" w:eastAsia="Times New Roman" w:hAnsi="Times New Roman" w:cs="Times New Roman"/>
      <w:b/>
      <w:bCs/>
      <w:sz w:val="24"/>
      <w:lang w:eastAsia="en-US"/>
    </w:rPr>
  </w:style>
  <w:style w:type="character" w:customStyle="1" w:styleId="TABLEChar">
    <w:name w:val="TABLE Char"/>
    <w:basedOn w:val="DefaultParagraphFont"/>
    <w:link w:val="TABLE"/>
    <w:rsid w:val="001073A4"/>
    <w:rPr>
      <w:rFonts w:ascii="Times New Roman" w:eastAsia="Times New Roman" w:hAnsi="Times New Roman" w:cs="Times New Roman"/>
      <w:b/>
      <w:bCs/>
      <w:sz w:val="24"/>
      <w:lang w:eastAsia="en-US"/>
    </w:rPr>
  </w:style>
  <w:style w:type="table" w:styleId="MediumShading1-Accent3">
    <w:name w:val="Medium Shading 1 Accent 3"/>
    <w:basedOn w:val="TableNormal"/>
    <w:uiPriority w:val="63"/>
    <w:rsid w:val="00AC154E"/>
    <w:pPr>
      <w:spacing w:after="0" w:line="240" w:lineRule="auto"/>
    </w:pPr>
    <w:rPr>
      <w:rFonts w:eastAsiaTheme="minorHAnsi"/>
      <w:lang w:eastAsia="en-US"/>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6078BF"/>
    <w:rPr>
      <w:color w:val="954F72" w:themeColor="followedHyperlink"/>
      <w:u w:val="single"/>
    </w:rPr>
  </w:style>
  <w:style w:type="character" w:styleId="Strong">
    <w:name w:val="Strong"/>
    <w:basedOn w:val="DefaultParagraphFont"/>
    <w:uiPriority w:val="22"/>
    <w:qFormat/>
    <w:rsid w:val="00FB3CF9"/>
    <w:rPr>
      <w:b/>
      <w:bCs/>
    </w:rPr>
  </w:style>
  <w:style w:type="table" w:styleId="LightShading-Accent3">
    <w:name w:val="Light Shading Accent 3"/>
    <w:basedOn w:val="TableNormal"/>
    <w:uiPriority w:val="60"/>
    <w:rsid w:val="00FB3CF9"/>
    <w:pPr>
      <w:spacing w:after="0" w:line="240" w:lineRule="auto"/>
    </w:pPr>
    <w:rPr>
      <w:rFonts w:eastAsiaTheme="minorHAnsi"/>
      <w:color w:val="7B7B7B" w:themeColor="accent3" w:themeShade="BF"/>
      <w:lang w:eastAsia="en-US"/>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LightShading-Accent11">
    <w:name w:val="Light Shading - Accent 11"/>
    <w:basedOn w:val="TableNormal"/>
    <w:uiPriority w:val="60"/>
    <w:rsid w:val="003F1F3C"/>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DEQTEXTforFACTSHEET">
    <w:name w:val="(DEQ)TEXT for FACT SHEET"/>
    <w:basedOn w:val="Normal"/>
    <w:link w:val="DEQTEXTforFACTSHEETChar"/>
    <w:rsid w:val="0005169A"/>
    <w:rPr>
      <w:rFonts w:ascii="Times New Roman" w:eastAsia="Times" w:hAnsi="Times New Roman" w:cs="Times New Roman"/>
      <w:sz w:val="20"/>
      <w:lang w:eastAsia="en-US"/>
    </w:rPr>
  </w:style>
  <w:style w:type="character" w:customStyle="1" w:styleId="DEQTEXTforFACTSHEETChar">
    <w:name w:val="(DEQ)TEXT for FACT SHEET Char"/>
    <w:basedOn w:val="DefaultParagraphFont"/>
    <w:link w:val="DEQTEXTforFACTSHEET"/>
    <w:rsid w:val="0005169A"/>
    <w:rPr>
      <w:rFonts w:ascii="Times New Roman" w:eastAsia="Times" w:hAnsi="Times New Roman" w:cs="Times New Roman"/>
      <w:sz w:val="20"/>
      <w:szCs w:val="20"/>
      <w:lang w:eastAsia="en-US"/>
    </w:rPr>
  </w:style>
  <w:style w:type="paragraph" w:customStyle="1" w:styleId="CM50">
    <w:name w:val="CM50"/>
    <w:basedOn w:val="Default"/>
    <w:next w:val="Default"/>
    <w:uiPriority w:val="99"/>
    <w:rsid w:val="00B57D44"/>
    <w:rPr>
      <w:rFonts w:eastAsiaTheme="minorEastAsia"/>
      <w:color w:val="auto"/>
      <w:lang w:eastAsia="ja-JP"/>
    </w:rPr>
  </w:style>
  <w:style w:type="paragraph" w:styleId="Revision">
    <w:name w:val="Revision"/>
    <w:hidden/>
    <w:uiPriority w:val="99"/>
    <w:semiHidden/>
    <w:rsid w:val="00A05A0F"/>
    <w:pPr>
      <w:spacing w:after="0" w:line="240" w:lineRule="auto"/>
    </w:pPr>
    <w:rPr>
      <w:color w:val="1F3864" w:themeColor="accent5" w:themeShade="80"/>
      <w:sz w:val="26"/>
      <w:szCs w:val="20"/>
    </w:rPr>
  </w:style>
  <w:style w:type="paragraph" w:customStyle="1" w:styleId="Footnote">
    <w:name w:val="Footnote"/>
    <w:basedOn w:val="FootnoteText"/>
    <w:link w:val="FootnoteChar"/>
    <w:qFormat/>
    <w:rsid w:val="006C183D"/>
    <w:pPr>
      <w:tabs>
        <w:tab w:val="left" w:pos="360"/>
      </w:tabs>
      <w:spacing w:after="120" w:line="240" w:lineRule="auto"/>
      <w:ind w:left="360"/>
    </w:pPr>
    <w:rPr>
      <w:szCs w:val="20"/>
    </w:rPr>
  </w:style>
  <w:style w:type="character" w:customStyle="1" w:styleId="FootnoteChar">
    <w:name w:val="Footnote Char"/>
    <w:basedOn w:val="FootnoteTextChar"/>
    <w:link w:val="Footnote"/>
    <w:rsid w:val="006C183D"/>
    <w:rPr>
      <w:rFonts w:cstheme="majorHAnsi"/>
    </w:rPr>
  </w:style>
  <w:style w:type="character" w:customStyle="1" w:styleId="ListParagraphChar">
    <w:name w:val="List Paragraph Char"/>
    <w:basedOn w:val="DefaultParagraphFont"/>
    <w:link w:val="ListParagraph"/>
    <w:uiPriority w:val="34"/>
    <w:locked/>
    <w:rsid w:val="00DB158D"/>
    <w:rPr>
      <w:rFonts w:cstheme="majorHAnsi"/>
    </w:rPr>
  </w:style>
</w:styles>
</file>

<file path=word/webSettings.xml><?xml version="1.0" encoding="utf-8"?>
<w:webSettings xmlns:r="http://schemas.openxmlformats.org/officeDocument/2006/relationships" xmlns:w="http://schemas.openxmlformats.org/wordprocessingml/2006/main">
  <w:divs>
    <w:div w:id="127169599">
      <w:bodyDiv w:val="1"/>
      <w:marLeft w:val="0"/>
      <w:marRight w:val="0"/>
      <w:marTop w:val="0"/>
      <w:marBottom w:val="0"/>
      <w:divBdr>
        <w:top w:val="none" w:sz="0" w:space="0" w:color="auto"/>
        <w:left w:val="none" w:sz="0" w:space="0" w:color="auto"/>
        <w:bottom w:val="none" w:sz="0" w:space="0" w:color="auto"/>
        <w:right w:val="none" w:sz="0" w:space="0" w:color="auto"/>
      </w:divBdr>
    </w:div>
    <w:div w:id="132411744">
      <w:bodyDiv w:val="1"/>
      <w:marLeft w:val="0"/>
      <w:marRight w:val="0"/>
      <w:marTop w:val="0"/>
      <w:marBottom w:val="0"/>
      <w:divBdr>
        <w:top w:val="none" w:sz="0" w:space="0" w:color="auto"/>
        <w:left w:val="none" w:sz="0" w:space="0" w:color="auto"/>
        <w:bottom w:val="none" w:sz="0" w:space="0" w:color="auto"/>
        <w:right w:val="none" w:sz="0" w:space="0" w:color="auto"/>
      </w:divBdr>
    </w:div>
    <w:div w:id="207954944">
      <w:bodyDiv w:val="1"/>
      <w:marLeft w:val="0"/>
      <w:marRight w:val="0"/>
      <w:marTop w:val="0"/>
      <w:marBottom w:val="0"/>
      <w:divBdr>
        <w:top w:val="none" w:sz="0" w:space="0" w:color="auto"/>
        <w:left w:val="none" w:sz="0" w:space="0" w:color="auto"/>
        <w:bottom w:val="none" w:sz="0" w:space="0" w:color="auto"/>
        <w:right w:val="none" w:sz="0" w:space="0" w:color="auto"/>
      </w:divBdr>
    </w:div>
    <w:div w:id="265120583">
      <w:bodyDiv w:val="1"/>
      <w:marLeft w:val="0"/>
      <w:marRight w:val="0"/>
      <w:marTop w:val="0"/>
      <w:marBottom w:val="0"/>
      <w:divBdr>
        <w:top w:val="none" w:sz="0" w:space="0" w:color="auto"/>
        <w:left w:val="none" w:sz="0" w:space="0" w:color="auto"/>
        <w:bottom w:val="none" w:sz="0" w:space="0" w:color="auto"/>
        <w:right w:val="none" w:sz="0" w:space="0" w:color="auto"/>
      </w:divBdr>
    </w:div>
    <w:div w:id="425002040">
      <w:bodyDiv w:val="1"/>
      <w:marLeft w:val="0"/>
      <w:marRight w:val="0"/>
      <w:marTop w:val="0"/>
      <w:marBottom w:val="0"/>
      <w:divBdr>
        <w:top w:val="none" w:sz="0" w:space="0" w:color="auto"/>
        <w:left w:val="none" w:sz="0" w:space="0" w:color="auto"/>
        <w:bottom w:val="none" w:sz="0" w:space="0" w:color="auto"/>
        <w:right w:val="none" w:sz="0" w:space="0" w:color="auto"/>
      </w:divBdr>
    </w:div>
    <w:div w:id="570699361">
      <w:bodyDiv w:val="1"/>
      <w:marLeft w:val="0"/>
      <w:marRight w:val="0"/>
      <w:marTop w:val="0"/>
      <w:marBottom w:val="0"/>
      <w:divBdr>
        <w:top w:val="none" w:sz="0" w:space="0" w:color="auto"/>
        <w:left w:val="none" w:sz="0" w:space="0" w:color="auto"/>
        <w:bottom w:val="none" w:sz="0" w:space="0" w:color="auto"/>
        <w:right w:val="none" w:sz="0" w:space="0" w:color="auto"/>
      </w:divBdr>
    </w:div>
    <w:div w:id="575553992">
      <w:bodyDiv w:val="1"/>
      <w:marLeft w:val="0"/>
      <w:marRight w:val="0"/>
      <w:marTop w:val="0"/>
      <w:marBottom w:val="0"/>
      <w:divBdr>
        <w:top w:val="none" w:sz="0" w:space="0" w:color="auto"/>
        <w:left w:val="none" w:sz="0" w:space="0" w:color="auto"/>
        <w:bottom w:val="none" w:sz="0" w:space="0" w:color="auto"/>
        <w:right w:val="none" w:sz="0" w:space="0" w:color="auto"/>
      </w:divBdr>
    </w:div>
    <w:div w:id="712197203">
      <w:bodyDiv w:val="1"/>
      <w:marLeft w:val="0"/>
      <w:marRight w:val="0"/>
      <w:marTop w:val="0"/>
      <w:marBottom w:val="0"/>
      <w:divBdr>
        <w:top w:val="none" w:sz="0" w:space="0" w:color="auto"/>
        <w:left w:val="none" w:sz="0" w:space="0" w:color="auto"/>
        <w:bottom w:val="none" w:sz="0" w:space="0" w:color="auto"/>
        <w:right w:val="none" w:sz="0" w:space="0" w:color="auto"/>
      </w:divBdr>
    </w:div>
    <w:div w:id="758646575">
      <w:bodyDiv w:val="1"/>
      <w:marLeft w:val="0"/>
      <w:marRight w:val="0"/>
      <w:marTop w:val="0"/>
      <w:marBottom w:val="0"/>
      <w:divBdr>
        <w:top w:val="none" w:sz="0" w:space="0" w:color="auto"/>
        <w:left w:val="none" w:sz="0" w:space="0" w:color="auto"/>
        <w:bottom w:val="none" w:sz="0" w:space="0" w:color="auto"/>
        <w:right w:val="none" w:sz="0" w:space="0" w:color="auto"/>
      </w:divBdr>
    </w:div>
    <w:div w:id="904266772">
      <w:bodyDiv w:val="1"/>
      <w:marLeft w:val="0"/>
      <w:marRight w:val="0"/>
      <w:marTop w:val="0"/>
      <w:marBottom w:val="0"/>
      <w:divBdr>
        <w:top w:val="none" w:sz="0" w:space="0" w:color="auto"/>
        <w:left w:val="none" w:sz="0" w:space="0" w:color="auto"/>
        <w:bottom w:val="none" w:sz="0" w:space="0" w:color="auto"/>
        <w:right w:val="none" w:sz="0" w:space="0" w:color="auto"/>
      </w:divBdr>
      <w:divsChild>
        <w:div w:id="1184706434">
          <w:marLeft w:val="0"/>
          <w:marRight w:val="0"/>
          <w:marTop w:val="0"/>
          <w:marBottom w:val="0"/>
          <w:divBdr>
            <w:top w:val="none" w:sz="0" w:space="0" w:color="auto"/>
            <w:left w:val="none" w:sz="0" w:space="0" w:color="auto"/>
            <w:bottom w:val="none" w:sz="0" w:space="0" w:color="auto"/>
            <w:right w:val="none" w:sz="0" w:space="0" w:color="auto"/>
          </w:divBdr>
        </w:div>
      </w:divsChild>
    </w:div>
    <w:div w:id="953554550">
      <w:bodyDiv w:val="1"/>
      <w:marLeft w:val="0"/>
      <w:marRight w:val="0"/>
      <w:marTop w:val="0"/>
      <w:marBottom w:val="0"/>
      <w:divBdr>
        <w:top w:val="none" w:sz="0" w:space="0" w:color="auto"/>
        <w:left w:val="none" w:sz="0" w:space="0" w:color="auto"/>
        <w:bottom w:val="none" w:sz="0" w:space="0" w:color="auto"/>
        <w:right w:val="none" w:sz="0" w:space="0" w:color="auto"/>
      </w:divBdr>
    </w:div>
    <w:div w:id="959217515">
      <w:bodyDiv w:val="1"/>
      <w:marLeft w:val="0"/>
      <w:marRight w:val="0"/>
      <w:marTop w:val="0"/>
      <w:marBottom w:val="0"/>
      <w:divBdr>
        <w:top w:val="none" w:sz="0" w:space="0" w:color="auto"/>
        <w:left w:val="none" w:sz="0" w:space="0" w:color="auto"/>
        <w:bottom w:val="none" w:sz="0" w:space="0" w:color="auto"/>
        <w:right w:val="none" w:sz="0" w:space="0" w:color="auto"/>
      </w:divBdr>
    </w:div>
    <w:div w:id="1051618057">
      <w:bodyDiv w:val="1"/>
      <w:marLeft w:val="0"/>
      <w:marRight w:val="0"/>
      <w:marTop w:val="0"/>
      <w:marBottom w:val="0"/>
      <w:divBdr>
        <w:top w:val="none" w:sz="0" w:space="0" w:color="auto"/>
        <w:left w:val="none" w:sz="0" w:space="0" w:color="auto"/>
        <w:bottom w:val="none" w:sz="0" w:space="0" w:color="auto"/>
        <w:right w:val="none" w:sz="0" w:space="0" w:color="auto"/>
      </w:divBdr>
    </w:div>
    <w:div w:id="1233196298">
      <w:bodyDiv w:val="1"/>
      <w:marLeft w:val="0"/>
      <w:marRight w:val="0"/>
      <w:marTop w:val="0"/>
      <w:marBottom w:val="0"/>
      <w:divBdr>
        <w:top w:val="none" w:sz="0" w:space="0" w:color="auto"/>
        <w:left w:val="none" w:sz="0" w:space="0" w:color="auto"/>
        <w:bottom w:val="none" w:sz="0" w:space="0" w:color="auto"/>
        <w:right w:val="none" w:sz="0" w:space="0" w:color="auto"/>
      </w:divBdr>
    </w:div>
    <w:div w:id="1258053661">
      <w:bodyDiv w:val="1"/>
      <w:marLeft w:val="0"/>
      <w:marRight w:val="0"/>
      <w:marTop w:val="0"/>
      <w:marBottom w:val="0"/>
      <w:divBdr>
        <w:top w:val="none" w:sz="0" w:space="0" w:color="auto"/>
        <w:left w:val="none" w:sz="0" w:space="0" w:color="auto"/>
        <w:bottom w:val="none" w:sz="0" w:space="0" w:color="auto"/>
        <w:right w:val="none" w:sz="0" w:space="0" w:color="auto"/>
      </w:divBdr>
    </w:div>
    <w:div w:id="1370640873">
      <w:bodyDiv w:val="1"/>
      <w:marLeft w:val="0"/>
      <w:marRight w:val="0"/>
      <w:marTop w:val="0"/>
      <w:marBottom w:val="0"/>
      <w:divBdr>
        <w:top w:val="none" w:sz="0" w:space="0" w:color="auto"/>
        <w:left w:val="none" w:sz="0" w:space="0" w:color="auto"/>
        <w:bottom w:val="none" w:sz="0" w:space="0" w:color="auto"/>
        <w:right w:val="none" w:sz="0" w:space="0" w:color="auto"/>
      </w:divBdr>
    </w:div>
    <w:div w:id="1419790858">
      <w:bodyDiv w:val="1"/>
      <w:marLeft w:val="0"/>
      <w:marRight w:val="0"/>
      <w:marTop w:val="0"/>
      <w:marBottom w:val="0"/>
      <w:divBdr>
        <w:top w:val="none" w:sz="0" w:space="0" w:color="auto"/>
        <w:left w:val="none" w:sz="0" w:space="0" w:color="auto"/>
        <w:bottom w:val="none" w:sz="0" w:space="0" w:color="auto"/>
        <w:right w:val="none" w:sz="0" w:space="0" w:color="auto"/>
      </w:divBdr>
    </w:div>
    <w:div w:id="1431269108">
      <w:bodyDiv w:val="1"/>
      <w:marLeft w:val="0"/>
      <w:marRight w:val="0"/>
      <w:marTop w:val="0"/>
      <w:marBottom w:val="0"/>
      <w:divBdr>
        <w:top w:val="none" w:sz="0" w:space="0" w:color="auto"/>
        <w:left w:val="none" w:sz="0" w:space="0" w:color="auto"/>
        <w:bottom w:val="none" w:sz="0" w:space="0" w:color="auto"/>
        <w:right w:val="none" w:sz="0" w:space="0" w:color="auto"/>
      </w:divBdr>
    </w:div>
    <w:div w:id="1467118450">
      <w:bodyDiv w:val="1"/>
      <w:marLeft w:val="0"/>
      <w:marRight w:val="0"/>
      <w:marTop w:val="0"/>
      <w:marBottom w:val="0"/>
      <w:divBdr>
        <w:top w:val="none" w:sz="0" w:space="0" w:color="auto"/>
        <w:left w:val="none" w:sz="0" w:space="0" w:color="auto"/>
        <w:bottom w:val="none" w:sz="0" w:space="0" w:color="auto"/>
        <w:right w:val="none" w:sz="0" w:space="0" w:color="auto"/>
      </w:divBdr>
    </w:div>
    <w:div w:id="1881091741">
      <w:bodyDiv w:val="1"/>
      <w:marLeft w:val="0"/>
      <w:marRight w:val="0"/>
      <w:marTop w:val="0"/>
      <w:marBottom w:val="0"/>
      <w:divBdr>
        <w:top w:val="none" w:sz="0" w:space="0" w:color="auto"/>
        <w:left w:val="none" w:sz="0" w:space="0" w:color="auto"/>
        <w:bottom w:val="none" w:sz="0" w:space="0" w:color="auto"/>
        <w:right w:val="none" w:sz="0" w:space="0" w:color="auto"/>
      </w:divBdr>
    </w:div>
    <w:div w:id="2012491844">
      <w:bodyDiv w:val="1"/>
      <w:marLeft w:val="0"/>
      <w:marRight w:val="0"/>
      <w:marTop w:val="0"/>
      <w:marBottom w:val="0"/>
      <w:divBdr>
        <w:top w:val="none" w:sz="0" w:space="0" w:color="auto"/>
        <w:left w:val="none" w:sz="0" w:space="0" w:color="auto"/>
        <w:bottom w:val="none" w:sz="0" w:space="0" w:color="auto"/>
        <w:right w:val="none" w:sz="0" w:space="0" w:color="auto"/>
      </w:divBdr>
    </w:div>
    <w:div w:id="2093697927">
      <w:bodyDiv w:val="1"/>
      <w:marLeft w:val="0"/>
      <w:marRight w:val="0"/>
      <w:marTop w:val="0"/>
      <w:marBottom w:val="0"/>
      <w:divBdr>
        <w:top w:val="none" w:sz="0" w:space="0" w:color="auto"/>
        <w:left w:val="none" w:sz="0" w:space="0" w:color="auto"/>
        <w:bottom w:val="none" w:sz="0" w:space="0" w:color="auto"/>
        <w:right w:val="none" w:sz="0" w:space="0" w:color="auto"/>
      </w:divBdr>
    </w:div>
    <w:div w:id="2106337800">
      <w:bodyDiv w:val="1"/>
      <w:marLeft w:val="0"/>
      <w:marRight w:val="0"/>
      <w:marTop w:val="0"/>
      <w:marBottom w:val="0"/>
      <w:divBdr>
        <w:top w:val="none" w:sz="0" w:space="0" w:color="auto"/>
        <w:left w:val="none" w:sz="0" w:space="0" w:color="auto"/>
        <w:bottom w:val="none" w:sz="0" w:space="0" w:color="auto"/>
        <w:right w:val="none" w:sz="0" w:space="0" w:color="auto"/>
      </w:divBdr>
    </w:div>
    <w:div w:id="2132891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oregon.gov/deq/RulesandRegulations/Pages/default.aspx" TargetMode="External"/><Relationship Id="rId18" Type="http://schemas.openxmlformats.org/officeDocument/2006/relationships/image" Target="media/image3.emf"/><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emf"/><Relationship Id="rId25" Type="http://schemas.openxmlformats.org/officeDocument/2006/relationships/hyperlink" Target="http://water.epa.gov/scitech/swguidance/standards/criteria/aqlife/ammonia/upload/mussel-survey-methods.pdf" TargetMode="External"/><Relationship Id="rId33"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hyperlink" Target="http://water.epa.gov/scitech/swguidance/standards/criteria/aqlife/ammonia/index.cfm" TargetMode="External"/><Relationship Id="rId20" Type="http://schemas.openxmlformats.org/officeDocument/2006/relationships/image" Target="media/image5.emf"/><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deq.state.or.us/wq/standards/uses.htm" TargetMode="External"/><Relationship Id="rId32" Type="http://schemas.openxmlformats.org/officeDocument/2006/relationships/image" Target="media/image13.tiff"/><Relationship Id="rId5" Type="http://schemas.openxmlformats.org/officeDocument/2006/relationships/customXml" Target="../customXml/item5.xml"/><Relationship Id="rId15" Type="http://schemas.openxmlformats.org/officeDocument/2006/relationships/hyperlink" Target="http://www.deq.state.or.us/wq/standards/toxicsEPAaction.htm" TargetMode="External"/><Relationship Id="rId23" Type="http://schemas.openxmlformats.org/officeDocument/2006/relationships/hyperlink" Target="http://water.epa.gov/scitech/swguidance/standards/criteria/aqlife/ammonia/upload/Revised-Deletion-Process-for-the-Site-Specific-Recalculation-Procedure-for-Aquatic-Life-Criteria.pdf" TargetMode="External"/><Relationship Id="rId28" Type="http://schemas.openxmlformats.org/officeDocument/2006/relationships/image" Target="media/image9.emf"/><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emf"/><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oregon.gov/deq/RulesandRegulations/Pages/default.aspx" TargetMode="External"/><Relationship Id="rId22" Type="http://schemas.openxmlformats.org/officeDocument/2006/relationships/image" Target="media/image7.emf"/><Relationship Id="rId27" Type="http://schemas.openxmlformats.org/officeDocument/2006/relationships/footer" Target="footer1.xml"/><Relationship Id="rId30" Type="http://schemas.openxmlformats.org/officeDocument/2006/relationships/image" Target="media/image11.jpeg"/><Relationship Id="rId35"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3" Type="http://schemas.openxmlformats.org/officeDocument/2006/relationships/hyperlink" Target="http://www.epa.gov/fedrgstr/EPA-WATER/1999/December/Day-22/w33152.pdf" TargetMode="External"/><Relationship Id="rId2" Type="http://schemas.openxmlformats.org/officeDocument/2006/relationships/hyperlink" Target="http://water.epa.gov/scitech/swguidance/standards/criteria/aqlife/ammonia/technical.cfm" TargetMode="External"/><Relationship Id="rId1" Type="http://schemas.openxmlformats.org/officeDocument/2006/relationships/hyperlink" Target="http://www.xerces.org/mollusk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1D12FB06DFE488ABA13E6797CCD0455"/>
        <w:category>
          <w:name w:val="General"/>
          <w:gallery w:val="placeholder"/>
        </w:category>
        <w:types>
          <w:type w:val="bbPlcHdr"/>
        </w:types>
        <w:behaviors>
          <w:behavior w:val="content"/>
        </w:behaviors>
        <w:guid w:val="{C5201EF9-485D-42BE-9C0C-AF7D29F22804}"/>
      </w:docPartPr>
      <w:docPartBody>
        <w:p w:rsidR="00D25E32" w:rsidRDefault="00D25E32">
          <w:pPr>
            <w:pStyle w:val="B1D12FB06DFE488ABA13E6797CCD0455"/>
          </w:pPr>
          <w:r>
            <w:t>[Title]</w:t>
          </w:r>
        </w:p>
      </w:docPartBody>
    </w:docPart>
    <w:docPart>
      <w:docPartPr>
        <w:name w:val="3EA71C8C981D43109FBB698C0D824AB5"/>
        <w:category>
          <w:name w:val="General"/>
          <w:gallery w:val="placeholder"/>
        </w:category>
        <w:types>
          <w:type w:val="bbPlcHdr"/>
        </w:types>
        <w:behaviors>
          <w:behavior w:val="content"/>
        </w:behaviors>
        <w:guid w:val="{59018D80-1C62-4B22-A607-8CE1F45917E8}"/>
      </w:docPartPr>
      <w:docPartBody>
        <w:p w:rsidR="00932DF9" w:rsidRDefault="00932DF9" w:rsidP="00932DF9">
          <w:pPr>
            <w:pStyle w:val="3EA71C8C981D43109FBB698C0D824AB5"/>
          </w:pPr>
          <w:r>
            <w:t>[Date]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Imprint MT Shadow">
    <w:panose1 w:val="040206050603030302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formatting="0" w:inkAnnotations="0"/>
  <w:defaultTabStop w:val="720"/>
  <w:characterSpacingControl w:val="doNotCompress"/>
  <w:compat>
    <w:useFELayout/>
  </w:compat>
  <w:rsids>
    <w:rsidRoot w:val="00D25E32"/>
    <w:rsid w:val="00000DCF"/>
    <w:rsid w:val="00024B34"/>
    <w:rsid w:val="00050489"/>
    <w:rsid w:val="00074996"/>
    <w:rsid w:val="00092415"/>
    <w:rsid w:val="000F7CE0"/>
    <w:rsid w:val="00114EA6"/>
    <w:rsid w:val="0012202A"/>
    <w:rsid w:val="00180F8D"/>
    <w:rsid w:val="001E69DF"/>
    <w:rsid w:val="00220A42"/>
    <w:rsid w:val="00252480"/>
    <w:rsid w:val="00297758"/>
    <w:rsid w:val="002A4D99"/>
    <w:rsid w:val="00341D49"/>
    <w:rsid w:val="00363815"/>
    <w:rsid w:val="00373378"/>
    <w:rsid w:val="003D0455"/>
    <w:rsid w:val="00416227"/>
    <w:rsid w:val="0047509C"/>
    <w:rsid w:val="00483A0C"/>
    <w:rsid w:val="005346C8"/>
    <w:rsid w:val="00576E75"/>
    <w:rsid w:val="00596EFE"/>
    <w:rsid w:val="005A32EA"/>
    <w:rsid w:val="005A7104"/>
    <w:rsid w:val="0060122A"/>
    <w:rsid w:val="00632AAC"/>
    <w:rsid w:val="00652CF2"/>
    <w:rsid w:val="00654159"/>
    <w:rsid w:val="006763F6"/>
    <w:rsid w:val="006C2121"/>
    <w:rsid w:val="006D39B7"/>
    <w:rsid w:val="006F4C9A"/>
    <w:rsid w:val="007067BD"/>
    <w:rsid w:val="00711230"/>
    <w:rsid w:val="0071271F"/>
    <w:rsid w:val="00741CF4"/>
    <w:rsid w:val="007442BD"/>
    <w:rsid w:val="007858C3"/>
    <w:rsid w:val="007B6AE2"/>
    <w:rsid w:val="007C405F"/>
    <w:rsid w:val="007D1F71"/>
    <w:rsid w:val="007D4968"/>
    <w:rsid w:val="007E3346"/>
    <w:rsid w:val="007E54EA"/>
    <w:rsid w:val="0080366A"/>
    <w:rsid w:val="00925BB3"/>
    <w:rsid w:val="009326CA"/>
    <w:rsid w:val="00932DF9"/>
    <w:rsid w:val="009411D0"/>
    <w:rsid w:val="009450D8"/>
    <w:rsid w:val="00977E41"/>
    <w:rsid w:val="00980D00"/>
    <w:rsid w:val="009C43AC"/>
    <w:rsid w:val="009D47EC"/>
    <w:rsid w:val="00A22A42"/>
    <w:rsid w:val="00A33728"/>
    <w:rsid w:val="00A373E5"/>
    <w:rsid w:val="00A91999"/>
    <w:rsid w:val="00B51404"/>
    <w:rsid w:val="00B86F27"/>
    <w:rsid w:val="00BB3B2A"/>
    <w:rsid w:val="00BC4FD1"/>
    <w:rsid w:val="00BD3C34"/>
    <w:rsid w:val="00BF50BE"/>
    <w:rsid w:val="00BF53F1"/>
    <w:rsid w:val="00BF66FA"/>
    <w:rsid w:val="00C31D9D"/>
    <w:rsid w:val="00C64239"/>
    <w:rsid w:val="00C65C7E"/>
    <w:rsid w:val="00C83199"/>
    <w:rsid w:val="00CA1151"/>
    <w:rsid w:val="00CD3E22"/>
    <w:rsid w:val="00CF5441"/>
    <w:rsid w:val="00D25E32"/>
    <w:rsid w:val="00D6651A"/>
    <w:rsid w:val="00D7515D"/>
    <w:rsid w:val="00DB3CAE"/>
    <w:rsid w:val="00DC51E4"/>
    <w:rsid w:val="00DD3F7A"/>
    <w:rsid w:val="00DF579F"/>
    <w:rsid w:val="00E36EF9"/>
    <w:rsid w:val="00E5523D"/>
    <w:rsid w:val="00E55714"/>
    <w:rsid w:val="00E93B7A"/>
    <w:rsid w:val="00EB4A4C"/>
    <w:rsid w:val="00F000B6"/>
    <w:rsid w:val="00F45451"/>
    <w:rsid w:val="00F53A85"/>
    <w:rsid w:val="00FC48D8"/>
    <w:rsid w:val="00FF55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E3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1D12FB06DFE488ABA13E6797CCD0455">
    <w:name w:val="B1D12FB06DFE488ABA13E6797CCD0455"/>
    <w:rsid w:val="00D25E32"/>
  </w:style>
  <w:style w:type="paragraph" w:customStyle="1" w:styleId="13B80D4FEFD3458C963216485F169792">
    <w:name w:val="13B80D4FEFD3458C963216485F169792"/>
    <w:rsid w:val="00D25E32"/>
  </w:style>
  <w:style w:type="character" w:styleId="PlaceholderText">
    <w:name w:val="Placeholder Text"/>
    <w:basedOn w:val="DefaultParagraphFont"/>
    <w:uiPriority w:val="99"/>
    <w:semiHidden/>
    <w:rsid w:val="007858C3"/>
    <w:rPr>
      <w:color w:val="808080"/>
    </w:rPr>
  </w:style>
  <w:style w:type="paragraph" w:customStyle="1" w:styleId="52C347465CF04BBC9D0D660866A55C7E">
    <w:name w:val="52C347465CF04BBC9D0D660866A55C7E"/>
    <w:rsid w:val="00092415"/>
  </w:style>
  <w:style w:type="paragraph" w:customStyle="1" w:styleId="3EA71C8C981D43109FBB698C0D824AB5">
    <w:name w:val="3EA71C8C981D43109FBB698C0D824AB5"/>
    <w:rsid w:val="00932DF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Cambria">
      <a:maj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2014-08-27T00:00:00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221777DEDFBC43A7E97F54281281B8" ma:contentTypeVersion="" ma:contentTypeDescription="Create a new document." ma:contentTypeScope="" ma:versionID="21550d23b9aed3acb14d9517d8cca059">
  <xsd:schema xmlns:xsd="http://www.w3.org/2001/XMLSchema" xmlns:xs="http://www.w3.org/2001/XMLSchema" xmlns:p="http://schemas.microsoft.com/office/2006/metadata/properties" xmlns:ns2="$ListId:docs;" targetNamespace="http://schemas.microsoft.com/office/2006/metadata/properties" ma:root="true" ma:fieldsID="3d9add8d7f66833ac2ce47954ca4475e"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ategory xmlns="$ListId:docs;">Review</Category>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25DF1E-1C8D-4AA6-93AA-2329512CB4E6}">
  <ds:schemaRefs>
    <ds:schemaRef ds:uri="http://schemas.microsoft.com/sharepoint/v3/contenttype/forms"/>
  </ds:schemaRefs>
</ds:datastoreItem>
</file>

<file path=customXml/itemProps3.xml><?xml version="1.0" encoding="utf-8"?>
<ds:datastoreItem xmlns:ds="http://schemas.openxmlformats.org/officeDocument/2006/customXml" ds:itemID="{FE3CE49F-2B75-4EFB-8C6C-5028098E8F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4B40B4-BDBC-4EBD-8CE4-BF9428E685D9}">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5.xml><?xml version="1.0" encoding="utf-8"?>
<ds:datastoreItem xmlns:ds="http://schemas.openxmlformats.org/officeDocument/2006/customXml" ds:itemID="{8E386E0B-6788-47F1-88E2-CC062FB61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9294</Words>
  <Characters>51740</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Technical support document for ammonia</vt:lpstr>
    </vt:vector>
  </TitlesOfParts>
  <Company>Ore</Company>
  <LinksUpToDate>false</LinksUpToDate>
  <CharactersWithSpaces>60913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support document for ammonia</dc:title>
  <dc:creator>mvandeh</dc:creator>
  <cp:lastModifiedBy>Jennifer Wigal</cp:lastModifiedBy>
  <cp:revision>2</cp:revision>
  <cp:lastPrinted>2014-06-11T00:13:00Z</cp:lastPrinted>
  <dcterms:created xsi:type="dcterms:W3CDTF">2014-12-01T18:31:00Z</dcterms:created>
  <dcterms:modified xsi:type="dcterms:W3CDTF">2014-12-01T18:31:00Z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TC039744249991</vt:lpwstr>
  </property>
  <property fmtid="{D5CDD505-2E9C-101B-9397-08002B2CF9AE}" pid="3" name="ContentTypeId">
    <vt:lpwstr>0x01010098221777DEDFBC43A7E97F54281281B8</vt:lpwstr>
  </property>
</Properties>
</file>