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852135" w:rsidP="00C96CE6">
      <w:pPr>
        <w:pStyle w:val="Heading2"/>
        <w:rPr>
          <w:rFonts w:ascii="Cambria" w:hAnsi="Cambria"/>
          <w:b/>
          <w:color w:val="008272"/>
          <w:sz w:val="40"/>
          <w:szCs w:val="40"/>
        </w:rPr>
      </w:pPr>
      <w:r>
        <w:rPr>
          <w:rFonts w:ascii="Cambria" w:hAnsi="Cambria"/>
          <w:b/>
          <w:color w:val="008272"/>
          <w:sz w:val="40"/>
          <w:szCs w:val="40"/>
        </w:rPr>
        <w:t xml:space="preserve">Greenhouse Gas </w:t>
      </w:r>
      <w:r w:rsidR="00010A7B">
        <w:rPr>
          <w:rFonts w:ascii="Cambria" w:hAnsi="Cambria"/>
          <w:b/>
          <w:color w:val="008272"/>
          <w:sz w:val="40"/>
          <w:szCs w:val="40"/>
        </w:rPr>
        <w:t>Permitting</w:t>
      </w:r>
      <w:r w:rsidR="00CD04D4">
        <w:rPr>
          <w:rFonts w:ascii="Cambria" w:hAnsi="Cambria"/>
          <w:b/>
          <w:color w:val="008272"/>
          <w:sz w:val="40"/>
          <w:szCs w:val="40"/>
        </w:rPr>
        <w:t xml:space="preserve"> </w:t>
      </w:r>
      <w:r>
        <w:rPr>
          <w:rFonts w:ascii="Cambria" w:hAnsi="Cambria"/>
          <w:b/>
          <w:color w:val="008272"/>
          <w:sz w:val="40"/>
          <w:szCs w:val="40"/>
        </w:rPr>
        <w:t xml:space="preserve">– Temporary </w:t>
      </w:r>
      <w:r w:rsidR="00CD04D4">
        <w:rPr>
          <w:rFonts w:ascii="Cambria" w:hAnsi="Cambria"/>
          <w:b/>
          <w:color w:val="008272"/>
          <w:sz w:val="40"/>
          <w:szCs w:val="40"/>
        </w:rPr>
        <w:t>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255030" w:rsidP="005C1587">
            <w:pPr>
              <w:jc w:val="center"/>
              <w:rPr>
                <w:rStyle w:val="Checkbox"/>
              </w:rPr>
            </w:pPr>
            <w:sdt>
              <w:sdtPr>
                <w:rPr>
                  <w:rStyle w:val="Checkbox"/>
                </w:rPr>
                <w:id w:val="18067960"/>
              </w:sdtPr>
              <w:sdtContent>
                <w:r w:rsidR="005C1587">
                  <w:rPr>
                    <w:rStyle w:val="Checkbox"/>
                  </w:rPr>
                  <w:sym w:font="Wingdings" w:char="F078"/>
                </w:r>
              </w:sdtContent>
            </w:sdt>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5C1587" w:rsidP="00CD04D4">
            <w:pPr>
              <w:tabs>
                <w:tab w:val="clear" w:pos="360"/>
              </w:tabs>
            </w:pPr>
            <w:r>
              <w:t>Not applicable</w:t>
            </w:r>
          </w:p>
          <w:p w:rsidR="00982523" w:rsidRDefault="00982523" w:rsidP="00EE19F4">
            <w:pPr>
              <w:tabs>
                <w:tab w:val="clear" w:pos="360"/>
              </w:tabs>
              <w:ind w:left="0"/>
            </w:pPr>
          </w:p>
        </w:tc>
      </w:tr>
      <w:tr w:rsidR="00473C34" w:rsidTr="00232AA3">
        <w:tc>
          <w:tcPr>
            <w:tcW w:w="1441" w:type="dxa"/>
          </w:tcPr>
          <w:p w:rsidR="00C96CE6" w:rsidRDefault="00255030" w:rsidP="005C1587">
            <w:pPr>
              <w:jc w:val="center"/>
              <w:rPr>
                <w:rStyle w:val="Checkbox"/>
              </w:rPr>
            </w:pPr>
            <w:sdt>
              <w:sdtPr>
                <w:rPr>
                  <w:rStyle w:val="Checkbox"/>
                </w:rPr>
                <w:id w:val="4590688"/>
              </w:sdtPr>
              <w:sdtContent>
                <w:r w:rsidR="005C1587">
                  <w:rPr>
                    <w:rStyle w:val="Checkbox"/>
                  </w:rPr>
                  <w:sym w:font="Wingdings" w:char="F07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A62CEC" w:rsidRDefault="00371A20" w:rsidP="00ED1107">
            <w:pPr>
              <w:spacing w:after="0"/>
              <w:ind w:left="0"/>
            </w:pPr>
            <w:r>
              <w:t xml:space="preserve">9/5/14 </w:t>
            </w:r>
            <w:r w:rsidR="002A4381">
              <w:t>Discrepancies found. Asked technical lead to re</w:t>
            </w:r>
            <w:r w:rsidR="00E71B6F">
              <w:t>-</w:t>
            </w:r>
            <w:r w:rsidR="002A4381">
              <w:t>enter amendmen</w:t>
            </w:r>
            <w:r w:rsidR="00CA5F26">
              <w:t>ts to 340-200-0020 and 340-216-</w:t>
            </w:r>
            <w:r w:rsidR="002A4381">
              <w:t>8</w:t>
            </w:r>
            <w:r w:rsidR="00CA5F26">
              <w:t>0</w:t>
            </w:r>
            <w:r w:rsidR="002A4381">
              <w:t>10 in redline</w:t>
            </w:r>
            <w:r w:rsidR="005C1587">
              <w:t xml:space="preserve">. </w:t>
            </w:r>
          </w:p>
          <w:p w:rsidR="00371A20" w:rsidRPr="00010A7B" w:rsidRDefault="00371A20" w:rsidP="00371A20">
            <w:pPr>
              <w:spacing w:after="0"/>
              <w:ind w:left="0"/>
            </w:pPr>
            <w:r>
              <w:t>9/9/14 Corrected by technical lead</w:t>
            </w:r>
          </w:p>
        </w:tc>
      </w:tr>
      <w:tr w:rsidR="00473C34" w:rsidTr="00232AA3">
        <w:trPr>
          <w:trHeight w:val="683"/>
        </w:trPr>
        <w:tc>
          <w:tcPr>
            <w:tcW w:w="1441" w:type="dxa"/>
          </w:tcPr>
          <w:p w:rsidR="00CD04D4" w:rsidRDefault="00255030" w:rsidP="005C1587">
            <w:pPr>
              <w:jc w:val="center"/>
              <w:rPr>
                <w:rStyle w:val="Checkbox"/>
              </w:rPr>
            </w:pPr>
            <w:sdt>
              <w:sdtPr>
                <w:rPr>
                  <w:rStyle w:val="Checkbox"/>
                </w:rPr>
                <w:id w:val="9289837"/>
              </w:sdtPr>
              <w:sdtContent>
                <w:r w:rsidR="005C1587">
                  <w:rPr>
                    <w:rStyle w:val="Checkbox"/>
                  </w:rPr>
                  <w:sym w:font="Wingdings" w:char="F07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EE19F4" w:rsidRDefault="00371A20" w:rsidP="00852135">
            <w:pPr>
              <w:spacing w:after="0"/>
              <w:ind w:left="0"/>
            </w:pPr>
            <w:r>
              <w:t>Complete</w:t>
            </w:r>
          </w:p>
        </w:tc>
      </w:tr>
      <w:tr w:rsidR="00473C34" w:rsidTr="00232AA3">
        <w:trPr>
          <w:trHeight w:val="683"/>
        </w:trPr>
        <w:tc>
          <w:tcPr>
            <w:tcW w:w="1441" w:type="dxa"/>
          </w:tcPr>
          <w:p w:rsidR="00C96CE6" w:rsidRDefault="00255030" w:rsidP="005C1587">
            <w:pPr>
              <w:jc w:val="center"/>
              <w:rPr>
                <w:rStyle w:val="Checkbox"/>
              </w:rPr>
            </w:pPr>
            <w:sdt>
              <w:sdtPr>
                <w:rPr>
                  <w:rStyle w:val="Checkbox"/>
                </w:rPr>
                <w:id w:val="4590689"/>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CD04D4" w:rsidRDefault="005C1587" w:rsidP="00232AA3">
            <w:pPr>
              <w:tabs>
                <w:tab w:val="left" w:pos="6300"/>
              </w:tabs>
            </w:pPr>
            <w:r>
              <w:t>Complete</w:t>
            </w:r>
          </w:p>
        </w:tc>
      </w:tr>
      <w:tr w:rsidR="00473C34" w:rsidTr="00232AA3">
        <w:tc>
          <w:tcPr>
            <w:tcW w:w="1441" w:type="dxa"/>
          </w:tcPr>
          <w:p w:rsidR="00C96CE6" w:rsidRDefault="00255030" w:rsidP="005C1587">
            <w:pPr>
              <w:jc w:val="center"/>
              <w:rPr>
                <w:rStyle w:val="Checkbox"/>
              </w:rPr>
            </w:pPr>
            <w:sdt>
              <w:sdtPr>
                <w:rPr>
                  <w:rStyle w:val="Checkbox"/>
                </w:rPr>
                <w:id w:val="4590693"/>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C96CE6" w:rsidRPr="005026D7" w:rsidRDefault="005C1587" w:rsidP="005C1587">
            <w:pPr>
              <w:tabs>
                <w:tab w:val="clear" w:pos="360"/>
              </w:tabs>
              <w:rPr>
                <w:rFonts w:cstheme="minorHAnsi"/>
              </w:rPr>
            </w:pPr>
            <w:r>
              <w:rPr>
                <w:rFonts w:cstheme="minorHAnsi"/>
              </w:rPr>
              <w:t xml:space="preserve">Complete. </w:t>
            </w:r>
            <w:r w:rsidR="007D7AD2">
              <w:rPr>
                <w:rFonts w:cstheme="minorHAnsi"/>
              </w:rPr>
              <w:t xml:space="preserve">Note: </w:t>
            </w:r>
            <w:r w:rsidRPr="005C1587">
              <w:rPr>
                <w:rFonts w:cstheme="minorHAnsi"/>
              </w:rPr>
              <w:t>Maggie V. made a suggestion on definition 61 concerning past/future tense.</w:t>
            </w:r>
          </w:p>
        </w:tc>
      </w:tr>
      <w:tr w:rsidR="00473C34" w:rsidTr="00232AA3">
        <w:tc>
          <w:tcPr>
            <w:tcW w:w="1441" w:type="dxa"/>
          </w:tcPr>
          <w:p w:rsidR="00C96CE6" w:rsidRDefault="00255030"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C96CE6" w:rsidRDefault="00286572" w:rsidP="00286572">
            <w:pPr>
              <w:tabs>
                <w:tab w:val="clear" w:pos="360"/>
              </w:tabs>
            </w:pPr>
            <w:r>
              <w:t>Need to verify this with Technical Lead</w:t>
            </w:r>
          </w:p>
        </w:tc>
      </w:tr>
      <w:tr w:rsidR="00473C34" w:rsidTr="00232AA3">
        <w:tc>
          <w:tcPr>
            <w:tcW w:w="1441" w:type="dxa"/>
          </w:tcPr>
          <w:p w:rsidR="00C96CE6" w:rsidRDefault="00255030" w:rsidP="005C1587">
            <w:pPr>
              <w:jc w:val="center"/>
              <w:rPr>
                <w:rStyle w:val="Checkbox"/>
              </w:rPr>
            </w:pPr>
            <w:sdt>
              <w:sdtPr>
                <w:rPr>
                  <w:rStyle w:val="Checkbox"/>
                </w:rPr>
                <w:id w:val="4590757"/>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C96CE6" w:rsidRDefault="005C1587" w:rsidP="00CD04D4">
            <w:pPr>
              <w:tabs>
                <w:tab w:val="clear" w:pos="360"/>
              </w:tabs>
            </w:pPr>
            <w:r>
              <w:rPr>
                <w:rFonts w:cstheme="minorHAnsi"/>
              </w:rPr>
              <w:t>Complete</w:t>
            </w:r>
          </w:p>
        </w:tc>
      </w:tr>
      <w:tr w:rsidR="00473C34" w:rsidTr="00232AA3">
        <w:tc>
          <w:tcPr>
            <w:tcW w:w="1441" w:type="dxa"/>
          </w:tcPr>
          <w:p w:rsidR="00C96CE6" w:rsidRDefault="00255030" w:rsidP="005C1587">
            <w:pPr>
              <w:jc w:val="center"/>
              <w:rPr>
                <w:rStyle w:val="Checkbox"/>
              </w:rPr>
            </w:pPr>
            <w:sdt>
              <w:sdtPr>
                <w:rPr>
                  <w:rStyle w:val="Checkbox"/>
                </w:rPr>
                <w:id w:val="80804538"/>
              </w:sdtPr>
              <w:sdtContent>
                <w:r w:rsidR="005C1587">
                  <w:rPr>
                    <w:rStyle w:val="Checkbox"/>
                  </w:rPr>
                  <w:sym w:font="Wingdings" w:char="F078"/>
                </w:r>
              </w:sdtContent>
            </w:sdt>
          </w:p>
        </w:tc>
        <w:tc>
          <w:tcPr>
            <w:tcW w:w="4914" w:type="dxa"/>
          </w:tcPr>
          <w:p w:rsidR="00C96CE6" w:rsidRPr="00232AA3" w:rsidRDefault="00C96CE6" w:rsidP="005C1587">
            <w:pPr>
              <w:pStyle w:val="ListParagraph"/>
              <w:numPr>
                <w:ilvl w:val="0"/>
                <w:numId w:val="3"/>
              </w:numPr>
              <w:jc w:val="left"/>
            </w:pPr>
            <w:r w:rsidRPr="00232AA3">
              <w:t>Statutory authorities citations in rule are accurate and align with staff report</w:t>
            </w:r>
            <w:r w:rsidR="005C1587">
              <w:t xml:space="preserve"> and </w:t>
            </w:r>
            <w:r w:rsidRPr="00232AA3">
              <w:t>SOS online filing</w:t>
            </w:r>
          </w:p>
        </w:tc>
        <w:tc>
          <w:tcPr>
            <w:tcW w:w="4455" w:type="dxa"/>
          </w:tcPr>
          <w:p w:rsidR="00AE1779" w:rsidRDefault="005C1587" w:rsidP="00AE1779">
            <w:pPr>
              <w:tabs>
                <w:tab w:val="clear" w:pos="360"/>
              </w:tabs>
              <w:ind w:left="0"/>
            </w:pPr>
            <w:r>
              <w:t xml:space="preserve"> Complete.</w:t>
            </w:r>
          </w:p>
        </w:tc>
      </w:tr>
      <w:tr w:rsidR="00473C34" w:rsidTr="00232AA3">
        <w:tc>
          <w:tcPr>
            <w:tcW w:w="1441" w:type="dxa"/>
          </w:tcPr>
          <w:p w:rsidR="00C96CE6" w:rsidRDefault="00255030" w:rsidP="005C1587">
            <w:pPr>
              <w:jc w:val="center"/>
              <w:rPr>
                <w:rStyle w:val="Checkbox"/>
              </w:rPr>
            </w:pPr>
            <w:sdt>
              <w:sdtPr>
                <w:rPr>
                  <w:rStyle w:val="Checkbox"/>
                </w:rPr>
                <w:id w:val="-14611809"/>
              </w:sdtPr>
              <w:sdtContent>
                <w:r w:rsidR="005C1587">
                  <w:rPr>
                    <w:rStyle w:val="Checkbox"/>
                  </w:rPr>
                  <w:sym w:font="Wingdings" w:char="F078"/>
                </w:r>
              </w:sdtContent>
            </w:sdt>
          </w:p>
        </w:tc>
        <w:tc>
          <w:tcPr>
            <w:tcW w:w="4914" w:type="dxa"/>
          </w:tcPr>
          <w:p w:rsidR="00C96CE6" w:rsidRPr="00232AA3" w:rsidRDefault="00C96CE6" w:rsidP="005A6765">
            <w:pPr>
              <w:pStyle w:val="ListParagraph"/>
              <w:numPr>
                <w:ilvl w:val="0"/>
                <w:numId w:val="3"/>
              </w:numPr>
              <w:jc w:val="left"/>
            </w:pPr>
            <w:r w:rsidRPr="00232AA3">
              <w:t>Statutes implemented citations  in rule are accurate and align with staff report</w:t>
            </w:r>
            <w:r w:rsidR="005A6765">
              <w:t xml:space="preserve"> and SOS fili</w:t>
            </w:r>
            <w:r w:rsidRPr="00232AA3">
              <w:t>ng</w:t>
            </w:r>
          </w:p>
        </w:tc>
        <w:tc>
          <w:tcPr>
            <w:tcW w:w="4455" w:type="dxa"/>
          </w:tcPr>
          <w:p w:rsidR="00C96CE6" w:rsidRDefault="005C1587" w:rsidP="00AE1779">
            <w:pPr>
              <w:tabs>
                <w:tab w:val="clear" w:pos="360"/>
              </w:tabs>
            </w:pPr>
            <w:r>
              <w:t>Complete.</w:t>
            </w:r>
          </w:p>
        </w:tc>
      </w:tr>
      <w:tr w:rsidR="00473C34" w:rsidTr="00232AA3">
        <w:tc>
          <w:tcPr>
            <w:tcW w:w="1441" w:type="dxa"/>
          </w:tcPr>
          <w:p w:rsidR="00C96CE6" w:rsidRDefault="00255030" w:rsidP="005C1587">
            <w:pPr>
              <w:jc w:val="center"/>
              <w:rPr>
                <w:rStyle w:val="Checkbox"/>
              </w:rPr>
            </w:pPr>
            <w:sdt>
              <w:sdtPr>
                <w:rPr>
                  <w:rStyle w:val="Checkbox"/>
                </w:rPr>
                <w:id w:val="4590759"/>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C96CE6" w:rsidRDefault="005C1587" w:rsidP="00CD04D4">
            <w:pPr>
              <w:tabs>
                <w:tab w:val="clear" w:pos="360"/>
              </w:tabs>
            </w:pPr>
            <w:r>
              <w:t>No</w:t>
            </w:r>
            <w:r w:rsidR="00371A20">
              <w:t>t applicable</w:t>
            </w:r>
          </w:p>
        </w:tc>
      </w:tr>
      <w:tr w:rsidR="00473C34" w:rsidTr="00232AA3">
        <w:tc>
          <w:tcPr>
            <w:tcW w:w="1441" w:type="dxa"/>
          </w:tcPr>
          <w:p w:rsidR="00C96CE6" w:rsidRDefault="00255030" w:rsidP="005C1587">
            <w:pPr>
              <w:jc w:val="center"/>
              <w:rPr>
                <w:rStyle w:val="Checkbox"/>
              </w:rPr>
            </w:pPr>
            <w:sdt>
              <w:sdtPr>
                <w:rPr>
                  <w:rStyle w:val="Checkbox"/>
                </w:rPr>
                <w:id w:val="2054504694"/>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3F5A6A" w:rsidRDefault="005C1587" w:rsidP="005C1587">
            <w:pPr>
              <w:spacing w:after="0"/>
            </w:pPr>
            <w:r>
              <w:t>Complete</w:t>
            </w:r>
          </w:p>
        </w:tc>
      </w:tr>
      <w:tr w:rsidR="00473C34" w:rsidTr="00232AA3">
        <w:tc>
          <w:tcPr>
            <w:tcW w:w="1441" w:type="dxa"/>
          </w:tcPr>
          <w:p w:rsidR="00982523" w:rsidRDefault="00255030" w:rsidP="005C1587">
            <w:pPr>
              <w:jc w:val="center"/>
              <w:rPr>
                <w:rStyle w:val="Checkbox"/>
              </w:rPr>
            </w:pPr>
            <w:sdt>
              <w:sdtPr>
                <w:rPr>
                  <w:rStyle w:val="Checkbox"/>
                </w:rPr>
                <w:id w:val="9289857"/>
              </w:sdtPr>
              <w:sdtContent>
                <w:r w:rsidR="005C1587">
                  <w:rPr>
                    <w:rStyle w:val="Checkbox"/>
                  </w:rPr>
                  <w:sym w:font="Wingdings" w:char="F07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7D7AD2" w:rsidRDefault="007D7AD2" w:rsidP="005C1587">
            <w:pPr>
              <w:tabs>
                <w:tab w:val="clear" w:pos="360"/>
              </w:tabs>
            </w:pPr>
            <w:r>
              <w:t xml:space="preserve">Changed font color from red to black. </w:t>
            </w:r>
          </w:p>
          <w:p w:rsidR="00CB060B" w:rsidRDefault="007D7AD2" w:rsidP="005C1587">
            <w:pPr>
              <w:tabs>
                <w:tab w:val="clear" w:pos="360"/>
              </w:tabs>
            </w:pPr>
            <w:r>
              <w:t xml:space="preserve">Note: </w:t>
            </w:r>
            <w:r w:rsidR="005C1587">
              <w:t xml:space="preserve">AQ Ops did not accept all of Maggie </w:t>
            </w:r>
            <w:proofErr w:type="spellStart"/>
            <w:r w:rsidR="005C1587">
              <w:t>Vandehey’s</w:t>
            </w:r>
            <w:proofErr w:type="spellEnd"/>
            <w:r w:rsidR="005C1587">
              <w:t xml:space="preserve"> recommended edits to the temporary rules because this is a temporary rulemaking and AQ Ops does not want the proposed temporary rules to differ from the draft proposed permanent rules that were on </w:t>
            </w:r>
            <w:proofErr w:type="spellStart"/>
            <w:r w:rsidR="005C1587">
              <w:t>pubic</w:t>
            </w:r>
            <w:proofErr w:type="spellEnd"/>
            <w:r w:rsidR="005C1587">
              <w:t xml:space="preserve"> notice.</w:t>
            </w: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255030"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A67C4B" w:rsidRDefault="005D66DF" w:rsidP="00347D10">
            <w:pPr>
              <w:tabs>
                <w:tab w:val="clear" w:pos="360"/>
              </w:tabs>
            </w:pPr>
            <w:r>
              <w:t>The staff report is primarily in active voice. In a couple places, c</w:t>
            </w:r>
            <w:r w:rsidR="0068684B">
              <w:t>hange</w:t>
            </w:r>
            <w:r>
              <w:t xml:space="preserve"> passive voice to active voice, such as </w:t>
            </w:r>
            <w:r w:rsidR="0068684B">
              <w:t>“EPA’s rule was challenged.”</w:t>
            </w:r>
          </w:p>
          <w:p w:rsidR="00C96CE6" w:rsidRPr="00E90FCC" w:rsidRDefault="004350BE" w:rsidP="00A67C4B">
            <w:pPr>
              <w:tabs>
                <w:tab w:val="clear" w:pos="360"/>
              </w:tabs>
            </w:pPr>
            <w:r w:rsidRPr="00E90FCC">
              <w:t xml:space="preserve">Do not use a </w:t>
            </w:r>
            <w:bookmarkStart w:id="0" w:name="comma"/>
            <w:r w:rsidRPr="00E90FCC">
              <w:t>comma</w:t>
            </w:r>
            <w:bookmarkEnd w:id="0"/>
            <w:r w:rsidRPr="00E90FCC">
              <w:t xml:space="preserve"> before the last item in a </w:t>
            </w:r>
            <w:r w:rsidRPr="00E90FCC">
              <w:rPr>
                <w:i/>
                <w:iCs/>
              </w:rPr>
              <w:t>simple series</w:t>
            </w:r>
            <w:r w:rsidRPr="00E90FCC">
              <w:t xml:space="preserve"> (which constitutes a list of one-word items).</w:t>
            </w:r>
            <w:r w:rsidR="00A67C4B" w:rsidRPr="00E90FCC">
              <w:t xml:space="preserve"> </w:t>
            </w:r>
          </w:p>
          <w:p w:rsidR="0063684B" w:rsidRPr="002839E1" w:rsidRDefault="0063684B" w:rsidP="00A67C4B">
            <w:pPr>
              <w:tabs>
                <w:tab w:val="clear" w:pos="360"/>
              </w:tabs>
            </w:pPr>
            <w:r>
              <w:t xml:space="preserve">Remove acronyms and </w:t>
            </w:r>
            <w:proofErr w:type="spellStart"/>
            <w:r>
              <w:t>parenthesese</w:t>
            </w:r>
            <w:proofErr w:type="spellEnd"/>
          </w:p>
        </w:tc>
      </w:tr>
      <w:tr w:rsidR="00473C34" w:rsidTr="00232AA3">
        <w:tc>
          <w:tcPr>
            <w:tcW w:w="1441" w:type="dxa"/>
          </w:tcPr>
          <w:p w:rsidR="00C96CE6" w:rsidRDefault="00255030"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5D66DF" w:rsidRDefault="00E90FCC" w:rsidP="005D66DF">
            <w:r>
              <w:t>Clarify or define meaning</w:t>
            </w:r>
            <w:r w:rsidR="00286572">
              <w:t>s</w:t>
            </w:r>
            <w:r>
              <w:t xml:space="preserve"> of: attainment area, ambient air quality standards, Prevention of Significant Deterioration, radically expand, render them un-</w:t>
            </w:r>
            <w:proofErr w:type="spellStart"/>
            <w:r>
              <w:t>administratable</w:t>
            </w:r>
            <w:proofErr w:type="spellEnd"/>
            <w:r>
              <w:t xml:space="preserve">, biogenic, </w:t>
            </w:r>
            <w:proofErr w:type="spellStart"/>
            <w:r>
              <w:t>bioenergy</w:t>
            </w:r>
            <w:proofErr w:type="spellEnd"/>
            <w:r w:rsidR="003D5844">
              <w:t>, over the last three years.</w:t>
            </w:r>
            <w:r w:rsidR="005D66DF">
              <w:t xml:space="preserve"> Where the document is a little heavy on technical words, I ask for clarifications or swapped in simpler words. </w:t>
            </w:r>
          </w:p>
          <w:p w:rsidR="0063684B" w:rsidRDefault="00E90FCC" w:rsidP="005276A4">
            <w:pPr>
              <w:tabs>
                <w:tab w:val="clear" w:pos="360"/>
              </w:tabs>
              <w:ind w:left="0"/>
            </w:pPr>
            <w:r>
              <w:t xml:space="preserve">Consider word choice </w:t>
            </w:r>
            <w:r w:rsidR="00286572">
              <w:t>describing</w:t>
            </w:r>
            <w:r>
              <w:t xml:space="preserve"> EPA’s authority:</w:t>
            </w:r>
            <w:r w:rsidR="0068684B">
              <w:t xml:space="preserve"> “m</w:t>
            </w:r>
            <w:r w:rsidR="0063684B">
              <w:t xml:space="preserve">ay </w:t>
            </w:r>
            <w:r w:rsidR="0068684B">
              <w:t>n</w:t>
            </w:r>
            <w:r w:rsidR="0063684B">
              <w:t>ot</w:t>
            </w:r>
            <w:r w:rsidR="0068684B">
              <w:t>”</w:t>
            </w:r>
            <w:r w:rsidR="0063684B">
              <w:t xml:space="preserve"> vs</w:t>
            </w:r>
            <w:r w:rsidR="0068684B">
              <w:t>.</w:t>
            </w:r>
            <w:r w:rsidR="0063684B">
              <w:t xml:space="preserve"> </w:t>
            </w:r>
            <w:r w:rsidR="0068684B">
              <w:t>“</w:t>
            </w:r>
            <w:r w:rsidR="0063684B">
              <w:t>must not</w:t>
            </w:r>
            <w:r w:rsidR="0068684B">
              <w:t>”</w:t>
            </w:r>
            <w:r w:rsidR="0063684B">
              <w:t xml:space="preserve"> vs</w:t>
            </w:r>
            <w:r w:rsidR="0068684B">
              <w:t>.</w:t>
            </w:r>
            <w:r w:rsidR="0063684B">
              <w:t xml:space="preserve"> </w:t>
            </w:r>
            <w:r w:rsidR="0068684B">
              <w:t>“</w:t>
            </w:r>
            <w:r w:rsidR="0063684B">
              <w:t>is not authorized</w:t>
            </w:r>
            <w:r w:rsidR="0068684B">
              <w:t>”</w:t>
            </w:r>
            <w:r w:rsidR="00286572">
              <w:t xml:space="preserve"> treat greenhouse gases as a regulated pollutant.</w:t>
            </w:r>
          </w:p>
          <w:p w:rsidR="00E90FCC" w:rsidRDefault="00E90FCC" w:rsidP="0063684B">
            <w:pPr>
              <w:tabs>
                <w:tab w:val="clear" w:pos="360"/>
              </w:tabs>
              <w:ind w:left="0"/>
            </w:pPr>
            <w:r>
              <w:t xml:space="preserve">Clarify whether Oregon rules are independent from EPA rules. </w:t>
            </w:r>
          </w:p>
          <w:p w:rsidR="00C268DC" w:rsidRDefault="00D55C5A" w:rsidP="0063684B">
            <w:pPr>
              <w:tabs>
                <w:tab w:val="clear" w:pos="360"/>
              </w:tabs>
              <w:ind w:left="0"/>
            </w:pPr>
            <w:r>
              <w:t>Clarify whether we are asking EQC to take the U</w:t>
            </w:r>
            <w:r w:rsidR="00286572">
              <w:t>.</w:t>
            </w:r>
            <w:r>
              <w:t>S</w:t>
            </w:r>
            <w:r w:rsidR="00286572">
              <w:t>.</w:t>
            </w:r>
            <w:r>
              <w:t xml:space="preserve"> Supreme Court decision into consideration vs. address the decision. </w:t>
            </w:r>
          </w:p>
          <w:p w:rsidR="0063684B" w:rsidRDefault="00E90FCC" w:rsidP="0063684B">
            <w:pPr>
              <w:tabs>
                <w:tab w:val="clear" w:pos="360"/>
              </w:tabs>
              <w:ind w:left="0"/>
            </w:pPr>
            <w:r>
              <w:t>E</w:t>
            </w:r>
            <w:r w:rsidR="0063684B">
              <w:t>xplain what will happen if the rules expire or EQC does not remove the requirements in the temporary rulemaking.</w:t>
            </w:r>
          </w:p>
          <w:p w:rsidR="00E90FCC" w:rsidRDefault="00E90FCC" w:rsidP="00E90FCC">
            <w:pPr>
              <w:tabs>
                <w:tab w:val="clear" w:pos="360"/>
              </w:tabs>
              <w:ind w:left="0"/>
            </w:pPr>
            <w:proofErr w:type="gramStart"/>
            <w:r>
              <w:t>Use “remove</w:t>
            </w:r>
            <w:proofErr w:type="gramEnd"/>
            <w:r>
              <w:t xml:space="preserve">” in place of “suspend” and “repeal” because </w:t>
            </w:r>
            <w:r w:rsidR="006E5EED">
              <w:t>our proposed action does not suspend and repeal rules.</w:t>
            </w:r>
          </w:p>
          <w:p w:rsidR="00E90FCC" w:rsidRDefault="00E90FCC" w:rsidP="00E90FCC">
            <w:pPr>
              <w:tabs>
                <w:tab w:val="clear" w:pos="360"/>
              </w:tabs>
              <w:ind w:left="0"/>
            </w:pPr>
            <w:r>
              <w:t>Either remove</w:t>
            </w:r>
            <w:r w:rsidR="006E5EED">
              <w:t xml:space="preserve"> the</w:t>
            </w:r>
            <w:r>
              <w:t xml:space="preserve"> paragraph about biogenic CO2 from</w:t>
            </w:r>
            <w:r w:rsidR="006E5EED">
              <w:t xml:space="preserve"> the</w:t>
            </w:r>
            <w:r>
              <w:t xml:space="preserve"> Background action or </w:t>
            </w:r>
            <w:r w:rsidR="006E5EED">
              <w:t>demonstrate i</w:t>
            </w:r>
            <w:r>
              <w:t>ts relevance to the proposed rules.</w:t>
            </w:r>
          </w:p>
          <w:p w:rsidR="00C268DC" w:rsidRDefault="00C268DC" w:rsidP="00E90FCC">
            <w:pPr>
              <w:tabs>
                <w:tab w:val="clear" w:pos="360"/>
              </w:tabs>
              <w:ind w:left="0"/>
            </w:pPr>
            <w:r>
              <w:t>Summarize EPA’s role in Background section.</w:t>
            </w:r>
          </w:p>
          <w:p w:rsidR="00C268DC" w:rsidRDefault="00C268DC" w:rsidP="00E90FCC">
            <w:pPr>
              <w:tabs>
                <w:tab w:val="clear" w:pos="360"/>
              </w:tabs>
              <w:ind w:left="0"/>
            </w:pPr>
            <w:r>
              <w:t>It’s not always clear whether</w:t>
            </w:r>
            <w:r w:rsidR="006E5EED">
              <w:t xml:space="preserve"> the permitting requirements and consequences</w:t>
            </w:r>
            <w:r>
              <w:t xml:space="preserve"> apply to Title V permit holders only, Prevention of Significant Deterioration permit holders only, or both.</w:t>
            </w:r>
          </w:p>
          <w:p w:rsidR="00C268DC" w:rsidRDefault="00C268DC" w:rsidP="00E90FCC">
            <w:pPr>
              <w:tabs>
                <w:tab w:val="clear" w:pos="360"/>
              </w:tabs>
              <w:ind w:left="0"/>
            </w:pPr>
            <w:r>
              <w:t xml:space="preserve">Explain the environmental consequences of </w:t>
            </w:r>
            <w:r w:rsidR="006E5EED">
              <w:t>adopting the proposed rules</w:t>
            </w:r>
            <w:r>
              <w:t xml:space="preserve">. </w:t>
            </w:r>
            <w:r w:rsidR="006E5EED">
              <w:t>T</w:t>
            </w:r>
            <w:r w:rsidR="00E738CB">
              <w:t>he</w:t>
            </w:r>
            <w:r w:rsidR="006E5EED">
              <w:t xml:space="preserve"> EQC and the</w:t>
            </w:r>
            <w:r w:rsidR="00E738CB">
              <w:t xml:space="preserve"> public might fear that removing the permitting requirements will cause environmental harm. </w:t>
            </w:r>
          </w:p>
          <w:p w:rsidR="00E738CB" w:rsidRDefault="00E738CB" w:rsidP="00E738CB">
            <w:pPr>
              <w:pStyle w:val="CommentText"/>
            </w:pPr>
            <w:r>
              <w:t>Begin paragraphs with pointed, direct statements. In a few places, the point of the paragraph was buried.</w:t>
            </w:r>
          </w:p>
          <w:p w:rsidR="003D5844" w:rsidRDefault="003D5844" w:rsidP="00A94382">
            <w:pPr>
              <w:pStyle w:val="CommentText"/>
            </w:pPr>
            <w:r>
              <w:t>Concerning c</w:t>
            </w:r>
            <w:r w:rsidR="009E332D">
              <w:t xml:space="preserve">onsequences of not adopting the proposed rules: </w:t>
            </w:r>
          </w:p>
          <w:p w:rsidR="003D5844" w:rsidRDefault="009E332D" w:rsidP="003D5844">
            <w:pPr>
              <w:pStyle w:val="CommentText"/>
              <w:numPr>
                <w:ilvl w:val="0"/>
                <w:numId w:val="7"/>
              </w:numPr>
            </w:pPr>
            <w:r>
              <w:t>Estimate the number of facilities that w</w:t>
            </w:r>
            <w:r w:rsidR="00E738CB">
              <w:t xml:space="preserve">ill </w:t>
            </w:r>
            <w:r>
              <w:t>pay the permitting and control costs</w:t>
            </w:r>
            <w:r w:rsidR="00E738CB">
              <w:t xml:space="preserve">. </w:t>
            </w:r>
          </w:p>
          <w:p w:rsidR="003D5844" w:rsidRDefault="00A94382" w:rsidP="003D5844">
            <w:pPr>
              <w:pStyle w:val="CommentText"/>
              <w:numPr>
                <w:ilvl w:val="0"/>
                <w:numId w:val="7"/>
              </w:numPr>
            </w:pPr>
            <w:r>
              <w:t>P</w:t>
            </w:r>
            <w:r w:rsidR="009E332D">
              <w:t>rovide an approximate range of fees facilities will likely pay.</w:t>
            </w:r>
            <w:r>
              <w:t xml:space="preserve"> </w:t>
            </w:r>
          </w:p>
          <w:p w:rsidR="003D5844" w:rsidRDefault="00A94382" w:rsidP="003D5844">
            <w:pPr>
              <w:pStyle w:val="CommentText"/>
              <w:numPr>
                <w:ilvl w:val="0"/>
                <w:numId w:val="7"/>
              </w:numPr>
            </w:pPr>
            <w:r>
              <w:t xml:space="preserve">Update the fee amounts to reflect Gregg </w:t>
            </w:r>
            <w:proofErr w:type="spellStart"/>
            <w:r>
              <w:t>Dahmen’s</w:t>
            </w:r>
            <w:proofErr w:type="spellEnd"/>
            <w:r>
              <w:t xml:space="preserve"> Title V fee increase rule adoption in Aug. 2014.</w:t>
            </w:r>
          </w:p>
          <w:p w:rsidR="003D5844" w:rsidRPr="003D5844" w:rsidRDefault="003D5844" w:rsidP="003D5844">
            <w:pPr>
              <w:pStyle w:val="CommentText"/>
            </w:pPr>
            <w:r>
              <w:t>In the documents relied upon section, did we use specific rules and statutes to prepare this rulemaking, other than the statutory authority and statutes implemented? If yes, list them. If no</w:t>
            </w:r>
            <w:r w:rsidR="006E5EED">
              <w:t>t</w:t>
            </w:r>
            <w:r>
              <w:t>, delete the general references to rules and statutes.</w:t>
            </w:r>
          </w:p>
        </w:tc>
      </w:tr>
      <w:tr w:rsidR="00473C34" w:rsidTr="00232AA3">
        <w:tc>
          <w:tcPr>
            <w:tcW w:w="1441" w:type="dxa"/>
          </w:tcPr>
          <w:p w:rsidR="00C96CE6" w:rsidRDefault="00255030"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E90FCC" w:rsidP="00C41BEF">
            <w:pPr>
              <w:tabs>
                <w:tab w:val="clear" w:pos="360"/>
              </w:tabs>
              <w:spacing w:before="0" w:after="0"/>
            </w:pPr>
            <w:r>
              <w:t>Two areas need attention</w:t>
            </w:r>
            <w:r w:rsidR="00C41BEF">
              <w:t>:</w:t>
            </w:r>
          </w:p>
          <w:p w:rsidR="00E90FCC" w:rsidRPr="00E90FCC" w:rsidRDefault="00E90FCC" w:rsidP="00E90FCC">
            <w:pPr>
              <w:pStyle w:val="ListParagraph"/>
              <w:numPr>
                <w:ilvl w:val="0"/>
                <w:numId w:val="6"/>
              </w:numPr>
              <w:spacing w:after="0"/>
            </w:pPr>
            <w:r w:rsidRPr="00E90FCC">
              <w:t xml:space="preserve">amend vs. revise </w:t>
            </w:r>
          </w:p>
          <w:p w:rsidR="00C96CE6" w:rsidRPr="00E90FCC" w:rsidRDefault="00E90FCC" w:rsidP="00E90FCC">
            <w:pPr>
              <w:pStyle w:val="ListParagraph"/>
              <w:numPr>
                <w:ilvl w:val="0"/>
                <w:numId w:val="6"/>
              </w:numPr>
              <w:spacing w:after="0"/>
            </w:pPr>
            <w:r w:rsidRPr="00E90FCC">
              <w:t>s</w:t>
            </w:r>
            <w:r w:rsidR="0023488C" w:rsidRPr="00E90FCC">
              <w:t xml:space="preserve">ource </w:t>
            </w:r>
            <w:proofErr w:type="spellStart"/>
            <w:r w:rsidR="0023488C" w:rsidRPr="00E90FCC">
              <w:t>vs</w:t>
            </w:r>
            <w:proofErr w:type="spellEnd"/>
            <w:r w:rsidR="0023488C" w:rsidRPr="00E90FCC">
              <w:t xml:space="preserve"> stationary source vs. major </w:t>
            </w:r>
            <w:r w:rsidR="002839E1" w:rsidRPr="00E90FCC">
              <w:t xml:space="preserve">source vs. </w:t>
            </w:r>
            <w:r w:rsidR="0023488C" w:rsidRPr="00E90FCC">
              <w:t xml:space="preserve">major emitting facility vs. </w:t>
            </w:r>
            <w:r w:rsidR="002839E1" w:rsidRPr="00E90FCC">
              <w:t>facility vs. business</w:t>
            </w:r>
            <w:r w:rsidR="00A67C4B" w:rsidRPr="00E90FCC">
              <w:t xml:space="preserve"> </w:t>
            </w:r>
          </w:p>
          <w:p w:rsidR="00C41BEF" w:rsidRDefault="00C41BEF" w:rsidP="00E90FCC">
            <w:pPr>
              <w:tabs>
                <w:tab w:val="clear" w:pos="360"/>
              </w:tabs>
              <w:spacing w:before="0" w:after="0"/>
              <w:ind w:left="271"/>
            </w:pPr>
          </w:p>
        </w:tc>
      </w:tr>
      <w:tr w:rsidR="00473C34" w:rsidTr="00232AA3">
        <w:tc>
          <w:tcPr>
            <w:tcW w:w="1441" w:type="dxa"/>
          </w:tcPr>
          <w:p w:rsidR="00C96CE6" w:rsidRDefault="00255030" w:rsidP="00E90FCC">
            <w:pPr>
              <w:jc w:val="center"/>
              <w:rPr>
                <w:rStyle w:val="Checkbox"/>
              </w:rPr>
            </w:pPr>
            <w:sdt>
              <w:sdtPr>
                <w:rPr>
                  <w:rStyle w:val="Checkbox"/>
                </w:rPr>
                <w:id w:val="4590750"/>
              </w:sdtPr>
              <w:sdtContent>
                <w:r w:rsidR="00E90FCC">
                  <w:rPr>
                    <w:rStyle w:val="Checkbox"/>
                  </w:rPr>
                  <w:sym w:font="Wingdings" w:char="F07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347D10" w:rsidRDefault="00E90FCC" w:rsidP="005A6765">
            <w:pPr>
              <w:tabs>
                <w:tab w:val="clear" w:pos="360"/>
              </w:tabs>
            </w:pPr>
            <w:r>
              <w:t>Complete</w:t>
            </w:r>
          </w:p>
        </w:tc>
      </w:tr>
      <w:tr w:rsidR="00473C34" w:rsidTr="00232AA3">
        <w:tc>
          <w:tcPr>
            <w:tcW w:w="1441" w:type="dxa"/>
          </w:tcPr>
          <w:p w:rsidR="00654ADA" w:rsidRDefault="00255030" w:rsidP="00E90FCC">
            <w:pPr>
              <w:jc w:val="center"/>
              <w:rPr>
                <w:rStyle w:val="Checkbox"/>
              </w:rPr>
            </w:pPr>
            <w:sdt>
              <w:sdtPr>
                <w:rPr>
                  <w:rStyle w:val="Checkbox"/>
                </w:rPr>
                <w:id w:val="9289858"/>
              </w:sdtPr>
              <w:sdtContent>
                <w:r w:rsidR="00E90FCC">
                  <w:rPr>
                    <w:rStyle w:val="Checkbox"/>
                  </w:rPr>
                  <w:sym w:font="Wingdings" w:char="F078"/>
                </w:r>
              </w:sdtContent>
            </w:sdt>
          </w:p>
        </w:tc>
        <w:tc>
          <w:tcPr>
            <w:tcW w:w="4914" w:type="dxa"/>
          </w:tcPr>
          <w:p w:rsidR="00654ADA" w:rsidRDefault="00654ADA" w:rsidP="00654ADA">
            <w:pPr>
              <w:tabs>
                <w:tab w:val="clear" w:pos="360"/>
              </w:tabs>
            </w:pPr>
            <w:r>
              <w:t>Includes recent document enhancements</w:t>
            </w:r>
          </w:p>
        </w:tc>
        <w:tc>
          <w:tcPr>
            <w:tcW w:w="4455" w:type="dxa"/>
          </w:tcPr>
          <w:p w:rsidR="0068684B" w:rsidRDefault="0063684B" w:rsidP="0068684B">
            <w:pPr>
              <w:tabs>
                <w:tab w:val="clear" w:pos="360"/>
              </w:tabs>
            </w:pPr>
            <w:r>
              <w:t>Added back authorizing statute.</w:t>
            </w:r>
            <w:r w:rsidR="0068684B">
              <w:t xml:space="preserve"> </w:t>
            </w:r>
          </w:p>
          <w:p w:rsidR="00654ADA" w:rsidRDefault="0068684B" w:rsidP="0068684B">
            <w:pPr>
              <w:tabs>
                <w:tab w:val="clear" w:pos="360"/>
              </w:tabs>
            </w:pPr>
            <w:r>
              <w:t xml:space="preserve">Aligned </w:t>
            </w:r>
            <w:r w:rsidR="0063684B">
              <w:t>EQC recommendation</w:t>
            </w:r>
            <w:r>
              <w:t xml:space="preserve"> with staff report</w:t>
            </w:r>
            <w:r w:rsidR="0063684B">
              <w:t>.</w:t>
            </w:r>
          </w:p>
        </w:tc>
      </w:tr>
      <w:tr w:rsidR="00473C34" w:rsidTr="00232AA3">
        <w:tc>
          <w:tcPr>
            <w:tcW w:w="1441" w:type="dxa"/>
          </w:tcPr>
          <w:p w:rsidR="00C96CE6" w:rsidRDefault="00255030" w:rsidP="00E90FCC">
            <w:pPr>
              <w:jc w:val="center"/>
              <w:rPr>
                <w:rStyle w:val="Checkbox"/>
              </w:rPr>
            </w:pPr>
            <w:sdt>
              <w:sdtPr>
                <w:rPr>
                  <w:rStyle w:val="Checkbox"/>
                </w:rPr>
                <w:id w:val="4590663"/>
              </w:sdtPr>
              <w:sdtContent>
                <w:r w:rsidR="00E90FCC">
                  <w:rPr>
                    <w:rStyle w:val="Checkbox"/>
                  </w:rPr>
                  <w:sym w:font="Wingdings" w:char="F078"/>
                </w:r>
              </w:sdtContent>
            </w:sdt>
          </w:p>
        </w:tc>
        <w:tc>
          <w:tcPr>
            <w:tcW w:w="4914" w:type="dxa"/>
          </w:tcPr>
          <w:p w:rsidR="00C96CE6" w:rsidRDefault="00654ADA" w:rsidP="00852135">
            <w:pPr>
              <w:tabs>
                <w:tab w:val="clear" w:pos="360"/>
              </w:tabs>
            </w:pPr>
            <w:r>
              <w:t xml:space="preserve">Rules listed in </w:t>
            </w:r>
            <w:r w:rsidR="00852135">
              <w:t>Staff Report</w:t>
            </w:r>
            <w:r>
              <w:t xml:space="preserve"> match Proposed Rules</w:t>
            </w:r>
          </w:p>
        </w:tc>
        <w:tc>
          <w:tcPr>
            <w:tcW w:w="4455" w:type="dxa"/>
          </w:tcPr>
          <w:p w:rsidR="00B73EA0" w:rsidRDefault="00E90FCC" w:rsidP="002A4381">
            <w:pPr>
              <w:tabs>
                <w:tab w:val="clear" w:pos="360"/>
              </w:tabs>
            </w:pPr>
            <w:r>
              <w:t>Complete</w:t>
            </w: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255030"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255030"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255030"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Redline/Striketh</w:t>
      </w:r>
      <w:r w:rsidR="0086472C">
        <w:t>rou</w:t>
      </w:r>
      <w:r>
        <w:t xml:space="preserve">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9"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1"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2" w:author="Duncan" w:date="2013-09-09T16:38:00Z">
        <w:r w:rsidRPr="00566B61" w:rsidDel="009D3B5D">
          <w:delText>Environmental Quality Commission</w:delText>
        </w:r>
      </w:del>
      <w:ins w:id="3"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4" w:author="jill inahara" w:date="2012-10-23T10:31:00Z"/>
          <w:b/>
          <w:bCs/>
        </w:rPr>
      </w:pPr>
      <w:ins w:id="5" w:author="jill inahara" w:date="2012-10-23T10:31:00Z">
        <w:r w:rsidRPr="002F05D5">
          <w:rPr>
            <w:b/>
            <w:bCs/>
          </w:rPr>
          <w:t>340-202-0225</w:t>
        </w:r>
      </w:ins>
    </w:p>
    <w:p w:rsidR="00473C34" w:rsidRPr="002F05D5" w:rsidRDefault="00473C34" w:rsidP="00473C34">
      <w:pPr>
        <w:rPr>
          <w:ins w:id="6" w:author="jill inahara" w:date="2012-10-23T10:31:00Z"/>
        </w:rPr>
      </w:pPr>
      <w:ins w:id="7" w:author="jill inahara" w:date="2012-10-23T10:31:00Z">
        <w:r w:rsidRPr="002F05D5">
          <w:rPr>
            <w:b/>
            <w:bCs/>
          </w:rPr>
          <w:t xml:space="preserve">Ambient Air Quality </w:t>
        </w:r>
        <w:commentRangeStart w:id="8"/>
        <w:del w:id="9" w:author="pcuser" w:date="2013-03-07T10:40:00Z">
          <w:r w:rsidRPr="002F05D5" w:rsidDel="00C658B2">
            <w:rPr>
              <w:b/>
              <w:bCs/>
            </w:rPr>
            <w:delText>Threshold</w:delText>
          </w:r>
        </w:del>
      </w:ins>
      <w:commentRangeEnd w:id="8"/>
      <w:r>
        <w:rPr>
          <w:rStyle w:val="CommentReference"/>
        </w:rPr>
        <w:commentReference w:id="8"/>
      </w:r>
      <w:ins w:id="10" w:author="pcuser" w:date="2013-03-07T10:40:00Z">
        <w:r w:rsidRPr="002F05D5">
          <w:rPr>
            <w:b/>
            <w:bCs/>
          </w:rPr>
          <w:t>Limit</w:t>
        </w:r>
      </w:ins>
      <w:ins w:id="11" w:author="jill inahara" w:date="2012-10-23T10:31:00Z">
        <w:r w:rsidRPr="002F05D5">
          <w:rPr>
            <w:b/>
            <w:bCs/>
          </w:rPr>
          <w:t>s for Maintenance Areas</w:t>
        </w:r>
      </w:ins>
      <w:ins w:id="12" w:author="jill inahara" w:date="2012-10-23T10:39:00Z">
        <w:r w:rsidRPr="002F05D5">
          <w:rPr>
            <w:b/>
            <w:bCs/>
          </w:rPr>
          <w:tab/>
        </w:r>
      </w:ins>
    </w:p>
    <w:p w:rsidR="00473C34" w:rsidRPr="002F05D5" w:rsidRDefault="00473C34" w:rsidP="00473C34">
      <w:pPr>
        <w:rPr>
          <w:ins w:id="13" w:author="pcuser" w:date="2013-06-14T09:22:00Z"/>
        </w:rPr>
      </w:pPr>
      <w:ins w:id="14" w:author="pcuser" w:date="2013-06-14T09:22:00Z">
        <w:r w:rsidRPr="002F05D5">
          <w:t xml:space="preserve">The following ambient air quality limits </w:t>
        </w:r>
      </w:ins>
      <w:ins w:id="15" w:author="pcuser" w:date="2013-08-29T11:17:00Z">
        <w:r w:rsidRPr="002F05D5">
          <w:t>apply to</w:t>
        </w:r>
      </w:ins>
      <w:ins w:id="16" w:author="pcuser" w:date="2013-06-14T09:22:00Z">
        <w:r w:rsidRPr="002F05D5">
          <w:t xml:space="preserve"> </w:t>
        </w:r>
      </w:ins>
      <w:ins w:id="17" w:author="pcuser" w:date="2013-06-14T09:23:00Z">
        <w:r w:rsidRPr="002F05D5">
          <w:t>the areas specified for the purpose of the air quality analysis in OAR</w:t>
        </w:r>
      </w:ins>
      <w:ins w:id="18" w:author="pcuser" w:date="2013-06-14T09:24:00Z">
        <w:r w:rsidRPr="002F05D5">
          <w:t xml:space="preserve"> 340-224-0060</w:t>
        </w:r>
      </w:ins>
      <w:ins w:id="19" w:author="pcuser" w:date="2013-08-29T11:18:00Z">
        <w:r w:rsidRPr="002F05D5">
          <w:t xml:space="preserve"> </w:t>
        </w:r>
      </w:ins>
      <w:ins w:id="20" w:author="pcuser" w:date="2013-06-14T09:24:00Z">
        <w:r w:rsidRPr="002F05D5">
          <w:t>and 340-224-0260</w:t>
        </w:r>
      </w:ins>
      <w:ins w:id="21" w:author="pcuser" w:date="2013-06-14T09:28:00Z">
        <w:r w:rsidRPr="002F05D5">
          <w:t>, if required</w:t>
        </w:r>
      </w:ins>
      <w:ins w:id="22" w:author="mvandeh" w:date="2014-02-03T08:36:00Z">
        <w:r>
          <w:t>.</w:t>
        </w:r>
      </w:ins>
      <w:ins w:id="23" w:author="pcuser" w:date="2013-06-14T09:24:00Z">
        <w:r w:rsidRPr="002F05D5">
          <w:t xml:space="preserve"> </w:t>
        </w:r>
      </w:ins>
    </w:p>
    <w:p w:rsidR="00473C34" w:rsidRPr="002F05D5" w:rsidRDefault="00473C34" w:rsidP="00473C34">
      <w:pPr>
        <w:rPr>
          <w:ins w:id="24" w:author="Preferred Customer" w:date="2012-12-12T08:42:00Z"/>
        </w:rPr>
      </w:pPr>
      <w:ins w:id="25" w:author="Preferred Customer" w:date="2012-12-12T08:42:00Z">
        <w:r w:rsidRPr="002F05D5">
          <w:t>(</w:t>
        </w:r>
      </w:ins>
      <w:ins w:id="26" w:author="Preferred Customer" w:date="2012-12-12T08:28:00Z">
        <w:r w:rsidRPr="002F05D5">
          <w:t>1</w:t>
        </w:r>
      </w:ins>
      <w:ins w:id="27" w:author="jill inahara" w:date="2012-10-23T10:39:00Z">
        <w:r w:rsidRPr="002F05D5">
          <w:t>) In a carbon monoxide maintenance area</w:t>
        </w:r>
      </w:ins>
      <w:ins w:id="28" w:author="Preferred Customer" w:date="2012-12-12T08:28:00Z">
        <w:r w:rsidRPr="002F05D5">
          <w:t>,</w:t>
        </w:r>
      </w:ins>
      <w:ins w:id="29"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30" w:author="jill inahara" w:date="2012-10-23T10:39:00Z"/>
        </w:rPr>
      </w:pPr>
      <w:ins w:id="31" w:author="jill inahara" w:date="2012-10-23T10:39:00Z">
        <w:r w:rsidRPr="002F05D5">
          <w:t>(</w:t>
        </w:r>
      </w:ins>
      <w:ins w:id="32" w:author="Preferred Customer" w:date="2012-12-12T08:43:00Z">
        <w:r w:rsidRPr="002F05D5">
          <w:t>2</w:t>
        </w:r>
      </w:ins>
      <w:ins w:id="33" w:author="jill inahara" w:date="2012-10-23T10:39:00Z">
        <w:r w:rsidRPr="002F05D5">
          <w:t>) In a PM10 maintenance area</w:t>
        </w:r>
      </w:ins>
      <w:ins w:id="34" w:author="Preferred Customer" w:date="2012-12-12T08:45:00Z">
        <w:r w:rsidRPr="002F05D5">
          <w:t xml:space="preserve">, </w:t>
        </w:r>
      </w:ins>
      <w:ins w:id="35" w:author="jill inahara" w:date="2012-10-23T10:39:00Z">
        <w:r w:rsidRPr="002F05D5">
          <w:t xml:space="preserve">an air quality impact </w:t>
        </w:r>
      </w:ins>
      <w:ins w:id="36" w:author="Preferred Customer" w:date="2012-12-12T08:44:00Z">
        <w:r w:rsidRPr="002F05D5">
          <w:t>less than or equal to</w:t>
        </w:r>
      </w:ins>
      <w:ins w:id="37" w:author="jill inahara" w:date="2012-10-23T10:39:00Z">
        <w:r w:rsidRPr="002F05D5">
          <w:t xml:space="preserve">: </w:t>
        </w:r>
      </w:ins>
    </w:p>
    <w:p w:rsidR="00473C34" w:rsidRPr="002F05D5" w:rsidRDefault="00473C34" w:rsidP="00473C34">
      <w:pPr>
        <w:rPr>
          <w:ins w:id="38" w:author="jill inahara" w:date="2012-10-23T10:39:00Z"/>
        </w:rPr>
      </w:pPr>
      <w:proofErr w:type="gramStart"/>
      <w:ins w:id="39" w:author="jill inahara" w:date="2012-10-23T10:39:00Z">
        <w:r w:rsidRPr="002F05D5">
          <w:t>(</w:t>
        </w:r>
      </w:ins>
      <w:ins w:id="40" w:author="Preferred Customer" w:date="2012-12-12T08:44:00Z">
        <w:r w:rsidRPr="002F05D5">
          <w:t>a</w:t>
        </w:r>
      </w:ins>
      <w:ins w:id="41"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2" w:author="jill inahara" w:date="2012-10-23T10:39:00Z"/>
        </w:rPr>
      </w:pPr>
      <w:ins w:id="43" w:author="jill inahara" w:date="2012-10-23T10:39:00Z">
        <w:r w:rsidRPr="002F05D5">
          <w:t>(</w:t>
        </w:r>
      </w:ins>
      <w:ins w:id="44" w:author="Preferred Customer" w:date="2012-12-12T08:44:00Z">
        <w:r w:rsidRPr="002F05D5">
          <w:t>b</w:t>
        </w:r>
      </w:ins>
      <w:ins w:id="45" w:author="jill inahara" w:date="2012-10-23T10:39:00Z">
        <w:r w:rsidRPr="002F05D5">
          <w:t xml:space="preserve">) 140 ug/m3 (24-hour average) in the Klamath Falls PM10 maintenance area; or </w:t>
        </w:r>
      </w:ins>
    </w:p>
    <w:p w:rsidR="00473C34" w:rsidRPr="002F05D5" w:rsidRDefault="00473C34" w:rsidP="00473C34">
      <w:pPr>
        <w:rPr>
          <w:ins w:id="46" w:author="pcuser" w:date="2013-08-23T21:41:00Z"/>
        </w:rPr>
      </w:pPr>
      <w:proofErr w:type="gramStart"/>
      <w:ins w:id="47" w:author="pcuser" w:date="2013-08-23T21:41:00Z">
        <w:r w:rsidRPr="002F05D5">
          <w:t>(</w:t>
        </w:r>
      </w:ins>
      <w:ins w:id="48" w:author="Preferred Customer" w:date="2012-12-12T08:44:00Z">
        <w:r w:rsidRPr="002F05D5">
          <w:t>c</w:t>
        </w:r>
      </w:ins>
      <w:ins w:id="49"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50" w:author="pcuser" w:date="2013-08-23T21:41:00Z"/>
        </w:rPr>
      </w:pPr>
      <w:ins w:id="51"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2" w:author="pcuser" w:date="2013-08-23T21:43:00Z"/>
        </w:rPr>
      </w:pPr>
      <w:ins w:id="5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4" w:author="jinahar" w:date="2012-09-18T14:09:00Z">
        <w:r w:rsidRPr="002F08FE" w:rsidDel="00074001">
          <w:rPr>
            <w:rFonts w:eastAsia="Times New Roman"/>
            <w:b/>
            <w:bCs/>
            <w:color w:val="000000"/>
          </w:rPr>
          <w:delText>43</w:delText>
        </w:r>
      </w:del>
      <w:ins w:id="55" w:author="jinahar" w:date="2012-09-18T14:09:00Z">
        <w:r w:rsidRPr="002F08FE">
          <w:rPr>
            <w:rFonts w:eastAsia="Times New Roman"/>
            <w:b/>
            <w:bCs/>
            <w:color w:val="000000"/>
          </w:rPr>
          <w:t>3</w:t>
        </w:r>
      </w:ins>
      <w:ins w:id="56"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7"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8"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9"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60" w:author="Duncan" w:date="2013-09-11T17:28:00Z">
        <w:r>
          <w:rPr>
            <w:rFonts w:eastAsia="Times New Roman"/>
            <w:color w:val="000000"/>
          </w:rPr>
          <w:t>s</w:t>
        </w:r>
      </w:ins>
      <w:r w:rsidRPr="002F08FE" w:rsidDel="00EE20C8">
        <w:rPr>
          <w:rFonts w:eastAsia="Times New Roman"/>
          <w:color w:val="000000"/>
        </w:rPr>
        <w:t xml:space="preserve"> may </w:t>
      </w:r>
      <w:ins w:id="61" w:author="Duncan" w:date="2013-09-11T17:28:00Z">
        <w:r>
          <w:rPr>
            <w:rFonts w:eastAsia="Times New Roman"/>
            <w:color w:val="000000"/>
          </w:rPr>
          <w:t xml:space="preserve">not exceed limits established </w:t>
        </w:r>
      </w:ins>
      <w:del w:id="62"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3" w:author="Mark" w:date="2014-02-10T14:34:00Z"/>
        </w:rPr>
      </w:pPr>
      <w:del w:id="64" w:author="Mark" w:date="2014-02-10T14:34:00Z">
        <w:r w:rsidRPr="002F05D5" w:rsidDel="00E815DE">
          <w:rPr>
            <w:b/>
            <w:bCs/>
          </w:rPr>
          <w:delText>340-208-0100</w:delText>
        </w:r>
      </w:del>
    </w:p>
    <w:p w:rsidR="00473C34" w:rsidRPr="002F05D5" w:rsidDel="005B5DA5" w:rsidRDefault="00473C34" w:rsidP="00473C34">
      <w:pPr>
        <w:rPr>
          <w:del w:id="65" w:author="Preferred Customer" w:date="2013-09-10T22:07:00Z"/>
        </w:rPr>
      </w:pPr>
      <w:ins w:id="66" w:author="Preferred Customer" w:date="2013-09-10T22:07:00Z">
        <w:del w:id="67" w:author="Mark" w:date="2014-02-10T14:34:00Z">
          <w:r w:rsidRPr="002F05D5" w:rsidDel="00E815DE">
            <w:rPr>
              <w:b/>
              <w:bCs/>
            </w:rPr>
            <w:delText xml:space="preserve"> </w:delText>
          </w:r>
        </w:del>
      </w:ins>
      <w:del w:id="68" w:author="Preferred Customer" w:date="2013-09-10T22:07:00Z">
        <w:r w:rsidRPr="002F05D5" w:rsidDel="005B5DA5">
          <w:rPr>
            <w:b/>
            <w:bCs/>
          </w:rPr>
          <w:delText>Applicability</w:delText>
        </w:r>
      </w:del>
    </w:p>
    <w:p w:rsidR="00473C34" w:rsidRPr="002F05D5" w:rsidDel="005B5DA5" w:rsidRDefault="00473C34" w:rsidP="00473C34">
      <w:pPr>
        <w:rPr>
          <w:del w:id="69" w:author="Preferred Customer" w:date="2013-09-10T22:07:00Z"/>
        </w:rPr>
      </w:pPr>
      <w:del w:id="70"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1" w:author="Mark" w:date="2014-02-10T14:35:00Z"/>
        </w:rPr>
      </w:pPr>
      <w:del w:id="7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3" w:author="Mark" w:date="2014-02-10T14:35:00Z">
        <w:r w:rsidRPr="002F05D5" w:rsidDel="00E815DE">
          <w:delText>Stat. Auth.: ORS 468 &amp; ORS 468A</w:delText>
        </w:r>
        <w:r w:rsidRPr="002F05D5" w:rsidDel="00E815DE">
          <w:br/>
          <w:delText>Stats. Implemented:</w:delText>
        </w:r>
      </w:del>
      <w:ins w:id="74" w:author="Preferred Customer" w:date="2013-09-21T12:36:00Z">
        <w:del w:id="75" w:author="Mark" w:date="2014-02-10T14:35:00Z">
          <w:r w:rsidDel="00E815DE">
            <w:delText xml:space="preserve"> </w:delText>
          </w:r>
        </w:del>
      </w:ins>
      <w:del w:id="76"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vandeh" w:date="2014-04-24T10:01:00Z" w:initials="m">
    <w:p w:rsidR="00475E19" w:rsidRDefault="00475E19"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2AE3FEC"/>
    <w:multiLevelType w:val="hybridMultilevel"/>
    <w:tmpl w:val="EB8E4D0E"/>
    <w:lvl w:ilvl="0" w:tplc="0409000F">
      <w:start w:val="1"/>
      <w:numFmt w:val="decimal"/>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5">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70500D7A"/>
    <w:multiLevelType w:val="hybridMultilevel"/>
    <w:tmpl w:val="710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docVars>
    <w:docVar w:name="dgnword-lastRevisionsView" w:val="0"/>
  </w:docVars>
  <w:rsids>
    <w:rsidRoot w:val="00C96CE6"/>
    <w:rsid w:val="00010A7B"/>
    <w:rsid w:val="00046FBB"/>
    <w:rsid w:val="00047512"/>
    <w:rsid w:val="0006624A"/>
    <w:rsid w:val="0007121C"/>
    <w:rsid w:val="00081375"/>
    <w:rsid w:val="00091B69"/>
    <w:rsid w:val="00092BD8"/>
    <w:rsid w:val="00093587"/>
    <w:rsid w:val="000A207D"/>
    <w:rsid w:val="000C00FE"/>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488C"/>
    <w:rsid w:val="002372C8"/>
    <w:rsid w:val="002522AA"/>
    <w:rsid w:val="00255030"/>
    <w:rsid w:val="002633DD"/>
    <w:rsid w:val="00273122"/>
    <w:rsid w:val="00276A83"/>
    <w:rsid w:val="0028022B"/>
    <w:rsid w:val="002839E1"/>
    <w:rsid w:val="00286572"/>
    <w:rsid w:val="002941E4"/>
    <w:rsid w:val="002A4381"/>
    <w:rsid w:val="002D6F71"/>
    <w:rsid w:val="002F205C"/>
    <w:rsid w:val="002F4FAC"/>
    <w:rsid w:val="00303715"/>
    <w:rsid w:val="00303E9D"/>
    <w:rsid w:val="00313D83"/>
    <w:rsid w:val="0031662A"/>
    <w:rsid w:val="00347D10"/>
    <w:rsid w:val="00370282"/>
    <w:rsid w:val="00371A20"/>
    <w:rsid w:val="003B3601"/>
    <w:rsid w:val="003D5844"/>
    <w:rsid w:val="003E1A27"/>
    <w:rsid w:val="003F55BA"/>
    <w:rsid w:val="003F5A6A"/>
    <w:rsid w:val="00404189"/>
    <w:rsid w:val="00406CA6"/>
    <w:rsid w:val="0041427E"/>
    <w:rsid w:val="004350BE"/>
    <w:rsid w:val="00437BAF"/>
    <w:rsid w:val="0045697A"/>
    <w:rsid w:val="004618E9"/>
    <w:rsid w:val="00470FE7"/>
    <w:rsid w:val="00473C34"/>
    <w:rsid w:val="00475E19"/>
    <w:rsid w:val="00483513"/>
    <w:rsid w:val="00491CBA"/>
    <w:rsid w:val="004A26CB"/>
    <w:rsid w:val="004B07ED"/>
    <w:rsid w:val="004D2118"/>
    <w:rsid w:val="004E415B"/>
    <w:rsid w:val="005026D7"/>
    <w:rsid w:val="005276A4"/>
    <w:rsid w:val="00542DAA"/>
    <w:rsid w:val="00555005"/>
    <w:rsid w:val="0057711C"/>
    <w:rsid w:val="005A6765"/>
    <w:rsid w:val="005C1587"/>
    <w:rsid w:val="005C2368"/>
    <w:rsid w:val="005C6E2F"/>
    <w:rsid w:val="005C7944"/>
    <w:rsid w:val="005D66DF"/>
    <w:rsid w:val="005E5AC6"/>
    <w:rsid w:val="0060308A"/>
    <w:rsid w:val="00610595"/>
    <w:rsid w:val="006121AD"/>
    <w:rsid w:val="006352D3"/>
    <w:rsid w:val="0063684B"/>
    <w:rsid w:val="00641B34"/>
    <w:rsid w:val="0065323B"/>
    <w:rsid w:val="00654ADA"/>
    <w:rsid w:val="0067101D"/>
    <w:rsid w:val="006732E3"/>
    <w:rsid w:val="00677328"/>
    <w:rsid w:val="00686426"/>
    <w:rsid w:val="0068684B"/>
    <w:rsid w:val="006D1F14"/>
    <w:rsid w:val="006E5EED"/>
    <w:rsid w:val="00725AED"/>
    <w:rsid w:val="0073740A"/>
    <w:rsid w:val="00766F0B"/>
    <w:rsid w:val="00792438"/>
    <w:rsid w:val="007947AD"/>
    <w:rsid w:val="007B16BF"/>
    <w:rsid w:val="007D6405"/>
    <w:rsid w:val="007D7AD2"/>
    <w:rsid w:val="007E5321"/>
    <w:rsid w:val="007F3BA1"/>
    <w:rsid w:val="00852135"/>
    <w:rsid w:val="00863601"/>
    <w:rsid w:val="0086472C"/>
    <w:rsid w:val="00897C67"/>
    <w:rsid w:val="008A59D7"/>
    <w:rsid w:val="008B7BFB"/>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E332D"/>
    <w:rsid w:val="009F48E6"/>
    <w:rsid w:val="00A075B4"/>
    <w:rsid w:val="00A14FB0"/>
    <w:rsid w:val="00A17568"/>
    <w:rsid w:val="00A17A3E"/>
    <w:rsid w:val="00A227AB"/>
    <w:rsid w:val="00A26526"/>
    <w:rsid w:val="00A32974"/>
    <w:rsid w:val="00A62CEC"/>
    <w:rsid w:val="00A67C4B"/>
    <w:rsid w:val="00A935CD"/>
    <w:rsid w:val="00A94382"/>
    <w:rsid w:val="00AA2895"/>
    <w:rsid w:val="00AA29E8"/>
    <w:rsid w:val="00AD1E18"/>
    <w:rsid w:val="00AE1779"/>
    <w:rsid w:val="00B144AF"/>
    <w:rsid w:val="00B14677"/>
    <w:rsid w:val="00B22D38"/>
    <w:rsid w:val="00B23767"/>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268DC"/>
    <w:rsid w:val="00C41BEF"/>
    <w:rsid w:val="00C6066B"/>
    <w:rsid w:val="00C610DC"/>
    <w:rsid w:val="00C61511"/>
    <w:rsid w:val="00C96CE6"/>
    <w:rsid w:val="00CA0592"/>
    <w:rsid w:val="00CA5F26"/>
    <w:rsid w:val="00CB060B"/>
    <w:rsid w:val="00CB32B7"/>
    <w:rsid w:val="00CC5405"/>
    <w:rsid w:val="00CD04D4"/>
    <w:rsid w:val="00CE15F0"/>
    <w:rsid w:val="00CE72B3"/>
    <w:rsid w:val="00CF1678"/>
    <w:rsid w:val="00CF27FC"/>
    <w:rsid w:val="00CF4CFA"/>
    <w:rsid w:val="00D06B77"/>
    <w:rsid w:val="00D11374"/>
    <w:rsid w:val="00D55C5A"/>
    <w:rsid w:val="00D56F36"/>
    <w:rsid w:val="00D6283B"/>
    <w:rsid w:val="00D86806"/>
    <w:rsid w:val="00D86A27"/>
    <w:rsid w:val="00DA0C35"/>
    <w:rsid w:val="00DA2D92"/>
    <w:rsid w:val="00DB098B"/>
    <w:rsid w:val="00DF6BC3"/>
    <w:rsid w:val="00E0293E"/>
    <w:rsid w:val="00E0408C"/>
    <w:rsid w:val="00E2312F"/>
    <w:rsid w:val="00E24C44"/>
    <w:rsid w:val="00E4581E"/>
    <w:rsid w:val="00E7165B"/>
    <w:rsid w:val="00E71B6F"/>
    <w:rsid w:val="00E738CB"/>
    <w:rsid w:val="00E90FCC"/>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3033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arcweb.sos.state.or.us/pages/rules/oars_300/oar_340/340_tofc.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D1E49027-AF7B-495F-9106-0CE95F97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4DEFE-87A7-4FDD-9AFC-6EB2BF1E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2014-09-17T18:02:00Z</cp:lastPrinted>
  <dcterms:created xsi:type="dcterms:W3CDTF">2014-09-17T18:03:00Z</dcterms:created>
  <dcterms:modified xsi:type="dcterms:W3CDTF">2014-09-17T18:03:00Z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