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6E07D4" w:rsidP="00B34CF8">
      <w:pPr>
        <w:spacing w:after="120"/>
        <w:ind w:left="0" w:right="18"/>
        <w:outlineLvl w:val="0"/>
        <w:rPr>
          <w:rFonts w:ascii="Times New Roman" w:eastAsia="Times New Roman" w:hAnsi="Times New Roman" w:cs="Times New Roman"/>
          <w:color w:val="000000"/>
        </w:rPr>
      </w:pPr>
      <w:r w:rsidRPr="006E07D4">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DD5F39" w:rsidRPr="00C74D58" w:rsidRDefault="00DD5F39" w:rsidP="006751BA">
                  <w:pPr>
                    <w:tabs>
                      <w:tab w:val="left" w:pos="16582"/>
                    </w:tabs>
                    <w:ind w:left="0"/>
                    <w:jc w:val="center"/>
                    <w:rPr>
                      <w:rFonts w:ascii="Times New Roman" w:eastAsia="Times New Roman" w:hAnsi="Times New Roman" w:cs="Times New Roman"/>
                      <w:b/>
                      <w:color w:val="000000"/>
                    </w:rPr>
                  </w:pPr>
                </w:p>
                <w:p w:rsidR="00DD5F39" w:rsidRPr="00C74D58" w:rsidRDefault="00DD5F39"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DD5F39" w:rsidRPr="00C74D58" w:rsidRDefault="00DD5F39" w:rsidP="006751BA">
                  <w:pPr>
                    <w:tabs>
                      <w:tab w:val="left" w:pos="908"/>
                      <w:tab w:val="left" w:pos="16582"/>
                    </w:tabs>
                    <w:ind w:left="108"/>
                    <w:jc w:val="center"/>
                    <w:rPr>
                      <w:rFonts w:ascii="Times New Roman" w:eastAsia="Times New Roman" w:hAnsi="Times New Roman" w:cs="Times New Roman"/>
                      <w:b/>
                      <w:color w:val="000000"/>
                    </w:rPr>
                  </w:pPr>
                </w:p>
                <w:p w:rsidR="00DD5F39" w:rsidRPr="00A019B4" w:rsidRDefault="00DD5F39"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19, 2014</w:t>
                  </w:r>
                </w:p>
                <w:p w:rsidR="00DD5F39" w:rsidRPr="00A019B4" w:rsidRDefault="00DD5F39"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727622" w:rsidRDefault="00D164B2" w:rsidP="00B34CF8">
      <w:pPr>
        <w:tabs>
          <w:tab w:val="center" w:pos="5220"/>
        </w:tabs>
        <w:ind w:left="-720" w:right="18"/>
      </w:pPr>
      <w:r w:rsidRPr="00D164B2">
        <w:rPr>
          <w:rFonts w:ascii="Times New Roman" w:eastAsia="Times New Roman" w:hAnsi="Times New Roman" w:cs="Times New Roman"/>
          <w:b/>
          <w:bCs/>
          <w:color w:val="C00000"/>
        </w:rPr>
        <w:tab/>
      </w:r>
      <w:bookmarkStart w:id="0" w:name="OLE_LINK1"/>
      <w:r w:rsidR="00641BDA" w:rsidRPr="00641BDA">
        <w:rPr>
          <w:rFonts w:asciiTheme="majorHAnsi" w:eastAsia="Times New Roman" w:hAnsiTheme="majorHAnsi" w:cstheme="majorHAnsi"/>
          <w:b/>
          <w:bCs/>
          <w:color w:val="000000" w:themeColor="text1"/>
        </w:rPr>
        <w:t>Update Phase One of the</w:t>
      </w:r>
      <w:r w:rsidR="00641BDA" w:rsidRPr="00641BDA">
        <w:rPr>
          <w:rFonts w:ascii="Times New Roman" w:eastAsia="Times New Roman" w:hAnsi="Times New Roman" w:cs="Times New Roman"/>
          <w:b/>
          <w:bCs/>
          <w:color w:val="000000" w:themeColor="text1"/>
        </w:rPr>
        <w:t xml:space="preserve"> </w:t>
      </w:r>
      <w:r w:rsidR="00CB4B61" w:rsidRPr="00641BDA">
        <w:rPr>
          <w:rFonts w:asciiTheme="majorHAnsi" w:eastAsia="Times New Roman" w:hAnsiTheme="majorHAnsi" w:cstheme="majorHAnsi"/>
          <w:b/>
          <w:color w:val="000000" w:themeColor="text1"/>
          <w:sz w:val="22"/>
          <w:szCs w:val="22"/>
        </w:rPr>
        <w:t>Clean</w:t>
      </w:r>
      <w:r w:rsidR="00CB4B61">
        <w:rPr>
          <w:rFonts w:asciiTheme="majorHAnsi" w:eastAsia="Times New Roman" w:hAnsiTheme="majorHAnsi" w:cstheme="majorHAnsi"/>
          <w:b/>
          <w:color w:val="000000"/>
          <w:sz w:val="22"/>
          <w:szCs w:val="22"/>
        </w:rPr>
        <w:t xml:space="preserve"> Fuels Program </w:t>
      </w:r>
      <w:bookmarkEnd w:id="0"/>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B34CF8">
      <w:pPr>
        <w:ind w:left="0" w:right="18"/>
      </w:pPr>
    </w:p>
    <w:p w:rsidR="00EA4AE2" w:rsidRPr="00B31975" w:rsidRDefault="00EA4AE2" w:rsidP="00CB4B61">
      <w:pPr>
        <w:spacing w:after="120"/>
        <w:ind w:left="360" w:right="18"/>
        <w:outlineLvl w:val="0"/>
        <w:rPr>
          <w:rFonts w:ascii="Times New Roman" w:eastAsia="Times New Roman" w:hAnsi="Times New Roman" w:cs="Times New Roman"/>
          <w:sz w:val="22"/>
          <w:szCs w:val="22"/>
        </w:rPr>
      </w:pPr>
      <w:r w:rsidRPr="00B31975">
        <w:rPr>
          <w:rFonts w:eastAsia="Times New Roman"/>
          <w:bCs/>
          <w:sz w:val="22"/>
          <w:szCs w:val="22"/>
        </w:rPr>
        <w:t>Short summary</w:t>
      </w:r>
      <w:r w:rsidRPr="00B31975">
        <w:rPr>
          <w:rFonts w:ascii="Times New Roman" w:eastAsia="Times New Roman" w:hAnsi="Times New Roman" w:cs="Times New Roman"/>
          <w:sz w:val="22"/>
          <w:szCs w:val="22"/>
          <w:vertAlign w:val="subscript"/>
        </w:rPr>
        <w:t> </w:t>
      </w:r>
    </w:p>
    <w:p w:rsidR="006A63AB" w:rsidRDefault="00976DDA" w:rsidP="00976DDA">
      <w:pPr>
        <w:spacing w:after="120"/>
        <w:ind w:left="1080" w:right="720"/>
        <w:outlineLvl w:val="0"/>
        <w:rPr>
          <w:rFonts w:asciiTheme="minorHAnsi" w:hAnsiTheme="minorHAnsi" w:cstheme="minorHAnsi"/>
          <w:color w:val="000000" w:themeColor="text1"/>
        </w:rPr>
      </w:pPr>
      <w:r>
        <w:rPr>
          <w:rFonts w:ascii="Times New Roman" w:hAnsi="Times New Roman"/>
          <w:color w:val="000000"/>
        </w:rPr>
        <w:t xml:space="preserve">This proposal would make an adjustment to </w:t>
      </w:r>
      <w:proofErr w:type="gramStart"/>
      <w:r w:rsidR="00810753">
        <w:rPr>
          <w:rFonts w:ascii="Times New Roman" w:hAnsi="Times New Roman"/>
          <w:color w:val="000000"/>
        </w:rPr>
        <w:t>phase</w:t>
      </w:r>
      <w:proofErr w:type="gramEnd"/>
      <w:r w:rsidR="00810753">
        <w:rPr>
          <w:rFonts w:ascii="Times New Roman" w:hAnsi="Times New Roman"/>
          <w:color w:val="000000"/>
        </w:rPr>
        <w:t xml:space="preserve"> one</w:t>
      </w:r>
      <w:r>
        <w:rPr>
          <w:rFonts w:ascii="Times New Roman" w:hAnsi="Times New Roman"/>
          <w:color w:val="000000"/>
        </w:rPr>
        <w:t xml:space="preserve"> of the </w:t>
      </w:r>
      <w:r>
        <w:rPr>
          <w:rFonts w:asciiTheme="minorHAnsi" w:hAnsiTheme="minorHAnsi" w:cstheme="minorHAnsi"/>
          <w:color w:val="000000" w:themeColor="text1"/>
        </w:rPr>
        <w:t>Oregon Clean Fuels Program</w:t>
      </w:r>
      <w:r w:rsidR="00B22F3A">
        <w:rPr>
          <w:rFonts w:asciiTheme="minorHAnsi" w:hAnsiTheme="minorHAnsi" w:cstheme="minorHAnsi"/>
          <w:color w:val="000000" w:themeColor="text1"/>
        </w:rPr>
        <w:t>, which the Oregon Environmental Quality Commission</w:t>
      </w:r>
      <w:r>
        <w:rPr>
          <w:rFonts w:asciiTheme="minorHAnsi" w:hAnsiTheme="minorHAnsi" w:cstheme="minorHAnsi"/>
          <w:color w:val="000000" w:themeColor="text1"/>
        </w:rPr>
        <w:t xml:space="preserve"> adopted Dec</w:t>
      </w:r>
      <w:r w:rsidR="00C716DD">
        <w:rPr>
          <w:rFonts w:asciiTheme="minorHAnsi" w:hAnsiTheme="minorHAnsi" w:cstheme="minorHAnsi"/>
          <w:color w:val="000000" w:themeColor="text1"/>
        </w:rPr>
        <w:t>.</w:t>
      </w:r>
      <w:r>
        <w:rPr>
          <w:rFonts w:asciiTheme="minorHAnsi" w:hAnsiTheme="minorHAnsi" w:cstheme="minorHAnsi"/>
          <w:color w:val="000000" w:themeColor="text1"/>
        </w:rPr>
        <w:t xml:space="preserve"> 7, 2012.</w:t>
      </w:r>
    </w:p>
    <w:p w:rsidR="00641BDA" w:rsidRDefault="00F60A10">
      <w:pPr>
        <w:spacing w:after="120"/>
        <w:ind w:left="720" w:right="720" w:firstLine="360"/>
        <w:outlineLvl w:val="0"/>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C42021">
        <w:rPr>
          <w:rFonts w:asciiTheme="minorHAnsi" w:hAnsiTheme="minorHAnsi" w:cstheme="minorHAnsi"/>
          <w:color w:val="000000" w:themeColor="text1"/>
        </w:rPr>
        <w:t>proposed rule</w:t>
      </w:r>
      <w:r w:rsidR="00B22F3A">
        <w:rPr>
          <w:rFonts w:asciiTheme="minorHAnsi" w:hAnsiTheme="minorHAnsi" w:cstheme="minorHAnsi"/>
          <w:color w:val="000000" w:themeColor="text1"/>
        </w:rPr>
        <w:t xml:space="preserve"> revision</w:t>
      </w:r>
      <w:r w:rsidR="00C42021">
        <w:rPr>
          <w:rFonts w:asciiTheme="minorHAnsi" w:hAnsiTheme="minorHAnsi" w:cstheme="minorHAnsi"/>
          <w:color w:val="000000" w:themeColor="text1"/>
        </w:rPr>
        <w:t>s</w:t>
      </w:r>
      <w:r>
        <w:rPr>
          <w:rFonts w:asciiTheme="minorHAnsi" w:hAnsiTheme="minorHAnsi" w:cstheme="minorHAnsi"/>
          <w:color w:val="000000" w:themeColor="text1"/>
        </w:rPr>
        <w:t xml:space="preserve">: </w:t>
      </w:r>
    </w:p>
    <w:p w:rsidR="00EF5333" w:rsidRPr="007C4AAD" w:rsidRDefault="002B661B" w:rsidP="00EF5333">
      <w:pPr>
        <w:pStyle w:val="DEQTEXTforFACTSHEET"/>
        <w:numPr>
          <w:ilvl w:val="0"/>
          <w:numId w:val="40"/>
        </w:numPr>
        <w:spacing w:after="40"/>
        <w:ind w:left="1890" w:hanging="180"/>
        <w:outlineLvl w:val="0"/>
        <w:rPr>
          <w:rFonts w:asciiTheme="minorHAnsi" w:eastAsia="Times New Roman" w:hAnsiTheme="minorHAnsi" w:cstheme="minorHAnsi"/>
          <w:color w:val="000000" w:themeColor="text1"/>
          <w:sz w:val="24"/>
          <w:szCs w:val="24"/>
        </w:rPr>
      </w:pPr>
      <w:r w:rsidRPr="002B661B">
        <w:rPr>
          <w:rFonts w:asciiTheme="minorHAnsi" w:eastAsia="Times New Roman" w:hAnsiTheme="minorHAnsi" w:cstheme="minorHAnsi"/>
          <w:color w:val="000000" w:themeColor="text1"/>
          <w:sz w:val="24"/>
          <w:szCs w:val="24"/>
        </w:rPr>
        <w:t xml:space="preserve">Provide clarity to potential regulated and opt-in parties as they interpret whether and how the program applies to them </w:t>
      </w:r>
    </w:p>
    <w:p w:rsidR="00641BDA" w:rsidRPr="007C4AAD" w:rsidRDefault="002B661B">
      <w:pPr>
        <w:pStyle w:val="DEQTEXTforFACTSHEET"/>
        <w:numPr>
          <w:ilvl w:val="0"/>
          <w:numId w:val="40"/>
        </w:numPr>
        <w:spacing w:after="40"/>
        <w:ind w:left="1890" w:hanging="180"/>
        <w:outlineLvl w:val="0"/>
        <w:rPr>
          <w:rFonts w:asciiTheme="minorHAnsi" w:eastAsia="Times New Roman" w:hAnsiTheme="minorHAnsi" w:cstheme="minorHAnsi"/>
          <w:color w:val="000000" w:themeColor="text1"/>
          <w:sz w:val="24"/>
          <w:szCs w:val="24"/>
        </w:rPr>
      </w:pPr>
      <w:r w:rsidRPr="002B661B">
        <w:rPr>
          <w:rFonts w:asciiTheme="minorHAnsi" w:eastAsia="Times New Roman" w:hAnsiTheme="minorHAnsi" w:cstheme="minorHAnsi"/>
          <w:color w:val="000000" w:themeColor="text1"/>
          <w:sz w:val="24"/>
          <w:szCs w:val="24"/>
        </w:rPr>
        <w:t>Reduce requirements for certain fuel importers</w:t>
      </w:r>
    </w:p>
    <w:p w:rsidR="005F7C73" w:rsidRPr="007C4AAD" w:rsidRDefault="005F7C73">
      <w:pPr>
        <w:pStyle w:val="DEQTEXTforFACTSHEET"/>
        <w:numPr>
          <w:ilvl w:val="0"/>
          <w:numId w:val="40"/>
        </w:numPr>
        <w:spacing w:after="40"/>
        <w:ind w:left="1890" w:hanging="180"/>
        <w:outlineLvl w:val="0"/>
        <w:rPr>
          <w:rFonts w:asciiTheme="minorHAnsi" w:hAnsiTheme="minorHAnsi" w:cstheme="minorHAnsi"/>
          <w:color w:val="000000" w:themeColor="text1"/>
          <w:sz w:val="24"/>
          <w:szCs w:val="24"/>
        </w:rPr>
      </w:pPr>
      <w:r w:rsidRPr="007C4AAD">
        <w:rPr>
          <w:rFonts w:asciiTheme="minorHAnsi" w:eastAsia="Times New Roman" w:hAnsiTheme="minorHAnsi" w:cstheme="minorHAnsi"/>
          <w:color w:val="000000" w:themeColor="text1"/>
          <w:sz w:val="24"/>
          <w:szCs w:val="24"/>
        </w:rPr>
        <w:t xml:space="preserve">Add fuels </w:t>
      </w:r>
      <w:r w:rsidR="00277295">
        <w:rPr>
          <w:rFonts w:asciiTheme="minorHAnsi" w:eastAsia="Times New Roman" w:hAnsiTheme="minorHAnsi" w:cstheme="minorHAnsi"/>
          <w:color w:val="000000" w:themeColor="text1"/>
          <w:sz w:val="24"/>
          <w:szCs w:val="24"/>
        </w:rPr>
        <w:t xml:space="preserve">available in Oregon </w:t>
      </w:r>
      <w:r w:rsidRPr="007C4AAD">
        <w:rPr>
          <w:rFonts w:asciiTheme="minorHAnsi" w:eastAsia="Times New Roman" w:hAnsiTheme="minorHAnsi" w:cstheme="minorHAnsi"/>
          <w:color w:val="000000" w:themeColor="text1"/>
          <w:sz w:val="24"/>
          <w:szCs w:val="24"/>
        </w:rPr>
        <w:t>to make reporting more accurate</w:t>
      </w:r>
    </w:p>
    <w:p w:rsidR="00641BDA" w:rsidRDefault="00641BDA">
      <w:pPr>
        <w:pStyle w:val="DEQTEXTforFACTSHEET"/>
        <w:ind w:left="1080" w:right="468"/>
        <w:rPr>
          <w:rFonts w:asciiTheme="minorHAnsi" w:hAnsiTheme="minorHAnsi" w:cstheme="minorHAnsi"/>
          <w:color w:val="000000" w:themeColor="text1"/>
          <w:sz w:val="24"/>
          <w:szCs w:val="24"/>
        </w:rPr>
      </w:pPr>
    </w:p>
    <w:p w:rsidR="00E25965" w:rsidRDefault="0068707F" w:rsidP="00E25965">
      <w:pPr>
        <w:pStyle w:val="DEQSMALLHEADLINES"/>
        <w:ind w:left="1080"/>
        <w:outlineLvl w:val="0"/>
        <w:rPr>
          <w:rFonts w:asciiTheme="minorHAnsi" w:hAnsiTheme="minorHAnsi" w:cstheme="minorHAnsi"/>
          <w:b w:val="0"/>
          <w:color w:val="000000" w:themeColor="text1"/>
          <w:sz w:val="24"/>
          <w:szCs w:val="24"/>
        </w:rPr>
      </w:pPr>
      <w:r w:rsidRPr="00E25965">
        <w:rPr>
          <w:rFonts w:asciiTheme="minorHAnsi" w:hAnsiTheme="minorHAnsi" w:cstheme="minorHAnsi"/>
          <w:b w:val="0"/>
          <w:color w:val="000000" w:themeColor="text1"/>
          <w:sz w:val="24"/>
          <w:szCs w:val="24"/>
        </w:rPr>
        <w:t xml:space="preserve">The </w:t>
      </w:r>
      <w:r w:rsidR="00D612BD" w:rsidRPr="00E25965">
        <w:rPr>
          <w:rFonts w:asciiTheme="minorHAnsi" w:hAnsiTheme="minorHAnsi" w:cstheme="minorHAnsi"/>
          <w:b w:val="0"/>
          <w:color w:val="000000" w:themeColor="text1"/>
          <w:sz w:val="24"/>
          <w:szCs w:val="24"/>
        </w:rPr>
        <w:t>Clean Fuels P</w:t>
      </w:r>
      <w:r w:rsidRPr="00E25965">
        <w:rPr>
          <w:rFonts w:asciiTheme="minorHAnsi" w:hAnsiTheme="minorHAnsi" w:cstheme="minorHAnsi"/>
          <w:b w:val="0"/>
          <w:color w:val="000000" w:themeColor="text1"/>
          <w:sz w:val="24"/>
          <w:szCs w:val="24"/>
        </w:rPr>
        <w:t>rogram requires all importers and Oregon producers of transportation fuels to register, keep records and submit reports to DEQ</w:t>
      </w:r>
      <w:r w:rsidR="001A585A" w:rsidRPr="00E25965">
        <w:rPr>
          <w:rFonts w:asciiTheme="minorHAnsi" w:hAnsiTheme="minorHAnsi" w:cstheme="minorHAnsi"/>
          <w:b w:val="0"/>
          <w:color w:val="000000" w:themeColor="text1"/>
          <w:sz w:val="24"/>
          <w:szCs w:val="24"/>
        </w:rPr>
        <w:t xml:space="preserve">. </w:t>
      </w:r>
      <w:r w:rsidR="004E1366" w:rsidRPr="00E25965">
        <w:rPr>
          <w:rFonts w:asciiTheme="minorHAnsi" w:hAnsiTheme="minorHAnsi" w:cstheme="minorHAnsi"/>
          <w:b w:val="0"/>
          <w:color w:val="000000" w:themeColor="text1"/>
          <w:sz w:val="24"/>
          <w:szCs w:val="24"/>
        </w:rPr>
        <w:t xml:space="preserve">The </w:t>
      </w:r>
      <w:r w:rsidR="00C42021">
        <w:rPr>
          <w:rFonts w:asciiTheme="minorHAnsi" w:hAnsiTheme="minorHAnsi" w:cstheme="minorHAnsi"/>
          <w:b w:val="0"/>
          <w:color w:val="000000" w:themeColor="text1"/>
          <w:sz w:val="24"/>
          <w:szCs w:val="24"/>
        </w:rPr>
        <w:t>proposed rules</w:t>
      </w:r>
      <w:r w:rsidR="004E1366" w:rsidRPr="00E25965">
        <w:rPr>
          <w:rFonts w:asciiTheme="minorHAnsi" w:hAnsiTheme="minorHAnsi" w:cstheme="minorHAnsi"/>
          <w:b w:val="0"/>
          <w:color w:val="000000" w:themeColor="text1"/>
          <w:sz w:val="24"/>
          <w:szCs w:val="24"/>
        </w:rPr>
        <w:t xml:space="preserve"> would eliminate unnecessary requirements, reduce administrative burdens on smaller businesses and still maintain program integrity.</w:t>
      </w:r>
      <w:r w:rsidR="00E25965" w:rsidRPr="00E25965">
        <w:rPr>
          <w:rFonts w:asciiTheme="minorHAnsi" w:hAnsiTheme="minorHAnsi" w:cstheme="minorHAnsi"/>
          <w:b w:val="0"/>
          <w:color w:val="000000" w:themeColor="text1"/>
          <w:sz w:val="24"/>
          <w:szCs w:val="24"/>
        </w:rPr>
        <w:t xml:space="preserve"> </w:t>
      </w:r>
    </w:p>
    <w:p w:rsidR="00641BDA" w:rsidRDefault="00641BDA">
      <w:pPr>
        <w:pStyle w:val="DEQTEXTforFACTSHEET"/>
        <w:ind w:left="1080" w:right="468"/>
        <w:rPr>
          <w:rFonts w:asciiTheme="minorHAnsi" w:hAnsiTheme="minorHAnsi" w:cstheme="minorHAnsi"/>
          <w:color w:val="000000" w:themeColor="text1"/>
          <w:sz w:val="24"/>
          <w:szCs w:val="24"/>
        </w:rPr>
      </w:pPr>
    </w:p>
    <w:p w:rsidR="00CB4B61" w:rsidRPr="00810753" w:rsidRDefault="00CB4B61" w:rsidP="00CB4B61">
      <w:pPr>
        <w:spacing w:after="120"/>
        <w:ind w:left="360" w:right="720"/>
        <w:outlineLvl w:val="0"/>
        <w:rPr>
          <w:rFonts w:asciiTheme="majorHAnsi" w:eastAsia="Times New Roman" w:hAnsiTheme="majorHAnsi" w:cstheme="majorHAnsi"/>
          <w:bCs/>
          <w:color w:val="000000" w:themeColor="text1"/>
        </w:rPr>
      </w:pPr>
      <w:r w:rsidRPr="00810753">
        <w:rPr>
          <w:rFonts w:asciiTheme="majorHAnsi" w:eastAsia="Times New Roman" w:hAnsiTheme="majorHAnsi" w:cstheme="majorHAnsi"/>
          <w:bCs/>
          <w:color w:val="000000" w:themeColor="text1"/>
        </w:rPr>
        <w:t>Background</w:t>
      </w:r>
    </w:p>
    <w:p w:rsidR="00C42021" w:rsidRDefault="002B661B">
      <w:pPr>
        <w:pStyle w:val="DEQTEXTforFACTSHEET"/>
        <w:ind w:left="1080" w:right="468"/>
        <w:rPr>
          <w:rFonts w:asciiTheme="minorHAnsi" w:hAnsiTheme="minorHAnsi" w:cstheme="minorHAnsi"/>
          <w:color w:val="000000" w:themeColor="text1"/>
          <w:sz w:val="24"/>
          <w:szCs w:val="24"/>
        </w:rPr>
      </w:pPr>
      <w:r w:rsidRPr="002B661B">
        <w:rPr>
          <w:rFonts w:asciiTheme="minorHAnsi" w:hAnsiTheme="minorHAnsi" w:cstheme="minorHAnsi"/>
          <w:color w:val="000000" w:themeColor="text1"/>
          <w:sz w:val="24"/>
          <w:szCs w:val="24"/>
        </w:rPr>
        <w:t xml:space="preserve">On Dec. 11, 2013, the Oregon Environmental Quality Commission adopted temporary rules that expire June 30, 2014. </w:t>
      </w:r>
      <w:r w:rsidR="00C96CC3">
        <w:rPr>
          <w:rFonts w:ascii="Times New Roman" w:eastAsia="Times New Roman" w:hAnsi="Times New Roman"/>
          <w:color w:val="000000" w:themeColor="text1"/>
          <w:sz w:val="24"/>
          <w:szCs w:val="24"/>
        </w:rPr>
        <w:t xml:space="preserve">The </w:t>
      </w:r>
      <w:r w:rsidR="00D51ADC">
        <w:rPr>
          <w:rFonts w:ascii="Times New Roman" w:eastAsia="Times New Roman" w:hAnsi="Times New Roman"/>
          <w:color w:val="000000" w:themeColor="text1"/>
          <w:sz w:val="24"/>
          <w:szCs w:val="24"/>
        </w:rPr>
        <w:t xml:space="preserve">December </w:t>
      </w:r>
      <w:r w:rsidR="00B22F3A">
        <w:rPr>
          <w:rFonts w:ascii="Times New Roman" w:eastAsia="Times New Roman" w:hAnsi="Times New Roman"/>
          <w:color w:val="000000" w:themeColor="text1"/>
          <w:sz w:val="24"/>
          <w:szCs w:val="24"/>
        </w:rPr>
        <w:t xml:space="preserve">2013 </w:t>
      </w:r>
      <w:r w:rsidR="00C96CC3">
        <w:rPr>
          <w:rFonts w:ascii="Times New Roman" w:eastAsia="Times New Roman" w:hAnsi="Times New Roman"/>
          <w:color w:val="000000" w:themeColor="text1"/>
          <w:sz w:val="24"/>
          <w:szCs w:val="24"/>
        </w:rPr>
        <w:t xml:space="preserve">rulemaking </w:t>
      </w:r>
      <w:r w:rsidR="00D51ADC">
        <w:rPr>
          <w:rFonts w:ascii="Times New Roman" w:eastAsia="Times New Roman" w:hAnsi="Times New Roman"/>
          <w:color w:val="000000" w:themeColor="text1"/>
          <w:sz w:val="24"/>
          <w:szCs w:val="24"/>
        </w:rPr>
        <w:t xml:space="preserve">temporarily </w:t>
      </w:r>
      <w:r w:rsidR="00C96CC3" w:rsidRPr="00C96CC3">
        <w:rPr>
          <w:rFonts w:asciiTheme="minorHAnsi" w:hAnsiTheme="minorHAnsi" w:cstheme="minorHAnsi"/>
          <w:color w:val="000000" w:themeColor="text1"/>
          <w:sz w:val="24"/>
          <w:szCs w:val="24"/>
        </w:rPr>
        <w:t>eli</w:t>
      </w:r>
      <w:r w:rsidR="00C96CC3">
        <w:rPr>
          <w:rFonts w:asciiTheme="minorHAnsi" w:hAnsiTheme="minorHAnsi" w:cstheme="minorHAnsi"/>
          <w:color w:val="000000" w:themeColor="text1"/>
          <w:sz w:val="24"/>
          <w:szCs w:val="24"/>
        </w:rPr>
        <w:t>minated unnecessary requirements and</w:t>
      </w:r>
      <w:r w:rsidR="00C96CC3" w:rsidRPr="00C96CC3">
        <w:rPr>
          <w:rFonts w:asciiTheme="minorHAnsi" w:hAnsiTheme="minorHAnsi" w:cstheme="minorHAnsi"/>
          <w:color w:val="000000" w:themeColor="text1"/>
          <w:sz w:val="24"/>
          <w:szCs w:val="24"/>
        </w:rPr>
        <w:t xml:space="preserve"> reduce</w:t>
      </w:r>
      <w:r w:rsidR="00D51ADC">
        <w:rPr>
          <w:rFonts w:asciiTheme="minorHAnsi" w:hAnsiTheme="minorHAnsi" w:cstheme="minorHAnsi"/>
          <w:color w:val="000000" w:themeColor="text1"/>
          <w:sz w:val="24"/>
          <w:szCs w:val="24"/>
        </w:rPr>
        <w:t>d</w:t>
      </w:r>
      <w:r w:rsidR="00C96CC3" w:rsidRPr="00C96CC3">
        <w:rPr>
          <w:rFonts w:asciiTheme="minorHAnsi" w:hAnsiTheme="minorHAnsi" w:cstheme="minorHAnsi"/>
          <w:color w:val="000000" w:themeColor="text1"/>
          <w:sz w:val="24"/>
          <w:szCs w:val="24"/>
        </w:rPr>
        <w:t xml:space="preserve"> administrative burdens on smaller businesses</w:t>
      </w:r>
      <w:r w:rsidR="00C96CC3">
        <w:rPr>
          <w:rFonts w:asciiTheme="minorHAnsi" w:hAnsiTheme="minorHAnsi" w:cstheme="minorHAnsi"/>
          <w:color w:val="000000" w:themeColor="text1"/>
          <w:sz w:val="24"/>
          <w:szCs w:val="24"/>
        </w:rPr>
        <w:t xml:space="preserve"> </w:t>
      </w:r>
      <w:r w:rsidR="00D51ADC">
        <w:rPr>
          <w:rFonts w:asciiTheme="minorHAnsi" w:hAnsiTheme="minorHAnsi" w:cstheme="minorHAnsi"/>
          <w:color w:val="000000" w:themeColor="text1"/>
          <w:sz w:val="24"/>
          <w:szCs w:val="24"/>
        </w:rPr>
        <w:t>required to submit their first reports to DEQ by</w:t>
      </w:r>
      <w:r w:rsidR="00D51ADC" w:rsidRPr="00D51ADC">
        <w:rPr>
          <w:rFonts w:asciiTheme="minorHAnsi" w:hAnsiTheme="minorHAnsi" w:cstheme="minorHAnsi"/>
          <w:color w:val="000000" w:themeColor="text1"/>
          <w:sz w:val="24"/>
          <w:szCs w:val="24"/>
        </w:rPr>
        <w:t xml:space="preserve"> </w:t>
      </w:r>
      <w:r w:rsidR="00D51ADC">
        <w:rPr>
          <w:rFonts w:asciiTheme="minorHAnsi" w:hAnsiTheme="minorHAnsi" w:cstheme="minorHAnsi"/>
          <w:color w:val="000000" w:themeColor="text1"/>
          <w:sz w:val="24"/>
          <w:szCs w:val="24"/>
        </w:rPr>
        <w:t>April 30, 2014</w:t>
      </w:r>
      <w:r w:rsidR="00C42021">
        <w:rPr>
          <w:rFonts w:ascii="Times New Roman" w:eastAsia="Times New Roman" w:hAnsi="Times New Roman"/>
          <w:color w:val="000000" w:themeColor="text1"/>
          <w:sz w:val="24"/>
          <w:szCs w:val="24"/>
        </w:rPr>
        <w:t xml:space="preserve">. </w:t>
      </w:r>
      <w:r w:rsidRPr="002B661B">
        <w:rPr>
          <w:rFonts w:asciiTheme="minorHAnsi" w:hAnsiTheme="minorHAnsi" w:cstheme="minorHAnsi"/>
          <w:color w:val="000000" w:themeColor="text1"/>
          <w:sz w:val="24"/>
          <w:szCs w:val="24"/>
        </w:rPr>
        <w:t xml:space="preserve">These proposed permanent rules are </w:t>
      </w:r>
      <w:r w:rsidR="0055188B">
        <w:rPr>
          <w:rFonts w:asciiTheme="minorHAnsi" w:hAnsiTheme="minorHAnsi" w:cstheme="minorHAnsi"/>
          <w:color w:val="000000" w:themeColor="text1"/>
          <w:sz w:val="24"/>
          <w:szCs w:val="24"/>
        </w:rPr>
        <w:t xml:space="preserve">substantively </w:t>
      </w:r>
      <w:r w:rsidRPr="002B661B">
        <w:rPr>
          <w:rFonts w:asciiTheme="minorHAnsi" w:hAnsiTheme="minorHAnsi" w:cstheme="minorHAnsi"/>
          <w:color w:val="000000" w:themeColor="text1"/>
          <w:sz w:val="24"/>
          <w:szCs w:val="24"/>
        </w:rPr>
        <w:t>identical to the temporary rules.</w:t>
      </w:r>
      <w:r w:rsidR="00AF3197" w:rsidRPr="00AF3197">
        <w:rPr>
          <w:rFonts w:asciiTheme="minorHAnsi" w:hAnsiTheme="minorHAnsi" w:cstheme="minorHAnsi"/>
          <w:color w:val="000000" w:themeColor="text1"/>
          <w:sz w:val="24"/>
          <w:szCs w:val="24"/>
        </w:rPr>
        <w:t xml:space="preserve"> </w:t>
      </w:r>
    </w:p>
    <w:p w:rsidR="00C42021" w:rsidRDefault="00C42021">
      <w:pPr>
        <w:pStyle w:val="DEQTEXTforFACTSHEET"/>
        <w:ind w:left="1080" w:right="468"/>
        <w:rPr>
          <w:rFonts w:asciiTheme="minorHAnsi" w:hAnsiTheme="minorHAnsi" w:cstheme="minorHAnsi"/>
          <w:color w:val="000000" w:themeColor="text1"/>
          <w:sz w:val="24"/>
          <w:szCs w:val="24"/>
        </w:rPr>
      </w:pPr>
    </w:p>
    <w:p w:rsidR="0055188B" w:rsidRDefault="00AF3197">
      <w:pPr>
        <w:pStyle w:val="DEQTEXTforFACTSHEET"/>
        <w:ind w:left="1080" w:right="468"/>
        <w:rPr>
          <w:rFonts w:asciiTheme="minorHAnsi" w:hAnsiTheme="minorHAnsi" w:cstheme="minorHAnsi"/>
          <w:color w:val="000000" w:themeColor="text1"/>
        </w:rPr>
      </w:pPr>
      <w:r w:rsidRPr="00E25965">
        <w:rPr>
          <w:rFonts w:asciiTheme="minorHAnsi" w:hAnsiTheme="minorHAnsi" w:cstheme="minorHAnsi"/>
          <w:color w:val="000000" w:themeColor="text1"/>
          <w:sz w:val="24"/>
          <w:szCs w:val="24"/>
        </w:rPr>
        <w:t>These proposed rules do not implement the carbon reduction phase of the program.</w:t>
      </w:r>
    </w:p>
    <w:p w:rsidR="00641BDA" w:rsidRDefault="00641BDA">
      <w:pPr>
        <w:spacing w:after="120"/>
        <w:ind w:left="1080" w:right="720"/>
        <w:outlineLvl w:val="0"/>
        <w:rPr>
          <w:rFonts w:asciiTheme="minorHAnsi" w:hAnsiTheme="minorHAnsi" w:cstheme="minorHAnsi"/>
          <w:color w:val="000000" w:themeColor="text1"/>
        </w:rPr>
      </w:pPr>
    </w:p>
    <w:p w:rsidR="00641BDA" w:rsidRDefault="0068707F">
      <w:pPr>
        <w:spacing w:after="120"/>
        <w:ind w:left="360" w:right="720"/>
        <w:outlineLvl w:val="0"/>
        <w:rPr>
          <w:rFonts w:asciiTheme="majorHAnsi" w:eastAsia="Times New Roman" w:hAnsiTheme="majorHAnsi" w:cstheme="majorHAnsi"/>
          <w:bCs/>
          <w:color w:val="000000" w:themeColor="text1"/>
        </w:rPr>
      </w:pPr>
      <w:r w:rsidRPr="0068707F">
        <w:rPr>
          <w:rFonts w:asciiTheme="majorHAnsi" w:eastAsia="Times New Roman" w:hAnsiTheme="majorHAnsi" w:cstheme="majorHAnsi"/>
          <w:bCs/>
          <w:color w:val="000000" w:themeColor="text1"/>
        </w:rPr>
        <w:t>Regulated parties</w:t>
      </w:r>
    </w:p>
    <w:p w:rsidR="00641BDA" w:rsidRDefault="0068707F">
      <w:pPr>
        <w:pStyle w:val="DEQSMALLHEADLINES"/>
        <w:ind w:left="1080" w:right="378"/>
        <w:outlineLvl w:val="0"/>
        <w:rPr>
          <w:rFonts w:ascii="Times New Roman" w:eastAsia="Times New Roman" w:hAnsi="Times New Roman"/>
          <w:b w:val="0"/>
          <w:color w:val="000000" w:themeColor="text1"/>
          <w:sz w:val="24"/>
          <w:szCs w:val="24"/>
        </w:rPr>
      </w:pPr>
      <w:r w:rsidRPr="0068707F">
        <w:rPr>
          <w:rFonts w:ascii="Times New Roman" w:eastAsia="Times New Roman" w:hAnsi="Times New Roman"/>
          <w:b w:val="0"/>
          <w:color w:val="000000" w:themeColor="text1"/>
          <w:sz w:val="24"/>
          <w:szCs w:val="24"/>
        </w:rPr>
        <w:t xml:space="preserve">These proposed rules would affect all </w:t>
      </w:r>
      <w:r w:rsidR="0078443E">
        <w:rPr>
          <w:rFonts w:ascii="Times New Roman" w:eastAsia="Times New Roman" w:hAnsi="Times New Roman"/>
          <w:b w:val="0"/>
          <w:color w:val="000000" w:themeColor="text1"/>
          <w:sz w:val="24"/>
          <w:szCs w:val="24"/>
        </w:rPr>
        <w:t xml:space="preserve">Oregon </w:t>
      </w:r>
      <w:r w:rsidRPr="0068707F">
        <w:rPr>
          <w:rFonts w:ascii="Times New Roman" w:eastAsia="Times New Roman" w:hAnsi="Times New Roman"/>
          <w:b w:val="0"/>
          <w:color w:val="000000" w:themeColor="text1"/>
          <w:sz w:val="24"/>
          <w:szCs w:val="24"/>
        </w:rPr>
        <w:t xml:space="preserve">fuel producers and importers </w:t>
      </w:r>
      <w:r w:rsidR="0078443E">
        <w:rPr>
          <w:rFonts w:ascii="Times New Roman" w:eastAsia="Times New Roman" w:hAnsi="Times New Roman"/>
          <w:b w:val="0"/>
          <w:color w:val="000000" w:themeColor="text1"/>
          <w:sz w:val="24"/>
          <w:szCs w:val="24"/>
        </w:rPr>
        <w:t>subject</w:t>
      </w:r>
      <w:r w:rsidR="009D0E3B" w:rsidRPr="00515BAE">
        <w:rPr>
          <w:rFonts w:ascii="Times New Roman" w:eastAsia="Times New Roman" w:hAnsi="Times New Roman"/>
          <w:b w:val="0"/>
          <w:color w:val="000000" w:themeColor="text1"/>
          <w:sz w:val="24"/>
          <w:szCs w:val="24"/>
        </w:rPr>
        <w:t xml:space="preserve"> to th</w:t>
      </w:r>
      <w:r w:rsidR="009D0E3B" w:rsidRPr="00D5308F">
        <w:rPr>
          <w:rFonts w:ascii="Times New Roman" w:eastAsia="Times New Roman" w:hAnsi="Times New Roman"/>
          <w:b w:val="0"/>
          <w:color w:val="000000" w:themeColor="text1"/>
          <w:sz w:val="24"/>
          <w:szCs w:val="24"/>
        </w:rPr>
        <w:t xml:space="preserve">e </w:t>
      </w:r>
      <w:r w:rsidRPr="0068707F">
        <w:rPr>
          <w:rFonts w:asciiTheme="minorHAnsi" w:hAnsiTheme="minorHAnsi" w:cstheme="minorHAnsi"/>
          <w:b w:val="0"/>
          <w:color w:val="000000" w:themeColor="text1"/>
          <w:sz w:val="24"/>
          <w:szCs w:val="24"/>
        </w:rPr>
        <w:t>Oregon Clean Fuels Program</w:t>
      </w:r>
      <w:r w:rsidRPr="0068707F">
        <w:rPr>
          <w:rFonts w:ascii="Times New Roman" w:eastAsia="Times New Roman" w:hAnsi="Times New Roman"/>
          <w:b w:val="0"/>
          <w:color w:val="000000" w:themeColor="text1"/>
          <w:sz w:val="24"/>
          <w:szCs w:val="24"/>
        </w:rPr>
        <w:t>.</w:t>
      </w:r>
    </w:p>
    <w:p w:rsidR="004428C3" w:rsidRDefault="004428C3">
      <w:pPr>
        <w:pStyle w:val="DEQSMALLHEADLINES"/>
        <w:ind w:left="1080" w:right="378"/>
        <w:outlineLvl w:val="0"/>
        <w:rPr>
          <w:rFonts w:ascii="Times New Roman" w:eastAsia="Times New Roman" w:hAnsi="Times New Roman"/>
          <w:b w:val="0"/>
          <w:color w:val="000000" w:themeColor="text1"/>
          <w:sz w:val="24"/>
          <w:szCs w:val="24"/>
        </w:rPr>
      </w:pPr>
    </w:p>
    <w:p w:rsidR="00C42021" w:rsidRDefault="00C42021" w:rsidP="00B34CF8">
      <w:pPr>
        <w:ind w:left="0" w:right="18"/>
        <w:jc w:val="both"/>
        <w:outlineLvl w:val="0"/>
        <w:rPr>
          <w:rFonts w:eastAsia="Times New Roman"/>
          <w:b/>
          <w:bCs/>
          <w:color w:val="00494F"/>
          <w:sz w:val="28"/>
          <w:szCs w:val="28"/>
        </w:rPr>
        <w:sectPr w:rsidR="00C42021" w:rsidSect="00B34CF8">
          <w:pgSz w:w="12240" w:h="15840"/>
          <w:pgMar w:top="1080" w:right="990" w:bottom="1080" w:left="360" w:header="720" w:footer="720" w:gutter="432"/>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EF5333" w:rsidRPr="00810753" w:rsidRDefault="0068707F" w:rsidP="00EF5333">
      <w:pPr>
        <w:spacing w:after="120"/>
        <w:ind w:left="720" w:right="18"/>
        <w:outlineLvl w:val="0"/>
        <w:rPr>
          <w:rFonts w:eastAsia="Times New Roman"/>
          <w:bCs/>
          <w:color w:val="000000" w:themeColor="text1"/>
          <w:sz w:val="22"/>
          <w:szCs w:val="22"/>
        </w:rPr>
      </w:pPr>
      <w:r w:rsidRPr="0068707F">
        <w:rPr>
          <w:rFonts w:eastAsia="Times New Roman"/>
          <w:bCs/>
          <w:color w:val="000000" w:themeColor="text1"/>
          <w:sz w:val="22"/>
          <w:szCs w:val="22"/>
        </w:rPr>
        <w:t>What need would this address?</w:t>
      </w:r>
    </w:p>
    <w:p w:rsidR="00641BDA" w:rsidRDefault="00810753">
      <w:pPr>
        <w:ind w:left="1080" w:right="378"/>
        <w:rPr>
          <w:rFonts w:asciiTheme="minorHAnsi" w:eastAsia="Times New Roman" w:hAnsiTheme="minorHAnsi" w:cstheme="minorHAnsi"/>
          <w:color w:val="000000" w:themeColor="text1"/>
        </w:rPr>
      </w:pPr>
      <w:r>
        <w:rPr>
          <w:rFonts w:ascii="Times New Roman" w:eastAsia="Times New Roman" w:hAnsi="Times New Roman"/>
          <w:color w:val="000000" w:themeColor="text1"/>
        </w:rPr>
        <w:t>F</w:t>
      </w:r>
      <w:r w:rsidR="0068707F" w:rsidRPr="0068707F">
        <w:rPr>
          <w:rFonts w:ascii="Times New Roman" w:eastAsia="Times New Roman" w:hAnsi="Times New Roman"/>
          <w:color w:val="000000" w:themeColor="text1"/>
        </w:rPr>
        <w:t>uel producers and importers</w:t>
      </w:r>
      <w:r w:rsidR="0068707F" w:rsidRPr="0068707F">
        <w:rPr>
          <w:rFonts w:asciiTheme="minorHAnsi" w:eastAsia="Times New Roman" w:hAnsiTheme="minorHAnsi" w:cstheme="minorHAnsi"/>
          <w:color w:val="000000" w:themeColor="text1"/>
        </w:rPr>
        <w:t xml:space="preserve"> spend resources to meet recordkeeping and recording requirements under the current </w:t>
      </w:r>
      <w:r w:rsidR="00B22F3A">
        <w:rPr>
          <w:rFonts w:asciiTheme="minorHAnsi" w:eastAsia="Times New Roman" w:hAnsiTheme="minorHAnsi" w:cstheme="minorHAnsi"/>
          <w:color w:val="000000" w:themeColor="text1"/>
        </w:rPr>
        <w:t xml:space="preserve">program </w:t>
      </w:r>
      <w:r w:rsidR="0068707F" w:rsidRPr="0068707F">
        <w:rPr>
          <w:rFonts w:asciiTheme="minorHAnsi" w:eastAsia="Times New Roman" w:hAnsiTheme="minorHAnsi" w:cstheme="minorHAnsi"/>
          <w:color w:val="000000" w:themeColor="text1"/>
        </w:rPr>
        <w:t xml:space="preserve">rules. The rules contain definitions that </w:t>
      </w:r>
      <w:r w:rsidR="00277295">
        <w:rPr>
          <w:rFonts w:asciiTheme="minorHAnsi" w:eastAsia="Times New Roman" w:hAnsiTheme="minorHAnsi" w:cstheme="minorHAnsi"/>
          <w:color w:val="000000" w:themeColor="text1"/>
        </w:rPr>
        <w:t xml:space="preserve">might </w:t>
      </w:r>
      <w:r w:rsidR="0068707F" w:rsidRPr="0068707F">
        <w:rPr>
          <w:rFonts w:asciiTheme="minorHAnsi" w:eastAsia="Times New Roman" w:hAnsiTheme="minorHAnsi" w:cstheme="minorHAnsi"/>
          <w:color w:val="000000" w:themeColor="text1"/>
        </w:rPr>
        <w:t>cause potential regulated and opt-in parties to misinterpret how</w:t>
      </w:r>
      <w:r>
        <w:rPr>
          <w:rFonts w:asciiTheme="minorHAnsi" w:eastAsia="Times New Roman" w:hAnsiTheme="minorHAnsi" w:cstheme="minorHAnsi"/>
          <w:color w:val="000000" w:themeColor="text1"/>
        </w:rPr>
        <w:t xml:space="preserve"> and whether</w:t>
      </w:r>
      <w:r w:rsidR="00311CBB">
        <w:rPr>
          <w:rFonts w:asciiTheme="minorHAnsi" w:eastAsia="Times New Roman" w:hAnsiTheme="minorHAnsi" w:cstheme="minorHAnsi"/>
          <w:color w:val="000000" w:themeColor="text1"/>
        </w:rPr>
        <w:t xml:space="preserve"> the </w:t>
      </w:r>
      <w:r w:rsidR="000217EC">
        <w:rPr>
          <w:rFonts w:asciiTheme="minorHAnsi" w:eastAsia="Times New Roman" w:hAnsiTheme="minorHAnsi" w:cstheme="minorHAnsi"/>
          <w:color w:val="000000" w:themeColor="text1"/>
        </w:rPr>
        <w:t xml:space="preserve">Clean Fuels </w:t>
      </w:r>
      <w:r w:rsidR="00AF3197">
        <w:rPr>
          <w:rFonts w:asciiTheme="minorHAnsi" w:eastAsia="Times New Roman" w:hAnsiTheme="minorHAnsi" w:cstheme="minorHAnsi"/>
          <w:color w:val="000000" w:themeColor="text1"/>
        </w:rPr>
        <w:t>P</w:t>
      </w:r>
      <w:r w:rsidR="00311CBB">
        <w:rPr>
          <w:rFonts w:asciiTheme="minorHAnsi" w:eastAsia="Times New Roman" w:hAnsiTheme="minorHAnsi" w:cstheme="minorHAnsi"/>
          <w:color w:val="000000" w:themeColor="text1"/>
        </w:rPr>
        <w:t>rogram applies to them</w:t>
      </w:r>
      <w:r w:rsidR="0068707F" w:rsidRPr="0068707F">
        <w:rPr>
          <w:rFonts w:asciiTheme="minorHAnsi" w:eastAsia="Times New Roman" w:hAnsiTheme="minorHAnsi" w:cstheme="minorHAnsi"/>
          <w:color w:val="000000" w:themeColor="text1"/>
        </w:rPr>
        <w:t xml:space="preserve">. In addition, the rules contain requirements for reporting and recordkeeping that are unnecessary for phase one of the </w:t>
      </w:r>
      <w:r w:rsidR="000217EC">
        <w:rPr>
          <w:rFonts w:asciiTheme="minorHAnsi" w:eastAsia="Times New Roman" w:hAnsiTheme="minorHAnsi" w:cstheme="minorHAnsi"/>
          <w:color w:val="000000" w:themeColor="text1"/>
        </w:rPr>
        <w:t>p</w:t>
      </w:r>
      <w:r w:rsidR="0068707F" w:rsidRPr="0068707F">
        <w:rPr>
          <w:rFonts w:asciiTheme="minorHAnsi" w:eastAsia="Times New Roman" w:hAnsiTheme="minorHAnsi" w:cstheme="minorHAnsi"/>
          <w:color w:val="000000" w:themeColor="text1"/>
        </w:rPr>
        <w:t xml:space="preserve">rogram and create additional work for affected parties. </w:t>
      </w:r>
      <w:r w:rsidR="00D51ADC">
        <w:rPr>
          <w:rFonts w:asciiTheme="minorHAnsi" w:eastAsia="Times New Roman" w:hAnsiTheme="minorHAnsi" w:cstheme="minorHAnsi"/>
          <w:color w:val="000000" w:themeColor="text1"/>
        </w:rPr>
        <w:t xml:space="preserve">There are no standards to comply </w:t>
      </w:r>
      <w:r w:rsidR="00311CBB">
        <w:rPr>
          <w:rFonts w:asciiTheme="minorHAnsi" w:eastAsia="Times New Roman" w:hAnsiTheme="minorHAnsi" w:cstheme="minorHAnsi"/>
          <w:color w:val="000000" w:themeColor="text1"/>
        </w:rPr>
        <w:t>with;</w:t>
      </w:r>
      <w:r w:rsidR="00D51ADC">
        <w:rPr>
          <w:rFonts w:asciiTheme="minorHAnsi" w:eastAsia="Times New Roman" w:hAnsiTheme="minorHAnsi" w:cstheme="minorHAnsi"/>
          <w:color w:val="000000" w:themeColor="text1"/>
        </w:rPr>
        <w:t xml:space="preserve"> therefore, k</w:t>
      </w:r>
      <w:r w:rsidR="0068707F" w:rsidRPr="0068707F">
        <w:rPr>
          <w:rFonts w:asciiTheme="minorHAnsi" w:eastAsia="Times New Roman" w:hAnsiTheme="minorHAnsi" w:cstheme="minorHAnsi"/>
          <w:color w:val="000000" w:themeColor="text1"/>
        </w:rPr>
        <w:t xml:space="preserve">eeping these records during the first phase of the Clean Fuels Program is </w:t>
      </w:r>
      <w:r w:rsidR="009D0E3B">
        <w:rPr>
          <w:rFonts w:asciiTheme="minorHAnsi" w:eastAsia="Times New Roman" w:hAnsiTheme="minorHAnsi" w:cstheme="minorHAnsi"/>
          <w:color w:val="000000" w:themeColor="text1"/>
        </w:rPr>
        <w:t>unnecessary</w:t>
      </w:r>
      <w:r w:rsidR="0068707F" w:rsidRPr="0068707F">
        <w:rPr>
          <w:rFonts w:asciiTheme="minorHAnsi" w:eastAsia="Times New Roman" w:hAnsiTheme="minorHAnsi" w:cstheme="minorHAnsi"/>
          <w:color w:val="000000" w:themeColor="text1"/>
        </w:rPr>
        <w:t xml:space="preserve">. In addition, </w:t>
      </w:r>
      <w:r w:rsidR="00C4013F">
        <w:rPr>
          <w:rFonts w:asciiTheme="minorHAnsi" w:eastAsia="Times New Roman" w:hAnsiTheme="minorHAnsi" w:cstheme="minorHAnsi"/>
          <w:color w:val="000000" w:themeColor="text1"/>
        </w:rPr>
        <w:t xml:space="preserve">the current rules require </w:t>
      </w:r>
      <w:r w:rsidR="0068707F" w:rsidRPr="0068707F">
        <w:rPr>
          <w:rFonts w:asciiTheme="minorHAnsi" w:eastAsia="Times New Roman" w:hAnsiTheme="minorHAnsi" w:cstheme="minorHAnsi"/>
          <w:color w:val="000000" w:themeColor="text1"/>
        </w:rPr>
        <w:t xml:space="preserve">smaller companies to keep records </w:t>
      </w:r>
      <w:r w:rsidR="00C42021">
        <w:rPr>
          <w:rFonts w:asciiTheme="minorHAnsi" w:eastAsia="Times New Roman" w:hAnsiTheme="minorHAnsi" w:cstheme="minorHAnsi"/>
          <w:color w:val="000000" w:themeColor="text1"/>
        </w:rPr>
        <w:t>of</w:t>
      </w:r>
      <w:r w:rsidR="0068707F" w:rsidRPr="0068707F">
        <w:rPr>
          <w:rFonts w:asciiTheme="minorHAnsi" w:eastAsia="Times New Roman" w:hAnsiTheme="minorHAnsi" w:cstheme="minorHAnsi"/>
          <w:color w:val="000000" w:themeColor="text1"/>
        </w:rPr>
        <w:t xml:space="preserve"> information that is difficult to obtain and </w:t>
      </w:r>
      <w:r w:rsidR="00C4013F">
        <w:rPr>
          <w:rFonts w:asciiTheme="minorHAnsi" w:eastAsia="Times New Roman" w:hAnsiTheme="minorHAnsi" w:cstheme="minorHAnsi"/>
          <w:color w:val="000000" w:themeColor="text1"/>
        </w:rPr>
        <w:t>in</w:t>
      </w:r>
      <w:r w:rsidR="0068707F" w:rsidRPr="0068707F">
        <w:rPr>
          <w:rFonts w:asciiTheme="minorHAnsi" w:eastAsia="Times New Roman" w:hAnsiTheme="minorHAnsi" w:cstheme="minorHAnsi"/>
          <w:color w:val="000000" w:themeColor="text1"/>
        </w:rPr>
        <w:t xml:space="preserve">significant to the </w:t>
      </w:r>
      <w:r w:rsidR="00277295">
        <w:rPr>
          <w:rFonts w:asciiTheme="minorHAnsi" w:eastAsia="Times New Roman" w:hAnsiTheme="minorHAnsi" w:cstheme="minorHAnsi"/>
          <w:color w:val="000000" w:themeColor="text1"/>
        </w:rPr>
        <w:t xml:space="preserve">current </w:t>
      </w:r>
      <w:r w:rsidR="0068707F" w:rsidRPr="0068707F">
        <w:rPr>
          <w:rFonts w:asciiTheme="minorHAnsi" w:eastAsia="Times New Roman" w:hAnsiTheme="minorHAnsi" w:cstheme="minorHAnsi"/>
          <w:color w:val="000000" w:themeColor="text1"/>
        </w:rPr>
        <w:t>program.</w:t>
      </w:r>
    </w:p>
    <w:p w:rsidR="00EF5333" w:rsidRDefault="00EF5333" w:rsidP="00EF5333">
      <w:pPr>
        <w:pStyle w:val="DEQTEXTforFACTSHEET"/>
        <w:ind w:left="1080" w:right="468"/>
        <w:rPr>
          <w:rFonts w:asciiTheme="minorHAnsi" w:eastAsia="Times New Roman" w:hAnsiTheme="minorHAnsi" w:cstheme="minorHAnsi"/>
          <w:color w:val="000000" w:themeColor="text1"/>
          <w:sz w:val="22"/>
          <w:szCs w:val="22"/>
        </w:rPr>
      </w:pPr>
    </w:p>
    <w:p w:rsidR="00EF5333" w:rsidRPr="00810753" w:rsidRDefault="0068707F" w:rsidP="00EF5333">
      <w:pPr>
        <w:spacing w:after="120"/>
        <w:ind w:left="720" w:right="18"/>
        <w:outlineLvl w:val="0"/>
        <w:rPr>
          <w:rFonts w:eastAsia="Times New Roman"/>
          <w:bCs/>
          <w:color w:val="000000" w:themeColor="text1"/>
          <w:sz w:val="22"/>
          <w:szCs w:val="22"/>
        </w:rPr>
      </w:pPr>
      <w:r w:rsidRPr="0068707F">
        <w:rPr>
          <w:rFonts w:eastAsia="Times New Roman"/>
          <w:bCs/>
          <w:color w:val="000000" w:themeColor="text1"/>
          <w:sz w:val="22"/>
          <w:szCs w:val="22"/>
        </w:rPr>
        <w:t xml:space="preserve">How would the proposed rule address the need? </w:t>
      </w:r>
    </w:p>
    <w:p w:rsidR="00677842" w:rsidRDefault="009D0E3B" w:rsidP="00DD5F39">
      <w:pPr>
        <w:pStyle w:val="DEQTEXTforFACTSHEET"/>
        <w:numPr>
          <w:ilvl w:val="0"/>
          <w:numId w:val="43"/>
        </w:numPr>
        <w:spacing w:afterLines="120"/>
        <w:outlineLvl w:val="0"/>
        <w:rPr>
          <w:rFonts w:ascii="Times New Roman" w:eastAsia="Times New Roman" w:hAnsi="Times New Roman"/>
          <w:color w:val="000000" w:themeColor="text1"/>
          <w:sz w:val="24"/>
          <w:szCs w:val="24"/>
        </w:rPr>
      </w:pPr>
      <w:r w:rsidRPr="006206D3">
        <w:rPr>
          <w:rFonts w:ascii="Times New Roman" w:eastAsia="Times New Roman" w:hAnsi="Times New Roman"/>
          <w:color w:val="000000" w:themeColor="text1"/>
          <w:sz w:val="24"/>
          <w:szCs w:val="24"/>
        </w:rPr>
        <w:t xml:space="preserve">The </w:t>
      </w:r>
      <w:r w:rsidR="00C42021">
        <w:rPr>
          <w:rFonts w:ascii="Times New Roman" w:eastAsia="Times New Roman" w:hAnsi="Times New Roman"/>
          <w:color w:val="000000" w:themeColor="text1"/>
          <w:sz w:val="24"/>
          <w:szCs w:val="24"/>
        </w:rPr>
        <w:t>proposed rules</w:t>
      </w:r>
      <w:r w:rsidRPr="006206D3">
        <w:rPr>
          <w:rFonts w:ascii="Times New Roman" w:eastAsia="Times New Roman" w:hAnsi="Times New Roman"/>
          <w:color w:val="000000" w:themeColor="text1"/>
          <w:sz w:val="24"/>
          <w:szCs w:val="24"/>
        </w:rPr>
        <w:t xml:space="preserve"> would </w:t>
      </w:r>
      <w:r w:rsidR="000217EC">
        <w:rPr>
          <w:rFonts w:ascii="Times New Roman" w:eastAsia="Times New Roman" w:hAnsi="Times New Roman"/>
          <w:color w:val="000000" w:themeColor="text1"/>
          <w:sz w:val="24"/>
          <w:szCs w:val="24"/>
        </w:rPr>
        <w:t xml:space="preserve">provide clarity to </w:t>
      </w:r>
      <w:r w:rsidRPr="006206D3">
        <w:rPr>
          <w:rFonts w:ascii="Times New Roman" w:eastAsia="Times New Roman" w:hAnsi="Times New Roman"/>
          <w:color w:val="000000" w:themeColor="text1"/>
          <w:sz w:val="24"/>
          <w:szCs w:val="24"/>
        </w:rPr>
        <w:t xml:space="preserve">help potential regulated and opt-in parties identify how and whether the program applies to them. </w:t>
      </w:r>
      <w:r w:rsidR="00EF5333" w:rsidRPr="006206D3">
        <w:rPr>
          <w:rFonts w:ascii="Times New Roman" w:eastAsia="Times New Roman" w:hAnsi="Times New Roman"/>
          <w:color w:val="000000" w:themeColor="text1"/>
          <w:sz w:val="24"/>
          <w:szCs w:val="24"/>
        </w:rPr>
        <w:t>For example, t</w:t>
      </w:r>
      <w:r w:rsidR="0068707F" w:rsidRPr="006206D3">
        <w:rPr>
          <w:rFonts w:ascii="Times New Roman" w:eastAsia="Times New Roman" w:hAnsi="Times New Roman"/>
          <w:color w:val="000000" w:themeColor="text1"/>
          <w:sz w:val="24"/>
          <w:szCs w:val="24"/>
        </w:rPr>
        <w:t xml:space="preserve">he proposed rules </w:t>
      </w:r>
      <w:r w:rsidR="00AB49B1" w:rsidRPr="006206D3">
        <w:rPr>
          <w:rFonts w:ascii="Times New Roman" w:eastAsia="Times New Roman" w:hAnsi="Times New Roman"/>
          <w:color w:val="000000" w:themeColor="text1"/>
          <w:sz w:val="24"/>
          <w:szCs w:val="24"/>
        </w:rPr>
        <w:t xml:space="preserve">more </w:t>
      </w:r>
      <w:r w:rsidR="0068707F" w:rsidRPr="006206D3">
        <w:rPr>
          <w:rFonts w:ascii="Times New Roman" w:eastAsia="Times New Roman" w:hAnsi="Times New Roman"/>
          <w:color w:val="000000" w:themeColor="text1"/>
          <w:sz w:val="24"/>
          <w:szCs w:val="24"/>
        </w:rPr>
        <w:t xml:space="preserve">accurately define </w:t>
      </w:r>
      <w:r w:rsidR="00B22F3A">
        <w:rPr>
          <w:rFonts w:ascii="Times New Roman" w:eastAsia="Times New Roman" w:hAnsi="Times New Roman"/>
          <w:color w:val="000000" w:themeColor="text1"/>
          <w:sz w:val="24"/>
          <w:szCs w:val="24"/>
        </w:rPr>
        <w:t>the term “</w:t>
      </w:r>
      <w:r w:rsidR="0068707F" w:rsidRPr="006206D3">
        <w:rPr>
          <w:rFonts w:ascii="Times New Roman" w:eastAsia="Times New Roman" w:hAnsi="Times New Roman"/>
          <w:color w:val="000000" w:themeColor="text1"/>
          <w:sz w:val="24"/>
          <w:szCs w:val="24"/>
        </w:rPr>
        <w:t>importers</w:t>
      </w:r>
      <w:r w:rsidR="00B22F3A">
        <w:rPr>
          <w:rFonts w:ascii="Times New Roman" w:eastAsia="Times New Roman" w:hAnsi="Times New Roman"/>
          <w:color w:val="000000" w:themeColor="text1"/>
          <w:sz w:val="24"/>
          <w:szCs w:val="24"/>
        </w:rPr>
        <w:t>”</w:t>
      </w:r>
      <w:r w:rsidR="00F74AFF" w:rsidRPr="006206D3">
        <w:rPr>
          <w:rFonts w:ascii="Times New Roman" w:eastAsia="Times New Roman" w:hAnsi="Times New Roman"/>
          <w:color w:val="000000" w:themeColor="text1"/>
          <w:sz w:val="24"/>
          <w:szCs w:val="24"/>
        </w:rPr>
        <w:t>.</w:t>
      </w:r>
    </w:p>
    <w:p w:rsidR="007D388B" w:rsidRDefault="000217EC" w:rsidP="00DD5F39">
      <w:pPr>
        <w:pStyle w:val="DEQTEXTforFACTSHEET"/>
        <w:numPr>
          <w:ilvl w:val="0"/>
          <w:numId w:val="41"/>
        </w:numPr>
        <w:spacing w:afterLines="120"/>
        <w:ind w:left="1440" w:right="468"/>
        <w:outlineLvl w:val="0"/>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 xml:space="preserve">The </w:t>
      </w:r>
      <w:r w:rsidR="00C42021">
        <w:rPr>
          <w:rFonts w:asciiTheme="minorHAnsi" w:eastAsia="Times New Roman" w:hAnsiTheme="minorHAnsi" w:cstheme="minorHAnsi"/>
          <w:color w:val="000000" w:themeColor="text1"/>
          <w:sz w:val="24"/>
          <w:szCs w:val="24"/>
        </w:rPr>
        <w:t>proposed rules</w:t>
      </w:r>
      <w:r>
        <w:rPr>
          <w:rFonts w:asciiTheme="minorHAnsi" w:eastAsia="Times New Roman" w:hAnsiTheme="minorHAnsi" w:cstheme="minorHAnsi"/>
          <w:color w:val="000000" w:themeColor="text1"/>
          <w:sz w:val="24"/>
          <w:szCs w:val="24"/>
        </w:rPr>
        <w:t xml:space="preserve"> would r</w:t>
      </w:r>
      <w:r w:rsidR="006206D3" w:rsidRPr="006206D3">
        <w:rPr>
          <w:rFonts w:asciiTheme="minorHAnsi" w:eastAsia="Times New Roman" w:hAnsiTheme="minorHAnsi" w:cstheme="minorHAnsi"/>
          <w:color w:val="000000" w:themeColor="text1"/>
          <w:sz w:val="24"/>
          <w:szCs w:val="24"/>
        </w:rPr>
        <w:t>educe requirements for certain fuel importers</w:t>
      </w:r>
      <w:r>
        <w:rPr>
          <w:rFonts w:asciiTheme="minorHAnsi" w:eastAsia="Times New Roman" w:hAnsiTheme="minorHAnsi" w:cstheme="minorHAnsi"/>
          <w:color w:val="000000" w:themeColor="text1"/>
          <w:sz w:val="24"/>
          <w:szCs w:val="24"/>
        </w:rPr>
        <w:t>.</w:t>
      </w:r>
      <w:r w:rsidR="006206D3" w:rsidRPr="006206D3">
        <w:rPr>
          <w:rFonts w:asciiTheme="minorHAnsi" w:eastAsia="Times New Roman" w:hAnsiTheme="minorHAnsi" w:cstheme="minorHAnsi"/>
          <w:color w:val="000000" w:themeColor="text1"/>
          <w:sz w:val="24"/>
          <w:szCs w:val="24"/>
        </w:rPr>
        <w:t xml:space="preserve"> </w:t>
      </w:r>
      <w:r w:rsidR="0068707F" w:rsidRPr="006206D3">
        <w:rPr>
          <w:rFonts w:asciiTheme="minorHAnsi" w:eastAsia="Times New Roman" w:hAnsiTheme="minorHAnsi" w:cstheme="minorHAnsi"/>
          <w:color w:val="000000" w:themeColor="text1"/>
          <w:sz w:val="24"/>
          <w:szCs w:val="24"/>
        </w:rPr>
        <w:t>For example</w:t>
      </w:r>
      <w:proofErr w:type="gramStart"/>
      <w:r w:rsidR="0068707F" w:rsidRPr="006206D3">
        <w:rPr>
          <w:rFonts w:asciiTheme="minorHAnsi" w:eastAsia="Times New Roman" w:hAnsiTheme="minorHAnsi" w:cstheme="minorHAnsi"/>
          <w:color w:val="000000" w:themeColor="text1"/>
          <w:sz w:val="24"/>
          <w:szCs w:val="24"/>
        </w:rPr>
        <w:t xml:space="preserve">, </w:t>
      </w:r>
      <w:r w:rsidR="00B22F3A">
        <w:rPr>
          <w:rFonts w:asciiTheme="minorHAnsi" w:eastAsia="Times New Roman" w:hAnsiTheme="minorHAnsi" w:cstheme="minorHAnsi"/>
          <w:color w:val="000000" w:themeColor="text1"/>
          <w:sz w:val="24"/>
          <w:szCs w:val="24"/>
        </w:rPr>
        <w:t xml:space="preserve"> </w:t>
      </w:r>
      <w:r w:rsidR="0068707F" w:rsidRPr="006206D3">
        <w:rPr>
          <w:rFonts w:asciiTheme="minorHAnsi" w:eastAsia="Times New Roman" w:hAnsiTheme="minorHAnsi" w:cstheme="minorHAnsi"/>
          <w:color w:val="000000" w:themeColor="text1"/>
          <w:sz w:val="24"/>
          <w:szCs w:val="24"/>
        </w:rPr>
        <w:t>t</w:t>
      </w:r>
      <w:r w:rsidR="008F5568" w:rsidRPr="006206D3">
        <w:rPr>
          <w:rFonts w:asciiTheme="minorHAnsi" w:eastAsia="Times New Roman" w:hAnsiTheme="minorHAnsi" w:cstheme="minorHAnsi"/>
          <w:color w:val="000000" w:themeColor="text1"/>
          <w:sz w:val="24"/>
          <w:szCs w:val="24"/>
        </w:rPr>
        <w:t>he</w:t>
      </w:r>
      <w:proofErr w:type="gramEnd"/>
      <w:r>
        <w:rPr>
          <w:rFonts w:asciiTheme="minorHAnsi" w:eastAsia="Times New Roman" w:hAnsiTheme="minorHAnsi" w:cstheme="minorHAnsi"/>
          <w:color w:val="000000" w:themeColor="text1"/>
          <w:sz w:val="24"/>
          <w:szCs w:val="24"/>
        </w:rPr>
        <w:t xml:space="preserve"> amendments</w:t>
      </w:r>
      <w:r w:rsidR="008F5568" w:rsidRPr="006206D3">
        <w:rPr>
          <w:rFonts w:asciiTheme="minorHAnsi" w:eastAsia="Times New Roman" w:hAnsiTheme="minorHAnsi" w:cstheme="minorHAnsi"/>
          <w:color w:val="000000" w:themeColor="text1"/>
          <w:sz w:val="24"/>
          <w:szCs w:val="24"/>
        </w:rPr>
        <w:t xml:space="preserve"> </w:t>
      </w:r>
      <w:r w:rsidR="00894ACE" w:rsidRPr="006206D3">
        <w:rPr>
          <w:rFonts w:asciiTheme="minorHAnsi" w:eastAsia="Times New Roman" w:hAnsiTheme="minorHAnsi" w:cstheme="minorHAnsi"/>
          <w:color w:val="000000" w:themeColor="text1"/>
          <w:sz w:val="24"/>
          <w:szCs w:val="24"/>
        </w:rPr>
        <w:t xml:space="preserve">would </w:t>
      </w:r>
      <w:r w:rsidR="008F5568" w:rsidRPr="006206D3">
        <w:rPr>
          <w:rFonts w:asciiTheme="minorHAnsi" w:eastAsia="Times New Roman" w:hAnsiTheme="minorHAnsi" w:cstheme="minorHAnsi"/>
          <w:color w:val="000000" w:themeColor="text1"/>
          <w:sz w:val="24"/>
          <w:szCs w:val="24"/>
        </w:rPr>
        <w:t>remove requirements for an initial importer to transfer the compliance obligation through the distribution chain</w:t>
      </w:r>
      <w:r w:rsidR="00D71277">
        <w:rPr>
          <w:rFonts w:asciiTheme="minorHAnsi" w:eastAsia="Times New Roman" w:hAnsiTheme="minorHAnsi" w:cstheme="minorHAnsi"/>
          <w:color w:val="000000" w:themeColor="text1"/>
          <w:sz w:val="24"/>
          <w:szCs w:val="24"/>
        </w:rPr>
        <w:t>;</w:t>
      </w:r>
      <w:r w:rsidR="00894ACE" w:rsidRPr="006206D3">
        <w:rPr>
          <w:rFonts w:asciiTheme="minorHAnsi" w:eastAsia="Times New Roman" w:hAnsiTheme="minorHAnsi" w:cstheme="minorHAnsi"/>
          <w:color w:val="000000" w:themeColor="text1"/>
          <w:sz w:val="24"/>
          <w:szCs w:val="24"/>
        </w:rPr>
        <w:t xml:space="preserve"> the</w:t>
      </w:r>
      <w:r w:rsidR="00D71277">
        <w:rPr>
          <w:rFonts w:asciiTheme="minorHAnsi" w:eastAsia="Times New Roman" w:hAnsiTheme="minorHAnsi" w:cstheme="minorHAnsi"/>
          <w:color w:val="000000" w:themeColor="text1"/>
          <w:sz w:val="24"/>
          <w:szCs w:val="24"/>
        </w:rPr>
        <w:t xml:space="preserve"> initial importer would</w:t>
      </w:r>
      <w:r w:rsidR="00894ACE" w:rsidRPr="006206D3">
        <w:rPr>
          <w:rFonts w:asciiTheme="minorHAnsi" w:eastAsia="Times New Roman" w:hAnsiTheme="minorHAnsi" w:cstheme="minorHAnsi"/>
          <w:color w:val="000000" w:themeColor="text1"/>
          <w:sz w:val="24"/>
          <w:szCs w:val="24"/>
        </w:rPr>
        <w:t xml:space="preserve"> retain that obligation</w:t>
      </w:r>
      <w:r w:rsidR="008F5568" w:rsidRPr="006206D3">
        <w:rPr>
          <w:rFonts w:asciiTheme="minorHAnsi" w:eastAsia="Times New Roman" w:hAnsiTheme="minorHAnsi" w:cstheme="minorHAnsi"/>
          <w:color w:val="000000" w:themeColor="text1"/>
          <w:sz w:val="24"/>
          <w:szCs w:val="24"/>
        </w:rPr>
        <w:t>.</w:t>
      </w:r>
      <w:r w:rsidR="00DE5C2C" w:rsidRPr="006206D3">
        <w:rPr>
          <w:rFonts w:asciiTheme="minorHAnsi" w:eastAsia="Times New Roman" w:hAnsiTheme="minorHAnsi" w:cstheme="minorHAnsi"/>
          <w:color w:val="000000" w:themeColor="text1"/>
          <w:sz w:val="24"/>
          <w:szCs w:val="24"/>
        </w:rPr>
        <w:t xml:space="preserve"> </w:t>
      </w:r>
      <w:r w:rsidR="00AB49B1" w:rsidRPr="006206D3">
        <w:rPr>
          <w:rFonts w:asciiTheme="minorHAnsi" w:eastAsia="Times New Roman" w:hAnsiTheme="minorHAnsi" w:cstheme="minorHAnsi"/>
          <w:color w:val="000000" w:themeColor="text1"/>
          <w:sz w:val="24"/>
          <w:szCs w:val="24"/>
        </w:rPr>
        <w:t xml:space="preserve">Since </w:t>
      </w:r>
      <w:r w:rsidR="00DE5C2C" w:rsidRPr="006206D3">
        <w:rPr>
          <w:rFonts w:asciiTheme="minorHAnsi" w:eastAsia="Times New Roman" w:hAnsiTheme="minorHAnsi" w:cstheme="minorHAnsi"/>
          <w:color w:val="000000" w:themeColor="text1"/>
          <w:sz w:val="24"/>
          <w:szCs w:val="24"/>
        </w:rPr>
        <w:t>DEQ uses information collected at this time to help make decisions at a statewide level</w:t>
      </w:r>
      <w:r w:rsidR="00AB49B1" w:rsidRPr="006206D3">
        <w:rPr>
          <w:rFonts w:asciiTheme="minorHAnsi" w:eastAsia="Times New Roman" w:hAnsiTheme="minorHAnsi" w:cstheme="minorHAnsi"/>
          <w:color w:val="000000" w:themeColor="text1"/>
          <w:sz w:val="24"/>
          <w:szCs w:val="24"/>
        </w:rPr>
        <w:t>,</w:t>
      </w:r>
      <w:r w:rsidR="00DE5C2C" w:rsidRPr="006206D3">
        <w:rPr>
          <w:rFonts w:asciiTheme="minorHAnsi" w:eastAsia="Times New Roman" w:hAnsiTheme="minorHAnsi" w:cstheme="minorHAnsi"/>
          <w:color w:val="000000" w:themeColor="text1"/>
          <w:sz w:val="24"/>
          <w:szCs w:val="24"/>
        </w:rPr>
        <w:t xml:space="preserve"> this simplified process is adequate at this phase of the program.</w:t>
      </w:r>
    </w:p>
    <w:p w:rsidR="007D388B" w:rsidRDefault="00815AF4" w:rsidP="00DD5F39">
      <w:pPr>
        <w:pStyle w:val="ListParagraph"/>
        <w:numPr>
          <w:ilvl w:val="0"/>
          <w:numId w:val="41"/>
        </w:numPr>
        <w:spacing w:afterLines="120"/>
        <w:ind w:left="1440" w:right="720"/>
        <w:contextualSpacing w:val="0"/>
        <w:outlineLvl w:val="0"/>
        <w:rPr>
          <w:rFonts w:asciiTheme="minorHAnsi" w:hAnsiTheme="minorHAnsi" w:cstheme="minorHAnsi"/>
          <w:color w:val="000000" w:themeColor="text1"/>
        </w:rPr>
      </w:pPr>
      <w:r w:rsidRPr="00815AF4">
        <w:rPr>
          <w:rFonts w:asciiTheme="minorHAnsi" w:eastAsia="Times New Roman" w:hAnsiTheme="minorHAnsi" w:cstheme="minorHAnsi"/>
          <w:color w:val="000000" w:themeColor="text1"/>
        </w:rPr>
        <w:t xml:space="preserve">The </w:t>
      </w:r>
      <w:r w:rsidR="00C42021">
        <w:rPr>
          <w:rFonts w:asciiTheme="minorHAnsi" w:eastAsia="Times New Roman" w:hAnsiTheme="minorHAnsi" w:cstheme="minorHAnsi"/>
          <w:color w:val="000000" w:themeColor="text1"/>
        </w:rPr>
        <w:t>proposed rules</w:t>
      </w:r>
      <w:r w:rsidRPr="00815AF4">
        <w:rPr>
          <w:rFonts w:asciiTheme="minorHAnsi" w:eastAsia="Times New Roman" w:hAnsiTheme="minorHAnsi" w:cstheme="minorHAnsi"/>
          <w:color w:val="000000" w:themeColor="text1"/>
        </w:rPr>
        <w:t xml:space="preserve"> simplify recordkeeping requirements for some businesses by eliminating the requirement to obtain information related to a fuel’s carbon intensity</w:t>
      </w:r>
      <w:r w:rsidR="00C42021">
        <w:rPr>
          <w:rFonts w:asciiTheme="minorHAnsi" w:eastAsia="Times New Roman" w:hAnsiTheme="minorHAnsi" w:cstheme="minorHAnsi"/>
          <w:color w:val="000000" w:themeColor="text1"/>
        </w:rPr>
        <w:t xml:space="preserve">. </w:t>
      </w:r>
    </w:p>
    <w:p w:rsidR="007D388B" w:rsidRDefault="00C42021" w:rsidP="00DD5F39">
      <w:pPr>
        <w:pStyle w:val="ListParagraph"/>
        <w:spacing w:afterLines="120"/>
        <w:ind w:left="1440" w:right="720"/>
        <w:contextualSpacing w:val="0"/>
        <w:outlineLvl w:val="0"/>
        <w:rPr>
          <w:rFonts w:asciiTheme="minorHAnsi" w:hAnsiTheme="minorHAnsi" w:cstheme="minorHAnsi"/>
          <w:color w:val="000000" w:themeColor="text1"/>
        </w:rPr>
      </w:pPr>
      <w:r>
        <w:rPr>
          <w:rFonts w:asciiTheme="minorHAnsi" w:eastAsia="Times New Roman" w:hAnsiTheme="minorHAnsi" w:cstheme="minorHAnsi"/>
          <w:color w:val="000000" w:themeColor="text1"/>
        </w:rPr>
        <w:t>Current rules base r</w:t>
      </w:r>
      <w:r w:rsidR="00815AF4" w:rsidRPr="00815AF4">
        <w:rPr>
          <w:rFonts w:asciiTheme="minorHAnsi" w:eastAsia="Times New Roman" w:hAnsiTheme="minorHAnsi" w:cstheme="minorHAnsi"/>
          <w:color w:val="000000" w:themeColor="text1"/>
        </w:rPr>
        <w:t>ecordkeeping requirements</w:t>
      </w:r>
      <w:r>
        <w:rPr>
          <w:rFonts w:asciiTheme="minorHAnsi" w:eastAsia="Times New Roman" w:hAnsiTheme="minorHAnsi" w:cstheme="minorHAnsi"/>
          <w:color w:val="000000" w:themeColor="text1"/>
        </w:rPr>
        <w:t xml:space="preserve"> </w:t>
      </w:r>
      <w:r w:rsidR="00815AF4" w:rsidRPr="00815AF4">
        <w:rPr>
          <w:rFonts w:asciiTheme="minorHAnsi" w:eastAsia="Times New Roman" w:hAnsiTheme="minorHAnsi" w:cstheme="minorHAnsi"/>
          <w:color w:val="000000" w:themeColor="text1"/>
        </w:rPr>
        <w:t>on the volume of fuel imported.</w:t>
      </w:r>
      <w:r w:rsidR="000217EC">
        <w:rPr>
          <w:rFonts w:asciiTheme="minorHAnsi" w:eastAsia="Times New Roman" w:hAnsiTheme="minorHAnsi" w:cstheme="minorHAnsi"/>
          <w:color w:val="000000" w:themeColor="text1"/>
        </w:rPr>
        <w:t xml:space="preserve"> Of the </w:t>
      </w:r>
      <w:r w:rsidR="00C2450E">
        <w:rPr>
          <w:rFonts w:asciiTheme="minorHAnsi" w:hAnsiTheme="minorHAnsi" w:cstheme="minorHAnsi"/>
          <w:color w:val="000000" w:themeColor="text1"/>
        </w:rPr>
        <w:t>62</w:t>
      </w:r>
      <w:r w:rsidR="00815AF4" w:rsidRPr="00815AF4">
        <w:rPr>
          <w:rFonts w:asciiTheme="minorHAnsi" w:hAnsiTheme="minorHAnsi" w:cstheme="minorHAnsi"/>
          <w:color w:val="000000" w:themeColor="text1"/>
        </w:rPr>
        <w:t xml:space="preserve"> importers and two Oregon producers of fuels subject to the program</w:t>
      </w:r>
      <w:r w:rsidR="000217EC">
        <w:rPr>
          <w:rFonts w:asciiTheme="minorHAnsi" w:hAnsiTheme="minorHAnsi" w:cstheme="minorHAnsi"/>
          <w:color w:val="000000" w:themeColor="text1"/>
        </w:rPr>
        <w:t>,</w:t>
      </w:r>
      <w:r w:rsidR="00815AF4" w:rsidRPr="00815AF4">
        <w:rPr>
          <w:rFonts w:asciiTheme="minorHAnsi" w:hAnsiTheme="minorHAnsi" w:cstheme="minorHAnsi"/>
          <w:color w:val="000000" w:themeColor="text1"/>
        </w:rPr>
        <w:t xml:space="preserve"> </w:t>
      </w:r>
      <w:r w:rsidR="00C2450E">
        <w:rPr>
          <w:rFonts w:asciiTheme="minorHAnsi" w:hAnsiTheme="minorHAnsi" w:cstheme="minorHAnsi"/>
          <w:color w:val="000000" w:themeColor="text1"/>
        </w:rPr>
        <w:t>49</w:t>
      </w:r>
      <w:r w:rsidR="000217EC" w:rsidRPr="000217EC">
        <w:rPr>
          <w:rFonts w:asciiTheme="minorHAnsi" w:hAnsiTheme="minorHAnsi" w:cstheme="minorHAnsi"/>
          <w:color w:val="000000" w:themeColor="text1"/>
        </w:rPr>
        <w:t xml:space="preserve"> are large importers of more than 250,000 gallons per year</w:t>
      </w:r>
      <w:r w:rsidR="000217EC">
        <w:rPr>
          <w:rFonts w:asciiTheme="minorHAnsi" w:hAnsiTheme="minorHAnsi" w:cstheme="minorHAnsi"/>
          <w:color w:val="000000" w:themeColor="text1"/>
        </w:rPr>
        <w:t xml:space="preserve"> and </w:t>
      </w:r>
      <w:r w:rsidR="00B22F3A">
        <w:rPr>
          <w:rFonts w:asciiTheme="minorHAnsi" w:hAnsiTheme="minorHAnsi" w:cstheme="minorHAnsi"/>
          <w:color w:val="000000" w:themeColor="text1"/>
        </w:rPr>
        <w:t>13</w:t>
      </w:r>
      <w:r w:rsidR="00815AF4" w:rsidRPr="00815AF4">
        <w:rPr>
          <w:rFonts w:asciiTheme="minorHAnsi" w:hAnsiTheme="minorHAnsi" w:cstheme="minorHAnsi"/>
          <w:color w:val="000000" w:themeColor="text1"/>
        </w:rPr>
        <w:t xml:space="preserve"> are small importers of fewer than 250,000 gallons per year.</w:t>
      </w:r>
      <w:r w:rsidR="000217EC" w:rsidRPr="000217EC">
        <w:rPr>
          <w:rFonts w:asciiTheme="minorHAnsi" w:eastAsia="Times New Roman" w:hAnsiTheme="minorHAnsi" w:cstheme="minorHAnsi"/>
          <w:color w:val="000000" w:themeColor="text1"/>
        </w:rPr>
        <w:t xml:space="preserve"> </w:t>
      </w:r>
      <w:r w:rsidR="000217EC">
        <w:rPr>
          <w:rFonts w:asciiTheme="minorHAnsi" w:eastAsia="Times New Roman" w:hAnsiTheme="minorHAnsi" w:cstheme="minorHAnsi"/>
          <w:color w:val="000000" w:themeColor="text1"/>
        </w:rPr>
        <w:t>Large importers report carbon intensity and small importers do not.</w:t>
      </w:r>
    </w:p>
    <w:p w:rsidR="007D388B" w:rsidRDefault="000217EC" w:rsidP="00DD5F39">
      <w:pPr>
        <w:spacing w:afterLines="120"/>
        <w:ind w:left="1440" w:right="28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Instead of basing requirements on </w:t>
      </w:r>
      <w:r w:rsidR="00C42021">
        <w:rPr>
          <w:rFonts w:asciiTheme="minorHAnsi" w:eastAsia="Times New Roman" w:hAnsiTheme="minorHAnsi" w:cstheme="minorHAnsi"/>
          <w:color w:val="000000" w:themeColor="text1"/>
        </w:rPr>
        <w:t>the volume</w:t>
      </w:r>
      <w:r>
        <w:rPr>
          <w:rFonts w:asciiTheme="minorHAnsi" w:eastAsia="Times New Roman" w:hAnsiTheme="minorHAnsi" w:cstheme="minorHAnsi"/>
          <w:color w:val="000000" w:themeColor="text1"/>
        </w:rPr>
        <w:t xml:space="preserve"> of fuel imported, it is </w:t>
      </w:r>
      <w:r w:rsidR="00D71277">
        <w:rPr>
          <w:rFonts w:asciiTheme="minorHAnsi" w:eastAsia="Times New Roman" w:hAnsiTheme="minorHAnsi" w:cstheme="minorHAnsi"/>
          <w:color w:val="000000" w:themeColor="text1"/>
        </w:rPr>
        <w:t xml:space="preserve">more appropriate </w:t>
      </w:r>
      <w:r w:rsidR="006206D3">
        <w:rPr>
          <w:rFonts w:asciiTheme="minorHAnsi" w:eastAsia="Times New Roman" w:hAnsiTheme="minorHAnsi" w:cstheme="minorHAnsi"/>
          <w:color w:val="000000" w:themeColor="text1"/>
        </w:rPr>
        <w:t xml:space="preserve">to </w:t>
      </w:r>
      <w:r>
        <w:rPr>
          <w:rFonts w:asciiTheme="minorHAnsi" w:eastAsia="Times New Roman" w:hAnsiTheme="minorHAnsi" w:cstheme="minorHAnsi"/>
          <w:color w:val="000000" w:themeColor="text1"/>
        </w:rPr>
        <w:t>base them</w:t>
      </w:r>
      <w:r w:rsidR="006206D3">
        <w:rPr>
          <w:rFonts w:asciiTheme="minorHAnsi" w:eastAsia="Times New Roman" w:hAnsiTheme="minorHAnsi" w:cstheme="minorHAnsi"/>
          <w:color w:val="000000" w:themeColor="text1"/>
        </w:rPr>
        <w:t xml:space="preserve"> </w:t>
      </w:r>
      <w:r w:rsidR="008F5568" w:rsidRPr="00EF5333">
        <w:rPr>
          <w:rFonts w:asciiTheme="minorHAnsi" w:eastAsia="Times New Roman" w:hAnsiTheme="minorHAnsi" w:cstheme="minorHAnsi"/>
          <w:color w:val="000000" w:themeColor="text1"/>
        </w:rPr>
        <w:t>on the types of fuels imported</w:t>
      </w:r>
      <w:r>
        <w:rPr>
          <w:rFonts w:asciiTheme="minorHAnsi" w:eastAsia="Times New Roman" w:hAnsiTheme="minorHAnsi" w:cstheme="minorHAnsi"/>
          <w:color w:val="000000" w:themeColor="text1"/>
        </w:rPr>
        <w:t>, including finished fuels and</w:t>
      </w:r>
      <w:r w:rsidRPr="00EF5333">
        <w:rPr>
          <w:rFonts w:asciiTheme="minorHAnsi" w:eastAsia="Times New Roman" w:hAnsiTheme="minorHAnsi" w:cstheme="minorHAnsi"/>
          <w:color w:val="000000" w:themeColor="text1"/>
        </w:rPr>
        <w:t xml:space="preserve"> blendstocks</w:t>
      </w:r>
      <w:r>
        <w:rPr>
          <w:rFonts w:asciiTheme="minorHAnsi" w:eastAsia="Times New Roman" w:hAnsiTheme="minorHAnsi" w:cstheme="minorHAnsi"/>
          <w:color w:val="000000" w:themeColor="text1"/>
        </w:rPr>
        <w:t>. F</w:t>
      </w:r>
      <w:r w:rsidR="008F5568" w:rsidRPr="00EF5333">
        <w:rPr>
          <w:rFonts w:asciiTheme="minorHAnsi" w:eastAsia="Times New Roman" w:hAnsiTheme="minorHAnsi" w:cstheme="minorHAnsi"/>
          <w:color w:val="000000" w:themeColor="text1"/>
        </w:rPr>
        <w:t>inished fuels</w:t>
      </w:r>
      <w:r w:rsidR="008F5568" w:rsidRPr="008F5568">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are</w:t>
      </w:r>
      <w:r w:rsidR="008F5568" w:rsidRPr="00EF5333">
        <w:rPr>
          <w:rFonts w:asciiTheme="minorHAnsi" w:eastAsia="Times New Roman" w:hAnsiTheme="minorHAnsi" w:cstheme="minorHAnsi"/>
          <w:color w:val="000000" w:themeColor="text1"/>
        </w:rPr>
        <w:t xml:space="preserve"> ready for use in a motor vehicle</w:t>
      </w:r>
      <w:r w:rsidR="008F5568" w:rsidRPr="008F5568">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w:t>
      </w:r>
      <w:r w:rsidRPr="00EF5333">
        <w:rPr>
          <w:rFonts w:asciiTheme="minorHAnsi" w:eastAsia="Times New Roman" w:hAnsiTheme="minorHAnsi" w:cstheme="minorHAnsi"/>
          <w:color w:val="000000" w:themeColor="text1"/>
        </w:rPr>
        <w:t xml:space="preserve"> </w:t>
      </w:r>
      <w:r w:rsidR="008F5568" w:rsidRPr="00EF5333">
        <w:rPr>
          <w:rFonts w:asciiTheme="minorHAnsi" w:eastAsia="Times New Roman" w:hAnsiTheme="minorHAnsi" w:cstheme="minorHAnsi"/>
          <w:color w:val="000000" w:themeColor="text1"/>
        </w:rPr>
        <w:t xml:space="preserve">blendstocks </w:t>
      </w:r>
      <w:r w:rsidR="00C2450E">
        <w:rPr>
          <w:rFonts w:asciiTheme="minorHAnsi" w:eastAsia="Times New Roman" w:hAnsiTheme="minorHAnsi" w:cstheme="minorHAnsi"/>
          <w:color w:val="000000" w:themeColor="text1"/>
        </w:rPr>
        <w:t xml:space="preserve">require </w:t>
      </w:r>
      <w:r w:rsidR="008F5568" w:rsidRPr="00EF5333">
        <w:rPr>
          <w:rFonts w:asciiTheme="minorHAnsi" w:eastAsia="Times New Roman" w:hAnsiTheme="minorHAnsi" w:cstheme="minorHAnsi"/>
          <w:color w:val="000000" w:themeColor="text1"/>
        </w:rPr>
        <w:t>blend</w:t>
      </w:r>
      <w:r w:rsidR="00C2450E">
        <w:rPr>
          <w:rFonts w:asciiTheme="minorHAnsi" w:eastAsia="Times New Roman" w:hAnsiTheme="minorHAnsi" w:cstheme="minorHAnsi"/>
          <w:color w:val="000000" w:themeColor="text1"/>
        </w:rPr>
        <w:t>ing</w:t>
      </w:r>
      <w:r w:rsidR="008F5568" w:rsidRPr="00EF5333">
        <w:rPr>
          <w:rFonts w:asciiTheme="minorHAnsi" w:eastAsia="Times New Roman" w:hAnsiTheme="minorHAnsi" w:cstheme="minorHAnsi"/>
          <w:color w:val="000000" w:themeColor="text1"/>
        </w:rPr>
        <w:t xml:space="preserve"> with other blendstocks to produce a finished fuel</w:t>
      </w:r>
      <w:r w:rsidR="00F52FB2">
        <w:rPr>
          <w:rFonts w:asciiTheme="minorHAnsi" w:eastAsia="Times New Roman" w:hAnsiTheme="minorHAnsi" w:cstheme="minorHAnsi"/>
          <w:color w:val="000000" w:themeColor="text1"/>
        </w:rPr>
        <w:t>.</w:t>
      </w:r>
      <w:r w:rsidR="008F5568" w:rsidRPr="008F5568">
        <w:rPr>
          <w:rFonts w:asciiTheme="minorHAnsi" w:eastAsia="Times New Roman" w:hAnsiTheme="minorHAnsi" w:cstheme="minorHAnsi"/>
          <w:color w:val="000000" w:themeColor="text1"/>
        </w:rPr>
        <w:t xml:space="preserve"> </w:t>
      </w:r>
      <w:r w:rsidR="0068707F" w:rsidRPr="0068707F">
        <w:rPr>
          <w:rFonts w:asciiTheme="minorHAnsi" w:eastAsia="Times New Roman" w:hAnsiTheme="minorHAnsi" w:cstheme="minorHAnsi"/>
          <w:color w:val="000000" w:themeColor="text1"/>
        </w:rPr>
        <w:t xml:space="preserve">Importers of blendstocks </w:t>
      </w:r>
      <w:r w:rsidRPr="0068707F">
        <w:rPr>
          <w:rFonts w:asciiTheme="minorHAnsi" w:eastAsia="Times New Roman" w:hAnsiTheme="minorHAnsi" w:cstheme="minorHAnsi"/>
          <w:color w:val="000000" w:themeColor="text1"/>
        </w:rPr>
        <w:t xml:space="preserve">have better access to </w:t>
      </w:r>
      <w:r w:rsidR="00C2450E">
        <w:rPr>
          <w:rFonts w:asciiTheme="minorHAnsi" w:eastAsia="Times New Roman" w:hAnsiTheme="minorHAnsi" w:cstheme="minorHAnsi"/>
          <w:color w:val="000000" w:themeColor="text1"/>
        </w:rPr>
        <w:t xml:space="preserve">the </w:t>
      </w:r>
      <w:r w:rsidRPr="0068707F">
        <w:rPr>
          <w:rFonts w:asciiTheme="minorHAnsi" w:eastAsia="Times New Roman" w:hAnsiTheme="minorHAnsi" w:cstheme="minorHAnsi"/>
          <w:color w:val="000000" w:themeColor="text1"/>
        </w:rPr>
        <w:t xml:space="preserve">information used to calculate a fuel’s carbon intensity </w:t>
      </w:r>
      <w:r>
        <w:rPr>
          <w:rFonts w:asciiTheme="minorHAnsi" w:eastAsia="Times New Roman" w:hAnsiTheme="minorHAnsi" w:cstheme="minorHAnsi"/>
          <w:color w:val="000000" w:themeColor="text1"/>
        </w:rPr>
        <w:t xml:space="preserve">because they </w:t>
      </w:r>
      <w:r w:rsidR="0068707F" w:rsidRPr="0068707F">
        <w:rPr>
          <w:rFonts w:asciiTheme="minorHAnsi" w:eastAsia="Times New Roman" w:hAnsiTheme="minorHAnsi" w:cstheme="minorHAnsi"/>
          <w:color w:val="000000" w:themeColor="text1"/>
        </w:rPr>
        <w:t xml:space="preserve">deal more closely with producers and marketers of </w:t>
      </w:r>
      <w:proofErr w:type="spellStart"/>
      <w:r w:rsidR="0068707F" w:rsidRPr="0068707F">
        <w:rPr>
          <w:rFonts w:asciiTheme="minorHAnsi" w:eastAsia="Times New Roman" w:hAnsiTheme="minorHAnsi" w:cstheme="minorHAnsi"/>
          <w:color w:val="000000" w:themeColor="text1"/>
        </w:rPr>
        <w:t>biofuels</w:t>
      </w:r>
      <w:proofErr w:type="spellEnd"/>
      <w:r w:rsidR="0068707F" w:rsidRPr="0068707F">
        <w:rPr>
          <w:rFonts w:asciiTheme="minorHAnsi" w:eastAsia="Times New Roman" w:hAnsiTheme="minorHAnsi" w:cstheme="minorHAnsi"/>
          <w:color w:val="000000" w:themeColor="text1"/>
        </w:rPr>
        <w:t>. Importers of finished fuels have more difficulty accessing this information</w:t>
      </w:r>
      <w:r w:rsidR="00207FF1">
        <w:rPr>
          <w:rFonts w:asciiTheme="minorHAnsi" w:eastAsia="Times New Roman" w:hAnsiTheme="minorHAnsi" w:cstheme="minorHAnsi"/>
          <w:color w:val="000000" w:themeColor="text1"/>
        </w:rPr>
        <w:t xml:space="preserve">. </w:t>
      </w:r>
    </w:p>
    <w:p w:rsidR="007D388B" w:rsidRDefault="000217EC" w:rsidP="00DD5F39">
      <w:pPr>
        <w:spacing w:afterLines="120"/>
        <w:ind w:left="1440" w:right="720"/>
        <w:outlineLvl w:val="0"/>
        <w:rPr>
          <w:rFonts w:asciiTheme="minorHAnsi" w:hAnsiTheme="minorHAnsi" w:cstheme="minorHAnsi"/>
          <w:color w:val="000000" w:themeColor="text1"/>
        </w:rPr>
      </w:pPr>
      <w:r>
        <w:rPr>
          <w:rFonts w:asciiTheme="minorHAnsi" w:hAnsiTheme="minorHAnsi" w:cstheme="minorHAnsi"/>
          <w:color w:val="000000" w:themeColor="text1"/>
        </w:rPr>
        <w:t>Thirty</w:t>
      </w:r>
      <w:r w:rsidR="00C2450E">
        <w:rPr>
          <w:rFonts w:asciiTheme="minorHAnsi" w:hAnsiTheme="minorHAnsi" w:cstheme="minorHAnsi"/>
          <w:color w:val="000000" w:themeColor="text1"/>
        </w:rPr>
        <w:t>-</w:t>
      </w:r>
      <w:r>
        <w:rPr>
          <w:rFonts w:asciiTheme="minorHAnsi" w:hAnsiTheme="minorHAnsi" w:cstheme="minorHAnsi"/>
          <w:color w:val="000000" w:themeColor="text1"/>
        </w:rPr>
        <w:t>two companies import finished fuel that accounts for about 14 percent of Oregon’s fuel. Seventeen</w:t>
      </w:r>
      <w:r w:rsidR="0033593C">
        <w:rPr>
          <w:rFonts w:asciiTheme="minorHAnsi" w:hAnsiTheme="minorHAnsi" w:cstheme="minorHAnsi"/>
          <w:color w:val="000000" w:themeColor="text1"/>
        </w:rPr>
        <w:t xml:space="preserve"> companies import blendstocks </w:t>
      </w:r>
      <w:r>
        <w:rPr>
          <w:rFonts w:asciiTheme="minorHAnsi" w:hAnsiTheme="minorHAnsi" w:cstheme="minorHAnsi"/>
          <w:color w:val="000000" w:themeColor="text1"/>
        </w:rPr>
        <w:t xml:space="preserve">that </w:t>
      </w:r>
      <w:r w:rsidR="0033593C">
        <w:rPr>
          <w:rFonts w:asciiTheme="minorHAnsi" w:hAnsiTheme="minorHAnsi" w:cstheme="minorHAnsi"/>
          <w:color w:val="000000" w:themeColor="text1"/>
        </w:rPr>
        <w:t xml:space="preserve">account for about 84 percent of all Oregon’s fuel. </w:t>
      </w:r>
      <w:r w:rsidR="00DE5C2C">
        <w:rPr>
          <w:rFonts w:asciiTheme="minorHAnsi" w:hAnsiTheme="minorHAnsi" w:cstheme="minorHAnsi"/>
          <w:color w:val="000000" w:themeColor="text1"/>
        </w:rPr>
        <w:t>The remain</w:t>
      </w:r>
      <w:r>
        <w:rPr>
          <w:rFonts w:asciiTheme="minorHAnsi" w:hAnsiTheme="minorHAnsi" w:cstheme="minorHAnsi"/>
          <w:color w:val="000000" w:themeColor="text1"/>
        </w:rPr>
        <w:t xml:space="preserve">ing companies </w:t>
      </w:r>
      <w:r w:rsidR="00DE5C2C">
        <w:rPr>
          <w:rFonts w:asciiTheme="minorHAnsi" w:hAnsiTheme="minorHAnsi" w:cstheme="minorHAnsi"/>
          <w:color w:val="000000" w:themeColor="text1"/>
        </w:rPr>
        <w:t xml:space="preserve">are </w:t>
      </w:r>
      <w:r w:rsidR="00AB49B1">
        <w:rPr>
          <w:rFonts w:asciiTheme="minorHAnsi" w:hAnsiTheme="minorHAnsi" w:cstheme="minorHAnsi"/>
          <w:color w:val="000000" w:themeColor="text1"/>
        </w:rPr>
        <w:t xml:space="preserve">Oregon </w:t>
      </w:r>
      <w:r w:rsidR="00DE5C2C">
        <w:rPr>
          <w:rFonts w:asciiTheme="minorHAnsi" w:hAnsiTheme="minorHAnsi" w:cstheme="minorHAnsi"/>
          <w:color w:val="000000" w:themeColor="text1"/>
        </w:rPr>
        <w:t xml:space="preserve">producers of </w:t>
      </w:r>
      <w:r w:rsidR="00F74AFF">
        <w:rPr>
          <w:rFonts w:asciiTheme="minorHAnsi" w:hAnsiTheme="minorHAnsi" w:cstheme="minorHAnsi"/>
          <w:color w:val="000000" w:themeColor="text1"/>
        </w:rPr>
        <w:t>ethanol and biodiesel</w:t>
      </w:r>
      <w:r w:rsidR="00DE5C2C">
        <w:rPr>
          <w:rFonts w:asciiTheme="minorHAnsi" w:hAnsiTheme="minorHAnsi" w:cstheme="minorHAnsi"/>
          <w:color w:val="000000" w:themeColor="text1"/>
        </w:rPr>
        <w:t xml:space="preserve">. </w:t>
      </w:r>
    </w:p>
    <w:p w:rsidR="007D388B" w:rsidRDefault="0033593C" w:rsidP="00DD5F39">
      <w:pPr>
        <w:spacing w:afterLines="120"/>
        <w:ind w:left="1440" w:right="720"/>
        <w:outlineLvl w:val="0"/>
        <w:rPr>
          <w:rFonts w:asciiTheme="minorHAnsi" w:eastAsia="Times New Roman" w:hAnsiTheme="minorHAnsi" w:cstheme="minorHAnsi"/>
          <w:color w:val="000000" w:themeColor="text1"/>
        </w:rPr>
      </w:pPr>
      <w:r>
        <w:rPr>
          <w:rFonts w:asciiTheme="minorHAnsi" w:hAnsiTheme="minorHAnsi" w:cstheme="minorHAnsi"/>
          <w:color w:val="000000" w:themeColor="text1"/>
        </w:rPr>
        <w:lastRenderedPageBreak/>
        <w:t xml:space="preserve">Under the </w:t>
      </w:r>
      <w:r w:rsidR="00C42021">
        <w:rPr>
          <w:rFonts w:asciiTheme="minorHAnsi" w:hAnsiTheme="minorHAnsi" w:cstheme="minorHAnsi"/>
          <w:color w:val="000000" w:themeColor="text1"/>
        </w:rPr>
        <w:t>proposed rules</w:t>
      </w:r>
      <w:r>
        <w:rPr>
          <w:rFonts w:asciiTheme="minorHAnsi" w:hAnsiTheme="minorHAnsi" w:cstheme="minorHAnsi"/>
          <w:color w:val="000000" w:themeColor="text1"/>
        </w:rPr>
        <w:t xml:space="preserve">, </w:t>
      </w:r>
      <w:r w:rsidR="000217EC">
        <w:rPr>
          <w:rFonts w:asciiTheme="minorHAnsi" w:hAnsiTheme="minorHAnsi" w:cstheme="minorHAnsi"/>
          <w:color w:val="000000" w:themeColor="text1"/>
        </w:rPr>
        <w:t>i</w:t>
      </w:r>
      <w:r w:rsidR="000217EC" w:rsidRPr="00EF5333">
        <w:rPr>
          <w:rFonts w:asciiTheme="minorHAnsi" w:eastAsia="Times New Roman" w:hAnsiTheme="minorHAnsi" w:cstheme="minorHAnsi"/>
          <w:color w:val="000000" w:themeColor="text1"/>
        </w:rPr>
        <w:t xml:space="preserve">mporters </w:t>
      </w:r>
      <w:r w:rsidR="000217EC">
        <w:rPr>
          <w:rFonts w:asciiTheme="minorHAnsi" w:eastAsia="Times New Roman" w:hAnsiTheme="minorHAnsi" w:cstheme="minorHAnsi"/>
          <w:color w:val="000000" w:themeColor="text1"/>
        </w:rPr>
        <w:t xml:space="preserve">of finished fuels </w:t>
      </w:r>
      <w:r w:rsidR="000217EC" w:rsidRPr="00EF5333">
        <w:rPr>
          <w:rFonts w:asciiTheme="minorHAnsi" w:eastAsia="Times New Roman" w:hAnsiTheme="minorHAnsi" w:cstheme="minorHAnsi"/>
          <w:color w:val="000000" w:themeColor="text1"/>
        </w:rPr>
        <w:t xml:space="preserve">would </w:t>
      </w:r>
      <w:r w:rsidR="000217EC">
        <w:rPr>
          <w:rFonts w:asciiTheme="minorHAnsi" w:eastAsia="Times New Roman" w:hAnsiTheme="minorHAnsi" w:cstheme="minorHAnsi"/>
          <w:color w:val="000000" w:themeColor="text1"/>
        </w:rPr>
        <w:t>only keep records of</w:t>
      </w:r>
      <w:r w:rsidR="000217EC" w:rsidRPr="00EF5333">
        <w:rPr>
          <w:rFonts w:asciiTheme="minorHAnsi" w:eastAsia="Times New Roman" w:hAnsiTheme="minorHAnsi" w:cstheme="minorHAnsi"/>
          <w:color w:val="000000" w:themeColor="text1"/>
        </w:rPr>
        <w:t xml:space="preserve"> information that they already track</w:t>
      </w:r>
      <w:r w:rsidR="000217EC">
        <w:rPr>
          <w:rFonts w:asciiTheme="minorHAnsi" w:eastAsia="Times New Roman" w:hAnsiTheme="minorHAnsi" w:cstheme="minorHAnsi"/>
          <w:color w:val="000000" w:themeColor="text1"/>
        </w:rPr>
        <w:t xml:space="preserve">, </w:t>
      </w:r>
      <w:r w:rsidR="000217EC" w:rsidRPr="00EF5333">
        <w:rPr>
          <w:rFonts w:asciiTheme="minorHAnsi" w:eastAsia="Times New Roman" w:hAnsiTheme="minorHAnsi" w:cstheme="minorHAnsi"/>
          <w:color w:val="000000" w:themeColor="text1"/>
        </w:rPr>
        <w:t xml:space="preserve">such </w:t>
      </w:r>
      <w:r w:rsidR="000217EC">
        <w:rPr>
          <w:rFonts w:asciiTheme="minorHAnsi" w:eastAsia="Times New Roman" w:hAnsiTheme="minorHAnsi" w:cstheme="minorHAnsi"/>
          <w:color w:val="000000" w:themeColor="text1"/>
        </w:rPr>
        <w:t>as</w:t>
      </w:r>
      <w:r w:rsidR="000217EC" w:rsidRPr="00EF5333">
        <w:rPr>
          <w:rFonts w:asciiTheme="minorHAnsi" w:eastAsia="Times New Roman" w:hAnsiTheme="minorHAnsi" w:cstheme="minorHAnsi"/>
          <w:color w:val="000000" w:themeColor="text1"/>
        </w:rPr>
        <w:t xml:space="preserve"> </w:t>
      </w:r>
      <w:r w:rsidR="000217EC">
        <w:rPr>
          <w:rFonts w:asciiTheme="minorHAnsi" w:eastAsia="Times New Roman" w:hAnsiTheme="minorHAnsi" w:cstheme="minorHAnsi"/>
          <w:color w:val="000000" w:themeColor="text1"/>
        </w:rPr>
        <w:t>the type</w:t>
      </w:r>
      <w:r w:rsidR="000217EC" w:rsidRPr="00EF5333">
        <w:rPr>
          <w:rFonts w:asciiTheme="minorHAnsi" w:eastAsia="Times New Roman" w:hAnsiTheme="minorHAnsi" w:cstheme="minorHAnsi"/>
          <w:color w:val="000000" w:themeColor="text1"/>
        </w:rPr>
        <w:t xml:space="preserve"> and volume</w:t>
      </w:r>
      <w:r w:rsidR="000217EC">
        <w:rPr>
          <w:rFonts w:asciiTheme="minorHAnsi" w:eastAsia="Times New Roman" w:hAnsiTheme="minorHAnsi" w:cstheme="minorHAnsi"/>
          <w:color w:val="000000" w:themeColor="text1"/>
        </w:rPr>
        <w:t xml:space="preserve"> of the fuel</w:t>
      </w:r>
      <w:r w:rsidR="00C2450E">
        <w:rPr>
          <w:rFonts w:asciiTheme="minorHAnsi" w:eastAsia="Times New Roman" w:hAnsiTheme="minorHAnsi" w:cstheme="minorHAnsi"/>
          <w:color w:val="000000" w:themeColor="text1"/>
        </w:rPr>
        <w:t xml:space="preserve">. </w:t>
      </w:r>
      <w:r w:rsidR="000217EC">
        <w:rPr>
          <w:rFonts w:asciiTheme="minorHAnsi" w:eastAsia="Times New Roman" w:hAnsiTheme="minorHAnsi" w:cstheme="minorHAnsi"/>
          <w:color w:val="000000" w:themeColor="text1"/>
        </w:rPr>
        <w:t xml:space="preserve">DEQ would apply </w:t>
      </w:r>
      <w:r w:rsidR="00B22F3A">
        <w:rPr>
          <w:rFonts w:asciiTheme="minorHAnsi" w:eastAsia="Times New Roman" w:hAnsiTheme="minorHAnsi" w:cstheme="minorHAnsi"/>
          <w:color w:val="000000" w:themeColor="text1"/>
        </w:rPr>
        <w:t>standard figures for</w:t>
      </w:r>
      <w:r w:rsidR="000217EC">
        <w:rPr>
          <w:rFonts w:asciiTheme="minorHAnsi" w:eastAsia="Times New Roman" w:hAnsiTheme="minorHAnsi" w:cstheme="minorHAnsi"/>
          <w:color w:val="000000" w:themeColor="text1"/>
        </w:rPr>
        <w:t xml:space="preserve"> those fuels’ carbon intensity</w:t>
      </w:r>
      <w:r w:rsidR="000217EC" w:rsidRPr="00EF5333">
        <w:rPr>
          <w:rFonts w:asciiTheme="minorHAnsi" w:eastAsia="Times New Roman" w:hAnsiTheme="minorHAnsi" w:cstheme="minorHAnsi"/>
          <w:color w:val="000000" w:themeColor="text1"/>
        </w:rPr>
        <w:t xml:space="preserve">. </w:t>
      </w:r>
      <w:r w:rsidR="000217EC">
        <w:rPr>
          <w:rFonts w:asciiTheme="minorHAnsi" w:hAnsiTheme="minorHAnsi" w:cstheme="minorHAnsi"/>
          <w:color w:val="000000" w:themeColor="text1"/>
        </w:rPr>
        <w:t>I</w:t>
      </w:r>
      <w:r w:rsidR="00D71277">
        <w:rPr>
          <w:rFonts w:asciiTheme="minorHAnsi" w:hAnsiTheme="minorHAnsi" w:cstheme="minorHAnsi"/>
          <w:color w:val="000000" w:themeColor="text1"/>
        </w:rPr>
        <w:t xml:space="preserve">mporters of blendstocks and Oregon producers </w:t>
      </w:r>
      <w:r w:rsidR="000217EC">
        <w:rPr>
          <w:rFonts w:asciiTheme="minorHAnsi" w:hAnsiTheme="minorHAnsi" w:cstheme="minorHAnsi"/>
          <w:color w:val="000000" w:themeColor="text1"/>
        </w:rPr>
        <w:t xml:space="preserve">would </w:t>
      </w:r>
      <w:r w:rsidR="00D71277">
        <w:rPr>
          <w:rFonts w:asciiTheme="minorHAnsi" w:hAnsiTheme="minorHAnsi" w:cstheme="minorHAnsi"/>
          <w:color w:val="000000" w:themeColor="text1"/>
        </w:rPr>
        <w:t xml:space="preserve">retain the most stringent recordkeeping requirements, thus maintaining the integrity of the most significant source of detailed data for the program. </w:t>
      </w:r>
    </w:p>
    <w:p w:rsidR="007D388B" w:rsidRDefault="0068707F" w:rsidP="00DD5F39">
      <w:pPr>
        <w:pStyle w:val="DEQTEXTforFACTSHEET"/>
        <w:numPr>
          <w:ilvl w:val="0"/>
          <w:numId w:val="42"/>
        </w:numPr>
        <w:spacing w:afterLines="120"/>
        <w:ind w:left="1440" w:right="468"/>
        <w:outlineLvl w:val="0"/>
        <w:rPr>
          <w:rFonts w:asciiTheme="minorHAnsi" w:eastAsia="Times New Roman" w:hAnsiTheme="minorHAnsi" w:cstheme="minorHAnsi"/>
          <w:color w:val="000000" w:themeColor="text1"/>
          <w:sz w:val="24"/>
          <w:szCs w:val="24"/>
        </w:rPr>
      </w:pPr>
      <w:r w:rsidRPr="006206D3">
        <w:rPr>
          <w:rFonts w:asciiTheme="minorHAnsi" w:eastAsia="Times New Roman" w:hAnsiTheme="minorHAnsi" w:cstheme="minorHAnsi"/>
          <w:color w:val="000000" w:themeColor="text1"/>
          <w:sz w:val="24"/>
          <w:szCs w:val="24"/>
        </w:rPr>
        <w:t xml:space="preserve">The </w:t>
      </w:r>
      <w:r w:rsidR="00C42021">
        <w:rPr>
          <w:rFonts w:asciiTheme="minorHAnsi" w:eastAsia="Times New Roman" w:hAnsiTheme="minorHAnsi" w:cstheme="minorHAnsi"/>
          <w:color w:val="000000" w:themeColor="text1"/>
          <w:sz w:val="24"/>
          <w:szCs w:val="24"/>
        </w:rPr>
        <w:t>proposed rules</w:t>
      </w:r>
      <w:r w:rsidR="000217EC">
        <w:rPr>
          <w:rFonts w:asciiTheme="minorHAnsi" w:eastAsia="Times New Roman" w:hAnsiTheme="minorHAnsi" w:cstheme="minorHAnsi"/>
          <w:color w:val="000000" w:themeColor="text1"/>
          <w:sz w:val="24"/>
          <w:szCs w:val="24"/>
        </w:rPr>
        <w:t xml:space="preserve"> </w:t>
      </w:r>
      <w:r w:rsidRPr="006206D3">
        <w:rPr>
          <w:rFonts w:asciiTheme="minorHAnsi" w:eastAsia="Times New Roman" w:hAnsiTheme="minorHAnsi" w:cstheme="minorHAnsi"/>
          <w:color w:val="000000" w:themeColor="text1"/>
          <w:sz w:val="24"/>
          <w:szCs w:val="24"/>
        </w:rPr>
        <w:t xml:space="preserve">add fuels </w:t>
      </w:r>
      <w:r w:rsidR="000A7682">
        <w:rPr>
          <w:rFonts w:asciiTheme="minorHAnsi" w:eastAsia="Times New Roman" w:hAnsiTheme="minorHAnsi" w:cstheme="minorHAnsi"/>
          <w:color w:val="000000" w:themeColor="text1"/>
          <w:sz w:val="24"/>
          <w:szCs w:val="24"/>
        </w:rPr>
        <w:t xml:space="preserve">that more accurately represent </w:t>
      </w:r>
      <w:r w:rsidR="00C2450E">
        <w:rPr>
          <w:rFonts w:asciiTheme="minorHAnsi" w:eastAsia="Times New Roman" w:hAnsiTheme="minorHAnsi" w:cstheme="minorHAnsi"/>
          <w:color w:val="000000" w:themeColor="text1"/>
          <w:sz w:val="24"/>
          <w:szCs w:val="24"/>
        </w:rPr>
        <w:t xml:space="preserve">fuels </w:t>
      </w:r>
      <w:r w:rsidR="000A7682">
        <w:rPr>
          <w:rFonts w:asciiTheme="minorHAnsi" w:eastAsia="Times New Roman" w:hAnsiTheme="minorHAnsi" w:cstheme="minorHAnsi"/>
          <w:color w:val="000000" w:themeColor="text1"/>
          <w:sz w:val="24"/>
          <w:szCs w:val="24"/>
        </w:rPr>
        <w:t>available in</w:t>
      </w:r>
      <w:r w:rsidRPr="006206D3">
        <w:rPr>
          <w:rFonts w:asciiTheme="minorHAnsi" w:eastAsia="Times New Roman" w:hAnsiTheme="minorHAnsi" w:cstheme="minorHAnsi"/>
          <w:color w:val="000000" w:themeColor="text1"/>
          <w:sz w:val="24"/>
          <w:szCs w:val="24"/>
        </w:rPr>
        <w:t xml:space="preserve"> Oregon.</w:t>
      </w:r>
      <w:r w:rsidR="008F5568" w:rsidRPr="006206D3">
        <w:rPr>
          <w:rFonts w:asciiTheme="minorHAnsi" w:eastAsia="Times New Roman" w:hAnsiTheme="minorHAnsi" w:cstheme="minorHAnsi"/>
          <w:color w:val="000000" w:themeColor="text1"/>
          <w:sz w:val="24"/>
          <w:szCs w:val="24"/>
        </w:rPr>
        <w:t xml:space="preserve"> The proposed rules </w:t>
      </w:r>
      <w:r w:rsidR="000A7682">
        <w:rPr>
          <w:rFonts w:asciiTheme="minorHAnsi" w:eastAsia="Times New Roman" w:hAnsiTheme="minorHAnsi" w:cstheme="minorHAnsi"/>
          <w:color w:val="000000" w:themeColor="text1"/>
          <w:sz w:val="24"/>
          <w:szCs w:val="24"/>
        </w:rPr>
        <w:t xml:space="preserve">add new </w:t>
      </w:r>
      <w:r w:rsidR="008F5568" w:rsidRPr="006206D3">
        <w:rPr>
          <w:rFonts w:asciiTheme="minorHAnsi" w:eastAsia="Times New Roman" w:hAnsiTheme="minorHAnsi" w:cstheme="minorHAnsi"/>
          <w:color w:val="000000" w:themeColor="text1"/>
          <w:sz w:val="24"/>
          <w:szCs w:val="24"/>
        </w:rPr>
        <w:t>fuel pathways</w:t>
      </w:r>
      <w:r w:rsidR="000A7682">
        <w:rPr>
          <w:rFonts w:asciiTheme="minorHAnsi" w:eastAsia="Times New Roman" w:hAnsiTheme="minorHAnsi" w:cstheme="minorHAnsi"/>
          <w:color w:val="000000" w:themeColor="text1"/>
          <w:sz w:val="24"/>
          <w:szCs w:val="24"/>
        </w:rPr>
        <w:t>,</w:t>
      </w:r>
      <w:r w:rsidR="008F5568" w:rsidRPr="006206D3">
        <w:rPr>
          <w:rFonts w:asciiTheme="minorHAnsi" w:eastAsia="Times New Roman" w:hAnsiTheme="minorHAnsi" w:cstheme="minorHAnsi"/>
          <w:color w:val="000000" w:themeColor="text1"/>
          <w:sz w:val="24"/>
          <w:szCs w:val="24"/>
        </w:rPr>
        <w:t xml:space="preserve"> </w:t>
      </w:r>
      <w:r w:rsidR="000217EC">
        <w:rPr>
          <w:rFonts w:asciiTheme="minorHAnsi" w:eastAsia="Times New Roman" w:hAnsiTheme="minorHAnsi" w:cstheme="minorHAnsi"/>
          <w:color w:val="000000" w:themeColor="text1"/>
          <w:sz w:val="24"/>
          <w:szCs w:val="24"/>
        </w:rPr>
        <w:t>which provide</w:t>
      </w:r>
      <w:r w:rsidR="000A7682">
        <w:rPr>
          <w:rFonts w:asciiTheme="minorHAnsi" w:eastAsia="Times New Roman" w:hAnsiTheme="minorHAnsi" w:cstheme="minorHAnsi"/>
          <w:color w:val="000000" w:themeColor="text1"/>
          <w:sz w:val="24"/>
          <w:szCs w:val="24"/>
        </w:rPr>
        <w:t xml:space="preserve"> carbon intensities, </w:t>
      </w:r>
      <w:r w:rsidR="008F5568" w:rsidRPr="006206D3">
        <w:rPr>
          <w:rFonts w:asciiTheme="minorHAnsi" w:eastAsia="Times New Roman" w:hAnsiTheme="minorHAnsi" w:cstheme="minorHAnsi"/>
          <w:color w:val="000000" w:themeColor="text1"/>
          <w:sz w:val="24"/>
          <w:szCs w:val="24"/>
        </w:rPr>
        <w:t>for clear gasoline, gasoline blended with 10 percent ethanol, clear diesel fuel, diesel fuel blended with five percent biodiesel and ethanol made from corn (dry mill, coal-fired</w:t>
      </w:r>
      <w:r w:rsidR="00C2450E">
        <w:rPr>
          <w:rFonts w:asciiTheme="minorHAnsi" w:eastAsia="Times New Roman" w:hAnsiTheme="minorHAnsi" w:cstheme="minorHAnsi"/>
          <w:color w:val="000000" w:themeColor="text1"/>
          <w:sz w:val="24"/>
          <w:szCs w:val="24"/>
        </w:rPr>
        <w:t>.</w:t>
      </w:r>
      <w:r w:rsidR="008F5568" w:rsidRPr="006206D3">
        <w:rPr>
          <w:rFonts w:asciiTheme="minorHAnsi" w:eastAsia="Times New Roman" w:hAnsiTheme="minorHAnsi" w:cstheme="minorHAnsi"/>
          <w:color w:val="000000" w:themeColor="text1"/>
          <w:sz w:val="24"/>
          <w:szCs w:val="24"/>
        </w:rPr>
        <w:t>)</w:t>
      </w:r>
    </w:p>
    <w:p w:rsidR="00EF5333" w:rsidRPr="00B31975" w:rsidRDefault="00EF5333" w:rsidP="00EF5333">
      <w:pPr>
        <w:spacing w:after="120"/>
        <w:ind w:left="720" w:right="18"/>
        <w:outlineLvl w:val="0"/>
        <w:rPr>
          <w:rFonts w:eastAsia="Times New Roman"/>
          <w:bCs/>
          <w:sz w:val="22"/>
          <w:szCs w:val="22"/>
        </w:rPr>
      </w:pPr>
      <w:bookmarkStart w:id="1" w:name="RANGE!C33"/>
      <w:r w:rsidRPr="00B31975">
        <w:rPr>
          <w:rFonts w:eastAsia="Times New Roman"/>
          <w:bCs/>
          <w:sz w:val="22"/>
          <w:szCs w:val="22"/>
        </w:rPr>
        <w:t xml:space="preserve">How will DEQ know the </w:t>
      </w:r>
      <w:r w:rsidR="00C2450E">
        <w:rPr>
          <w:rFonts w:eastAsia="Times New Roman"/>
          <w:bCs/>
          <w:sz w:val="22"/>
          <w:szCs w:val="22"/>
        </w:rPr>
        <w:t xml:space="preserve">rule </w:t>
      </w:r>
      <w:r w:rsidRPr="00B31975">
        <w:rPr>
          <w:rFonts w:eastAsia="Times New Roman"/>
          <w:bCs/>
          <w:sz w:val="22"/>
          <w:szCs w:val="22"/>
        </w:rPr>
        <w:t xml:space="preserve">has </w:t>
      </w:r>
      <w:r>
        <w:rPr>
          <w:rFonts w:eastAsia="Times New Roman"/>
          <w:bCs/>
          <w:sz w:val="22"/>
          <w:szCs w:val="22"/>
        </w:rPr>
        <w:t>addresse</w:t>
      </w:r>
      <w:r w:rsidRPr="00B31975">
        <w:rPr>
          <w:rFonts w:eastAsia="Times New Roman"/>
          <w:bCs/>
          <w:sz w:val="22"/>
          <w:szCs w:val="22"/>
        </w:rPr>
        <w:t>d</w:t>
      </w:r>
      <w:r w:rsidR="00C2450E">
        <w:rPr>
          <w:rFonts w:eastAsia="Times New Roman"/>
          <w:bCs/>
          <w:sz w:val="22"/>
          <w:szCs w:val="22"/>
        </w:rPr>
        <w:t xml:space="preserve"> the need</w:t>
      </w:r>
      <w:r w:rsidRPr="00B31975">
        <w:rPr>
          <w:rFonts w:eastAsia="Times New Roman"/>
          <w:bCs/>
          <w:sz w:val="22"/>
          <w:szCs w:val="22"/>
        </w:rPr>
        <w:t>?</w:t>
      </w:r>
      <w:bookmarkEnd w:id="1"/>
      <w:r w:rsidRPr="00B31975">
        <w:rPr>
          <w:rFonts w:eastAsia="Times New Roman"/>
          <w:bCs/>
          <w:sz w:val="22"/>
          <w:szCs w:val="22"/>
        </w:rPr>
        <w:t xml:space="preserve"> </w:t>
      </w:r>
    </w:p>
    <w:p w:rsidR="00FF648F" w:rsidRDefault="00815AF4" w:rsidP="00AB4B49">
      <w:pPr>
        <w:pStyle w:val="DEQTEXTforFACTSHEET"/>
        <w:ind w:left="1080" w:right="378"/>
        <w:rPr>
          <w:rFonts w:asciiTheme="minorHAnsi" w:eastAsia="Times New Roman" w:hAnsiTheme="minorHAnsi" w:cstheme="minorHAnsi"/>
          <w:color w:val="000000" w:themeColor="text1"/>
          <w:sz w:val="24"/>
          <w:szCs w:val="24"/>
        </w:rPr>
      </w:pPr>
      <w:r w:rsidRPr="00815AF4">
        <w:rPr>
          <w:rFonts w:asciiTheme="minorHAnsi" w:eastAsia="Times New Roman" w:hAnsiTheme="minorHAnsi" w:cstheme="minorHAnsi"/>
          <w:color w:val="000000" w:themeColor="text1"/>
          <w:sz w:val="24"/>
          <w:szCs w:val="24"/>
        </w:rPr>
        <w:t>To determine</w:t>
      </w:r>
      <w:r w:rsidR="000217EC">
        <w:rPr>
          <w:rFonts w:asciiTheme="minorHAnsi" w:eastAsia="Times New Roman" w:hAnsiTheme="minorHAnsi" w:cstheme="minorHAnsi"/>
          <w:color w:val="000000" w:themeColor="text1"/>
          <w:sz w:val="24"/>
          <w:szCs w:val="24"/>
        </w:rPr>
        <w:t xml:space="preserve"> whether</w:t>
      </w:r>
      <w:r w:rsidRPr="00815AF4">
        <w:rPr>
          <w:rFonts w:asciiTheme="minorHAnsi" w:eastAsia="Times New Roman" w:hAnsiTheme="minorHAnsi" w:cstheme="minorHAnsi"/>
          <w:color w:val="000000" w:themeColor="text1"/>
          <w:sz w:val="24"/>
          <w:szCs w:val="24"/>
        </w:rPr>
        <w:t xml:space="preserve"> the rulemaking met its objectives, DEQ </w:t>
      </w:r>
      <w:r w:rsidR="00C2450E">
        <w:rPr>
          <w:rFonts w:asciiTheme="minorHAnsi" w:eastAsia="Times New Roman" w:hAnsiTheme="minorHAnsi" w:cstheme="minorHAnsi"/>
          <w:color w:val="000000" w:themeColor="text1"/>
          <w:sz w:val="24"/>
          <w:szCs w:val="24"/>
        </w:rPr>
        <w:t>would</w:t>
      </w:r>
      <w:r w:rsidRPr="00815AF4">
        <w:rPr>
          <w:rFonts w:asciiTheme="minorHAnsi" w:eastAsia="Times New Roman" w:hAnsiTheme="minorHAnsi" w:cstheme="minorHAnsi"/>
          <w:color w:val="000000" w:themeColor="text1"/>
          <w:sz w:val="24"/>
          <w:szCs w:val="24"/>
        </w:rPr>
        <w:t xml:space="preserve"> confirm</w:t>
      </w:r>
      <w:r w:rsidR="00C2450E">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as part of ongoing outreach</w:t>
      </w:r>
      <w:r w:rsidR="00C2450E">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whether regulated parties have a clearer understanding of the program and their obligations. </w:t>
      </w:r>
      <w:r w:rsidR="008F5568" w:rsidRPr="003A2B92">
        <w:rPr>
          <w:rFonts w:asciiTheme="minorHAnsi" w:eastAsia="Times New Roman" w:hAnsiTheme="minorHAnsi" w:cstheme="minorHAnsi"/>
          <w:color w:val="000000" w:themeColor="text1"/>
          <w:sz w:val="24"/>
          <w:szCs w:val="24"/>
        </w:rPr>
        <w:t xml:space="preserve">DEQ </w:t>
      </w:r>
      <w:r w:rsidR="000217EC">
        <w:rPr>
          <w:rFonts w:asciiTheme="minorHAnsi" w:eastAsia="Times New Roman" w:hAnsiTheme="minorHAnsi" w:cstheme="minorHAnsi"/>
          <w:color w:val="000000" w:themeColor="text1"/>
          <w:sz w:val="24"/>
          <w:szCs w:val="24"/>
        </w:rPr>
        <w:t xml:space="preserve">expects </w:t>
      </w:r>
      <w:r w:rsidR="009D0E3B" w:rsidRPr="003A2B92">
        <w:rPr>
          <w:rFonts w:asciiTheme="minorHAnsi" w:eastAsia="Times New Roman" w:hAnsiTheme="minorHAnsi" w:cstheme="minorHAnsi"/>
          <w:color w:val="000000" w:themeColor="text1"/>
          <w:sz w:val="24"/>
          <w:szCs w:val="24"/>
        </w:rPr>
        <w:t xml:space="preserve">a reduction in the number of business </w:t>
      </w:r>
      <w:r w:rsidR="00207FF1">
        <w:rPr>
          <w:rFonts w:asciiTheme="minorHAnsi" w:eastAsia="Times New Roman" w:hAnsiTheme="minorHAnsi" w:cstheme="minorHAnsi"/>
          <w:color w:val="000000" w:themeColor="text1"/>
          <w:sz w:val="24"/>
          <w:szCs w:val="24"/>
        </w:rPr>
        <w:t xml:space="preserve">that </w:t>
      </w:r>
      <w:r w:rsidR="008F5568" w:rsidRPr="003A2B92">
        <w:rPr>
          <w:rFonts w:asciiTheme="minorHAnsi" w:eastAsia="Times New Roman" w:hAnsiTheme="minorHAnsi" w:cstheme="minorHAnsi"/>
          <w:color w:val="000000" w:themeColor="text1"/>
          <w:sz w:val="24"/>
          <w:szCs w:val="24"/>
        </w:rPr>
        <w:t xml:space="preserve">request </w:t>
      </w:r>
      <w:r w:rsidR="009D0E3B" w:rsidRPr="003A2B92">
        <w:rPr>
          <w:rFonts w:asciiTheme="minorHAnsi" w:eastAsia="Times New Roman" w:hAnsiTheme="minorHAnsi" w:cstheme="minorHAnsi"/>
          <w:color w:val="000000" w:themeColor="text1"/>
          <w:sz w:val="24"/>
          <w:szCs w:val="24"/>
        </w:rPr>
        <w:t>help</w:t>
      </w:r>
      <w:r w:rsidR="008F5568" w:rsidRPr="003A2B92">
        <w:rPr>
          <w:rFonts w:asciiTheme="minorHAnsi" w:eastAsia="Times New Roman" w:hAnsiTheme="minorHAnsi" w:cstheme="minorHAnsi"/>
          <w:color w:val="000000" w:themeColor="text1"/>
          <w:sz w:val="24"/>
          <w:szCs w:val="24"/>
        </w:rPr>
        <w:t xml:space="preserve"> interpreting the rules. In addition, DEQ expects information </w:t>
      </w:r>
      <w:r w:rsidR="00880883">
        <w:rPr>
          <w:rFonts w:asciiTheme="minorHAnsi" w:eastAsia="Times New Roman" w:hAnsiTheme="minorHAnsi" w:cstheme="minorHAnsi"/>
          <w:color w:val="000000" w:themeColor="text1"/>
          <w:sz w:val="24"/>
          <w:szCs w:val="24"/>
        </w:rPr>
        <w:t xml:space="preserve">from </w:t>
      </w:r>
      <w:r w:rsidR="00880883" w:rsidRPr="003A2B92">
        <w:rPr>
          <w:rFonts w:asciiTheme="minorHAnsi" w:eastAsia="Times New Roman" w:hAnsiTheme="minorHAnsi" w:cstheme="minorHAnsi"/>
          <w:color w:val="000000" w:themeColor="text1"/>
          <w:sz w:val="24"/>
          <w:szCs w:val="24"/>
        </w:rPr>
        <w:t xml:space="preserve">regulated and opt-in parties </w:t>
      </w:r>
      <w:r w:rsidR="008F5568" w:rsidRPr="003A2B92">
        <w:rPr>
          <w:rFonts w:asciiTheme="minorHAnsi" w:eastAsia="Times New Roman" w:hAnsiTheme="minorHAnsi" w:cstheme="minorHAnsi"/>
          <w:color w:val="000000" w:themeColor="text1"/>
          <w:sz w:val="24"/>
          <w:szCs w:val="24"/>
        </w:rPr>
        <w:t>about fuels imported, produced and distributed in Oregon</w:t>
      </w:r>
      <w:r w:rsidR="00880883">
        <w:rPr>
          <w:rFonts w:asciiTheme="minorHAnsi" w:eastAsia="Times New Roman" w:hAnsiTheme="minorHAnsi" w:cstheme="minorHAnsi"/>
          <w:color w:val="000000" w:themeColor="text1"/>
          <w:sz w:val="24"/>
          <w:szCs w:val="24"/>
        </w:rPr>
        <w:t xml:space="preserve"> would be more accurate</w:t>
      </w:r>
      <w:r w:rsidR="008F5568" w:rsidRPr="003A2B92">
        <w:rPr>
          <w:rFonts w:asciiTheme="minorHAnsi" w:eastAsia="Times New Roman" w:hAnsiTheme="minorHAnsi" w:cstheme="minorHAnsi"/>
          <w:color w:val="000000" w:themeColor="text1"/>
          <w:sz w:val="24"/>
          <w:szCs w:val="24"/>
        </w:rPr>
        <w:t>.</w:t>
      </w:r>
      <w:r w:rsidR="00AB4B49">
        <w:rPr>
          <w:rFonts w:asciiTheme="minorHAnsi" w:eastAsia="Times New Roman" w:hAnsiTheme="minorHAnsi" w:cstheme="minorHAnsi"/>
          <w:color w:val="000000" w:themeColor="text1"/>
          <w:sz w:val="24"/>
          <w:szCs w:val="24"/>
        </w:rPr>
        <w:t xml:space="preserve"> </w:t>
      </w:r>
    </w:p>
    <w:p w:rsidR="00FF648F" w:rsidRDefault="00FF648F" w:rsidP="00AB4B49">
      <w:pPr>
        <w:pStyle w:val="DEQTEXTforFACTSHEET"/>
        <w:ind w:left="1080" w:right="378"/>
        <w:rPr>
          <w:rFonts w:eastAsia="Times New Roman"/>
          <w:bCs/>
          <w:color w:val="32525C"/>
          <w:sz w:val="28"/>
          <w:szCs w:val="28"/>
        </w:rPr>
      </w:pPr>
    </w:p>
    <w:p w:rsidR="00C42021" w:rsidRDefault="00C42021" w:rsidP="00FF648F">
      <w:pPr>
        <w:ind w:left="0" w:right="18"/>
        <w:outlineLvl w:val="0"/>
        <w:rPr>
          <w:rFonts w:eastAsia="Times New Roman"/>
          <w:bCs/>
          <w:color w:val="32525C"/>
          <w:sz w:val="28"/>
          <w:szCs w:val="28"/>
        </w:rPr>
        <w:sectPr w:rsidR="00C42021" w:rsidSect="00B34CF8">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FF648F">
            <w:pPr>
              <w:ind w:left="0"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6807BF" w:rsidRDefault="0027111E" w:rsidP="00B34CF8">
      <w:pPr>
        <w:spacing w:after="120"/>
        <w:ind w:left="360" w:right="18"/>
        <w:rPr>
          <w:rFonts w:asciiTheme="majorHAnsi" w:eastAsia="Times New Roman" w:hAnsiTheme="majorHAnsi" w:cstheme="majorHAnsi"/>
          <w:b/>
          <w:bCs/>
          <w:color w:val="000000" w:themeColor="text1"/>
          <w:sz w:val="22"/>
          <w:szCs w:val="22"/>
        </w:rPr>
      </w:pPr>
      <w:r w:rsidRPr="006807BF">
        <w:rPr>
          <w:rFonts w:asciiTheme="majorHAnsi" w:eastAsia="Times New Roman" w:hAnsiTheme="majorHAnsi" w:cstheme="majorHAnsi"/>
          <w:bCs/>
          <w:color w:val="000000" w:themeColor="text1"/>
          <w:sz w:val="22"/>
          <w:szCs w:val="22"/>
        </w:rPr>
        <w:t>Lead division</w:t>
      </w:r>
      <w:r w:rsidRPr="006807BF">
        <w:rPr>
          <w:rFonts w:asciiTheme="majorHAnsi" w:eastAsia="Times New Roman" w:hAnsiTheme="majorHAnsi" w:cstheme="majorHAnsi"/>
          <w:b/>
          <w:bCs/>
          <w:color w:val="000000" w:themeColor="text1"/>
          <w:sz w:val="22"/>
          <w:szCs w:val="22"/>
        </w:rPr>
        <w:t xml:space="preserve"> </w:t>
      </w:r>
      <w:r w:rsidRPr="006807BF">
        <w:rPr>
          <w:rFonts w:asciiTheme="majorHAnsi" w:eastAsia="Times New Roman" w:hAnsiTheme="majorHAnsi" w:cstheme="majorHAnsi"/>
          <w:b/>
          <w:bCs/>
          <w:color w:val="000000" w:themeColor="text1"/>
          <w:sz w:val="22"/>
          <w:szCs w:val="22"/>
        </w:rPr>
        <w:tab/>
      </w:r>
      <w:r w:rsidRPr="006807BF">
        <w:rPr>
          <w:rFonts w:asciiTheme="majorHAnsi" w:eastAsia="Times New Roman" w:hAnsiTheme="majorHAnsi" w:cstheme="majorHAnsi"/>
          <w:b/>
          <w:bCs/>
          <w:color w:val="000000" w:themeColor="text1"/>
          <w:sz w:val="22"/>
          <w:szCs w:val="22"/>
        </w:rPr>
        <w:tab/>
      </w:r>
      <w:r w:rsidRPr="006807BF">
        <w:rPr>
          <w:rFonts w:asciiTheme="majorHAnsi" w:eastAsia="Times New Roman" w:hAnsiTheme="majorHAnsi" w:cstheme="majorHAnsi"/>
          <w:b/>
          <w:bCs/>
          <w:color w:val="000000" w:themeColor="text1"/>
          <w:sz w:val="22"/>
          <w:szCs w:val="22"/>
        </w:rPr>
        <w:tab/>
      </w:r>
      <w:r w:rsidRPr="006807BF">
        <w:rPr>
          <w:rFonts w:asciiTheme="majorHAnsi" w:eastAsia="Times New Roman" w:hAnsiTheme="majorHAnsi" w:cstheme="majorHAnsi"/>
          <w:b/>
          <w:bCs/>
          <w:color w:val="000000" w:themeColor="text1"/>
          <w:sz w:val="22"/>
          <w:szCs w:val="22"/>
        </w:rPr>
        <w:tab/>
      </w:r>
      <w:r w:rsidRPr="006807BF">
        <w:rPr>
          <w:rFonts w:asciiTheme="majorHAnsi" w:eastAsia="Times New Roman" w:hAnsiTheme="majorHAnsi" w:cstheme="majorHAnsi"/>
          <w:b/>
          <w:bCs/>
          <w:color w:val="000000" w:themeColor="text1"/>
          <w:sz w:val="22"/>
          <w:szCs w:val="22"/>
        </w:rPr>
        <w:tab/>
      </w:r>
      <w:r w:rsidRPr="006807BF">
        <w:rPr>
          <w:rFonts w:asciiTheme="majorHAnsi" w:eastAsia="Times New Roman" w:hAnsiTheme="majorHAnsi" w:cstheme="majorHAnsi"/>
          <w:b/>
          <w:bCs/>
          <w:color w:val="000000" w:themeColor="text1"/>
          <w:sz w:val="22"/>
          <w:szCs w:val="22"/>
        </w:rPr>
        <w:tab/>
      </w:r>
      <w:r w:rsidRPr="006807BF">
        <w:rPr>
          <w:rFonts w:asciiTheme="majorHAnsi" w:eastAsia="Times New Roman" w:hAnsiTheme="majorHAnsi" w:cstheme="majorHAnsi"/>
          <w:bCs/>
          <w:color w:val="000000" w:themeColor="text1"/>
          <w:sz w:val="22"/>
          <w:szCs w:val="22"/>
        </w:rPr>
        <w:t>Program or activity</w:t>
      </w:r>
    </w:p>
    <w:p w:rsidR="0082074B" w:rsidRPr="0082074B" w:rsidRDefault="00110856" w:rsidP="0082074B">
      <w:pPr>
        <w:tabs>
          <w:tab w:val="left" w:pos="3780"/>
        </w:tabs>
        <w:ind w:left="720" w:right="18"/>
        <w:rPr>
          <w:rFonts w:asciiTheme="minorHAnsi" w:hAnsiTheme="minorHAnsi" w:cstheme="minorHAnsi"/>
        </w:rPr>
      </w:pPr>
      <w:r>
        <w:rPr>
          <w:rFonts w:asciiTheme="minorHAnsi" w:hAnsiTheme="minorHAnsi" w:cstheme="minorHAnsi"/>
        </w:rPr>
        <w:t>Environmental Solutions</w:t>
      </w:r>
      <w:r w:rsidR="0082074B">
        <w:rPr>
          <w:rFonts w:asciiTheme="minorHAnsi" w:hAnsiTheme="minorHAnsi" w:cstheme="minorHAnsi"/>
        </w:rPr>
        <w:tab/>
        <w:t xml:space="preserve"> </w:t>
      </w:r>
      <w:r>
        <w:rPr>
          <w:rFonts w:asciiTheme="minorHAnsi" w:hAnsiTheme="minorHAnsi" w:cstheme="minorHAnsi"/>
        </w:rPr>
        <w:t>Oregon Clean Fuels Program</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000000" w:themeColor="text1"/>
          <w:sz w:val="22"/>
          <w:szCs w:val="22"/>
        </w:rPr>
      </w:pPr>
      <w:r w:rsidRPr="006807BF">
        <w:rPr>
          <w:rFonts w:asciiTheme="majorHAnsi" w:eastAsia="Times New Roman" w:hAnsiTheme="majorHAnsi" w:cstheme="majorHAnsi"/>
          <w:bCs/>
          <w:color w:val="000000" w:themeColor="text1"/>
          <w:sz w:val="22"/>
          <w:szCs w:val="22"/>
        </w:rPr>
        <w:t>Chapter 340 action</w:t>
      </w:r>
    </w:p>
    <w:p w:rsidR="00110856" w:rsidRPr="00135BBC" w:rsidRDefault="00110856" w:rsidP="00B34CF8">
      <w:pPr>
        <w:ind w:left="360" w:right="14"/>
        <w:outlineLvl w:val="0"/>
        <w:rPr>
          <w:rFonts w:asciiTheme="minorHAnsi" w:eastAsia="Times New Roman" w:hAnsiTheme="minorHAnsi" w:cstheme="minorHAnsi"/>
          <w:bCs/>
          <w:color w:val="000000" w:themeColor="text1"/>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3"/>
        <w:gridCol w:w="7287"/>
      </w:tblGrid>
      <w:tr w:rsidR="00110856" w:rsidRPr="00597338" w:rsidTr="00C42021">
        <w:trPr>
          <w:trHeight w:val="1279"/>
        </w:trPr>
        <w:tc>
          <w:tcPr>
            <w:tcW w:w="1983" w:type="dxa"/>
            <w:hideMark/>
          </w:tcPr>
          <w:p w:rsidR="00110856" w:rsidRPr="00597338" w:rsidRDefault="007B3FB4">
            <w:pPr>
              <w:spacing w:after="120"/>
              <w:ind w:left="0" w:right="18"/>
              <w:outlineLvl w:val="0"/>
              <w:rPr>
                <w:rFonts w:asciiTheme="minorHAnsi" w:hAnsiTheme="minorHAnsi" w:cstheme="minorHAnsi"/>
                <w:color w:val="000000" w:themeColor="text1"/>
                <w:sz w:val="24"/>
                <w:szCs w:val="24"/>
              </w:rPr>
            </w:pPr>
            <w:r w:rsidRPr="00597338">
              <w:rPr>
                <w:rFonts w:asciiTheme="minorHAnsi" w:hAnsiTheme="minorHAnsi" w:cstheme="minorHAnsi"/>
                <w:color w:val="000000" w:themeColor="text1"/>
                <w:sz w:val="24"/>
                <w:szCs w:val="24"/>
              </w:rPr>
              <w:t>Amend</w:t>
            </w:r>
          </w:p>
        </w:tc>
        <w:tc>
          <w:tcPr>
            <w:tcW w:w="7287" w:type="dxa"/>
            <w:hideMark/>
          </w:tcPr>
          <w:p w:rsidR="00C42021" w:rsidRDefault="002B661B" w:rsidP="00C42021">
            <w:pPr>
              <w:ind w:left="0" w:right="18"/>
              <w:outlineLvl w:val="0"/>
              <w:rPr>
                <w:rFonts w:asciiTheme="minorHAnsi" w:hAnsiTheme="minorHAnsi" w:cstheme="minorHAnsi"/>
                <w:color w:val="000000" w:themeColor="text1"/>
                <w:sz w:val="24"/>
                <w:szCs w:val="24"/>
              </w:rPr>
            </w:pPr>
            <w:r w:rsidRPr="00597338">
              <w:rPr>
                <w:rFonts w:asciiTheme="minorHAnsi" w:hAnsiTheme="minorHAnsi" w:cstheme="minorHAnsi"/>
                <w:color w:val="000000" w:themeColor="text1"/>
                <w:sz w:val="24"/>
                <w:szCs w:val="24"/>
              </w:rPr>
              <w:t xml:space="preserve">OAR 340-253-0040, </w:t>
            </w:r>
            <w:r w:rsidR="0055188B" w:rsidRPr="00597338">
              <w:rPr>
                <w:rFonts w:asciiTheme="minorHAnsi" w:hAnsiTheme="minorHAnsi" w:cstheme="minorHAnsi"/>
                <w:color w:val="000000" w:themeColor="text1"/>
                <w:sz w:val="24"/>
                <w:szCs w:val="24"/>
              </w:rPr>
              <w:t xml:space="preserve">340-253-0060, </w:t>
            </w:r>
            <w:r w:rsidRPr="00597338">
              <w:rPr>
                <w:rFonts w:asciiTheme="minorHAnsi" w:hAnsiTheme="minorHAnsi" w:cstheme="minorHAnsi"/>
                <w:color w:val="000000" w:themeColor="text1"/>
                <w:sz w:val="24"/>
                <w:szCs w:val="24"/>
              </w:rPr>
              <w:t xml:space="preserve">340-253-0100, 340-253-0250, </w:t>
            </w:r>
          </w:p>
          <w:p w:rsidR="00C42021" w:rsidRDefault="002B661B" w:rsidP="00C42021">
            <w:pPr>
              <w:ind w:left="0" w:right="18"/>
              <w:outlineLvl w:val="0"/>
              <w:rPr>
                <w:rFonts w:asciiTheme="minorHAnsi" w:hAnsiTheme="minorHAnsi" w:cstheme="minorHAnsi"/>
                <w:color w:val="000000" w:themeColor="text1"/>
                <w:sz w:val="24"/>
                <w:szCs w:val="24"/>
              </w:rPr>
            </w:pPr>
            <w:r w:rsidRPr="00597338">
              <w:rPr>
                <w:rFonts w:asciiTheme="minorHAnsi" w:hAnsiTheme="minorHAnsi" w:cstheme="minorHAnsi"/>
                <w:color w:val="000000" w:themeColor="text1"/>
                <w:sz w:val="24"/>
                <w:szCs w:val="24"/>
              </w:rPr>
              <w:t xml:space="preserve">340-253-0310, 340-253-0320, 340-253-0340, 340-253-0400, </w:t>
            </w:r>
          </w:p>
          <w:p w:rsidR="00C42021" w:rsidRDefault="002B661B" w:rsidP="00C42021">
            <w:pPr>
              <w:ind w:left="0" w:right="18"/>
              <w:outlineLvl w:val="0"/>
              <w:rPr>
                <w:rFonts w:asciiTheme="minorHAnsi" w:hAnsiTheme="minorHAnsi" w:cstheme="minorHAnsi"/>
                <w:color w:val="000000" w:themeColor="text1"/>
                <w:sz w:val="24"/>
                <w:szCs w:val="24"/>
              </w:rPr>
            </w:pPr>
            <w:r w:rsidRPr="00597338">
              <w:rPr>
                <w:rFonts w:asciiTheme="minorHAnsi" w:hAnsiTheme="minorHAnsi" w:cstheme="minorHAnsi"/>
                <w:color w:val="000000" w:themeColor="text1"/>
                <w:sz w:val="24"/>
                <w:szCs w:val="24"/>
              </w:rPr>
              <w:t>340-253-0500, 340-253-0600, 340-253-0630, 340-253-0650,</w:t>
            </w:r>
          </w:p>
          <w:p w:rsidR="0068707F" w:rsidRPr="00597338" w:rsidRDefault="002B661B" w:rsidP="00C42021">
            <w:pPr>
              <w:ind w:left="0" w:right="18"/>
              <w:outlineLvl w:val="0"/>
              <w:rPr>
                <w:rFonts w:asciiTheme="minorHAnsi" w:hAnsiTheme="minorHAnsi" w:cstheme="minorHAnsi"/>
                <w:color w:val="000000" w:themeColor="text1"/>
                <w:sz w:val="24"/>
                <w:szCs w:val="24"/>
              </w:rPr>
            </w:pPr>
            <w:r w:rsidRPr="00597338">
              <w:rPr>
                <w:rFonts w:asciiTheme="minorHAnsi" w:hAnsiTheme="minorHAnsi" w:cstheme="minorHAnsi"/>
                <w:color w:val="000000" w:themeColor="text1"/>
                <w:sz w:val="24"/>
                <w:szCs w:val="24"/>
              </w:rPr>
              <w:t xml:space="preserve"> </w:t>
            </w:r>
            <w:r w:rsidR="007B3FB4" w:rsidRPr="00597338">
              <w:rPr>
                <w:rFonts w:asciiTheme="minorHAnsi" w:eastAsia="Times New Roman" w:hAnsiTheme="minorHAnsi" w:cstheme="minorHAnsi"/>
                <w:bCs/>
                <w:color w:val="000000" w:themeColor="text1"/>
                <w:sz w:val="24"/>
                <w:szCs w:val="24"/>
              </w:rPr>
              <w:t>340-253-</w:t>
            </w:r>
            <w:r w:rsidR="007B3FB4" w:rsidRPr="00597338">
              <w:rPr>
                <w:rFonts w:asciiTheme="minorHAnsi" w:hAnsiTheme="minorHAnsi" w:cstheme="minorHAnsi"/>
                <w:color w:val="000000" w:themeColor="text1"/>
                <w:sz w:val="24"/>
                <w:szCs w:val="24"/>
              </w:rPr>
              <w:t>3010</w:t>
            </w:r>
            <w:r w:rsidR="007B3FB4" w:rsidRPr="00597338">
              <w:rPr>
                <w:rFonts w:asciiTheme="minorHAnsi" w:eastAsia="Times New Roman" w:hAnsiTheme="minorHAnsi" w:cstheme="minorHAnsi"/>
                <w:bCs/>
                <w:color w:val="000000" w:themeColor="text1"/>
                <w:sz w:val="24"/>
                <w:szCs w:val="24"/>
              </w:rPr>
              <w:t xml:space="preserve"> </w:t>
            </w:r>
            <w:r w:rsidR="007B3FB4" w:rsidRPr="00597338">
              <w:rPr>
                <w:rFonts w:asciiTheme="minorHAnsi" w:hAnsiTheme="minorHAnsi" w:cstheme="minorHAnsi"/>
                <w:color w:val="000000" w:themeColor="text1"/>
                <w:sz w:val="24"/>
                <w:szCs w:val="24"/>
              </w:rPr>
              <w:t xml:space="preserve">, </w:t>
            </w:r>
            <w:r w:rsidRPr="00597338">
              <w:rPr>
                <w:rFonts w:asciiTheme="minorHAnsi" w:hAnsiTheme="minorHAnsi" w:cstheme="minorHAnsi"/>
                <w:color w:val="000000" w:themeColor="text1"/>
                <w:sz w:val="24"/>
                <w:szCs w:val="24"/>
              </w:rPr>
              <w:t>340-253-3020</w:t>
            </w:r>
          </w:p>
        </w:tc>
      </w:tr>
      <w:tr w:rsidR="00931772" w:rsidRPr="00597338" w:rsidTr="00C42021">
        <w:tc>
          <w:tcPr>
            <w:tcW w:w="1983" w:type="dxa"/>
            <w:hideMark/>
          </w:tcPr>
          <w:p w:rsidR="00931772" w:rsidRPr="00597338" w:rsidRDefault="007B3FB4" w:rsidP="00931772">
            <w:pPr>
              <w:spacing w:after="120"/>
              <w:ind w:left="0" w:right="18"/>
              <w:outlineLvl w:val="0"/>
              <w:rPr>
                <w:rFonts w:asciiTheme="minorHAnsi" w:hAnsiTheme="minorHAnsi" w:cstheme="minorHAnsi"/>
                <w:color w:val="000000" w:themeColor="text1"/>
                <w:sz w:val="24"/>
                <w:szCs w:val="24"/>
              </w:rPr>
            </w:pPr>
            <w:r w:rsidRPr="00597338">
              <w:rPr>
                <w:rFonts w:asciiTheme="minorHAnsi" w:hAnsiTheme="minorHAnsi" w:cstheme="minorHAnsi"/>
                <w:color w:val="000000" w:themeColor="text1"/>
                <w:sz w:val="24"/>
                <w:szCs w:val="24"/>
              </w:rPr>
              <w:t>Repeal</w:t>
            </w:r>
          </w:p>
        </w:tc>
        <w:tc>
          <w:tcPr>
            <w:tcW w:w="7287" w:type="dxa"/>
            <w:hideMark/>
          </w:tcPr>
          <w:p w:rsidR="00931772" w:rsidRPr="00597338" w:rsidRDefault="007B3FB4" w:rsidP="00931772">
            <w:pPr>
              <w:spacing w:after="120"/>
              <w:ind w:left="0" w:right="18"/>
              <w:outlineLvl w:val="0"/>
              <w:rPr>
                <w:rFonts w:asciiTheme="minorHAnsi" w:hAnsiTheme="minorHAnsi" w:cstheme="minorHAnsi"/>
                <w:color w:val="000000" w:themeColor="text1"/>
                <w:sz w:val="24"/>
                <w:szCs w:val="24"/>
              </w:rPr>
            </w:pPr>
            <w:r w:rsidRPr="00597338">
              <w:rPr>
                <w:rFonts w:asciiTheme="minorHAnsi" w:hAnsiTheme="minorHAnsi" w:cstheme="minorHAnsi"/>
                <w:color w:val="000000" w:themeColor="text1"/>
                <w:sz w:val="24"/>
                <w:szCs w:val="24"/>
              </w:rPr>
              <w:t>OAR 340-253-3000</w:t>
            </w:r>
          </w:p>
        </w:tc>
      </w:tr>
    </w:tbl>
    <w:p w:rsidR="00110856" w:rsidRPr="00931772" w:rsidRDefault="00110856" w:rsidP="00B34CF8">
      <w:pPr>
        <w:spacing w:after="120"/>
        <w:ind w:left="360" w:right="18"/>
        <w:rPr>
          <w:rFonts w:asciiTheme="majorHAnsi" w:eastAsia="Times New Roman" w:hAnsiTheme="majorHAnsi" w:cstheme="majorHAnsi"/>
          <w:b/>
          <w:bCs/>
          <w:color w:val="000000" w:themeColor="text1"/>
          <w:sz w:val="22"/>
          <w:szCs w:val="22"/>
        </w:rPr>
      </w:pPr>
    </w:p>
    <w:p w:rsidR="0027111E" w:rsidRPr="006807BF" w:rsidRDefault="0027111E" w:rsidP="00B34CF8">
      <w:pPr>
        <w:spacing w:after="120"/>
        <w:ind w:left="360" w:right="18"/>
        <w:rPr>
          <w:rFonts w:asciiTheme="majorHAnsi" w:eastAsia="Times New Roman" w:hAnsiTheme="majorHAnsi" w:cstheme="majorHAnsi"/>
          <w:bCs/>
          <w:color w:val="000000" w:themeColor="text1"/>
          <w:sz w:val="22"/>
          <w:szCs w:val="22"/>
        </w:rPr>
      </w:pPr>
      <w:r w:rsidRPr="006807BF">
        <w:rPr>
          <w:rFonts w:asciiTheme="majorHAnsi" w:eastAsia="Times New Roman" w:hAnsiTheme="majorHAnsi" w:cstheme="majorHAnsi"/>
          <w:bCs/>
          <w:color w:val="000000" w:themeColor="text1"/>
          <w:sz w:val="22"/>
          <w:szCs w:val="22"/>
        </w:rPr>
        <w:t xml:space="preserve">Statutory authority </w:t>
      </w:r>
    </w:p>
    <w:p w:rsidR="00110856" w:rsidRDefault="00110856" w:rsidP="00110856">
      <w:pPr>
        <w:ind w:left="72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ORS 468.020</w:t>
      </w:r>
      <w:r w:rsidR="00DD5F39">
        <w:rPr>
          <w:rFonts w:asciiTheme="minorHAnsi" w:eastAsia="Times New Roman" w:hAnsiTheme="minorHAnsi" w:cstheme="minorHAnsi"/>
          <w:bCs/>
          <w:color w:val="000000" w:themeColor="text1"/>
        </w:rPr>
        <w:t xml:space="preserve">, ORS </w:t>
      </w:r>
      <w:r w:rsidR="00DD5F39" w:rsidRPr="00DD5F39">
        <w:rPr>
          <w:rFonts w:ascii="Times New Roman" w:hAnsi="Times New Roman" w:cs="Times New Roman"/>
          <w:bCs/>
        </w:rPr>
        <w:t>468A.270</w:t>
      </w:r>
      <w:r w:rsidR="00DD5F3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Or. Laws 2009, ch. 754, § 6</w:t>
      </w:r>
    </w:p>
    <w:p w:rsidR="00734E10" w:rsidRDefault="00734E10" w:rsidP="00110856">
      <w:pPr>
        <w:tabs>
          <w:tab w:val="left" w:pos="5220"/>
          <w:tab w:val="left" w:pos="8640"/>
        </w:tabs>
        <w:spacing w:after="120"/>
        <w:ind w:left="360"/>
        <w:rPr>
          <w:rFonts w:asciiTheme="majorHAnsi" w:eastAsia="Times New Roman" w:hAnsiTheme="majorHAnsi" w:cstheme="majorHAnsi"/>
          <w:bCs/>
          <w:color w:val="000000" w:themeColor="text1"/>
        </w:rPr>
      </w:pPr>
    </w:p>
    <w:p w:rsidR="00110856" w:rsidRPr="0055188B" w:rsidRDefault="00110856" w:rsidP="00110856">
      <w:pPr>
        <w:tabs>
          <w:tab w:val="left" w:pos="5220"/>
          <w:tab w:val="left" w:pos="8640"/>
        </w:tabs>
        <w:spacing w:after="120"/>
        <w:ind w:left="360"/>
        <w:rPr>
          <w:rFonts w:asciiTheme="majorHAnsi" w:eastAsia="Times New Roman" w:hAnsiTheme="majorHAnsi" w:cstheme="majorHAnsi"/>
          <w:bCs/>
          <w:color w:val="000000" w:themeColor="text1"/>
          <w:sz w:val="22"/>
          <w:szCs w:val="22"/>
        </w:rPr>
      </w:pPr>
      <w:r w:rsidRPr="0055188B">
        <w:rPr>
          <w:rFonts w:asciiTheme="majorHAnsi" w:eastAsia="Times New Roman" w:hAnsiTheme="majorHAnsi" w:cstheme="majorHAnsi"/>
          <w:bCs/>
          <w:color w:val="000000" w:themeColor="text1"/>
          <w:sz w:val="22"/>
          <w:szCs w:val="22"/>
        </w:rPr>
        <w:t>Statute implemented</w:t>
      </w:r>
      <w:r w:rsidRPr="0055188B">
        <w:rPr>
          <w:rFonts w:asciiTheme="majorHAnsi" w:eastAsia="Times New Roman" w:hAnsiTheme="majorHAnsi" w:cstheme="majorHAnsi"/>
          <w:bCs/>
          <w:color w:val="000000" w:themeColor="text1"/>
          <w:sz w:val="22"/>
          <w:szCs w:val="22"/>
        </w:rPr>
        <w:tab/>
      </w:r>
      <w:r w:rsidRPr="0055188B">
        <w:rPr>
          <w:rFonts w:asciiTheme="majorHAnsi" w:eastAsia="Times New Roman" w:hAnsiTheme="majorHAnsi" w:cstheme="majorHAnsi"/>
          <w:bCs/>
          <w:color w:val="000000" w:themeColor="text1"/>
          <w:sz w:val="22"/>
          <w:szCs w:val="22"/>
        </w:rPr>
        <w:tab/>
      </w:r>
    </w:p>
    <w:p w:rsidR="00110856" w:rsidRDefault="003D50EE" w:rsidP="00C42021">
      <w:pPr>
        <w:tabs>
          <w:tab w:val="left" w:pos="1440"/>
          <w:tab w:val="left" w:pos="5220"/>
          <w:tab w:val="left" w:pos="8640"/>
        </w:tabs>
        <w:ind w:left="72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ORS </w:t>
      </w:r>
      <w:r w:rsidR="00DD5F39" w:rsidRPr="00DD5F39">
        <w:rPr>
          <w:rFonts w:ascii="Times New Roman" w:hAnsi="Times New Roman" w:cs="Times New Roman"/>
          <w:bCs/>
        </w:rPr>
        <w:t xml:space="preserve">468A.270 </w:t>
      </w:r>
      <w:r w:rsidR="00110856">
        <w:rPr>
          <w:rFonts w:asciiTheme="minorHAnsi" w:eastAsia="Times New Roman" w:hAnsiTheme="minorHAnsi" w:cstheme="minorHAnsi"/>
          <w:bCs/>
          <w:color w:val="000000" w:themeColor="text1"/>
        </w:rPr>
        <w:t>Or. Laws 2009, ch. 754, § 6</w:t>
      </w:r>
      <w:r w:rsidR="00110856">
        <w:rPr>
          <w:rFonts w:asciiTheme="minorHAnsi" w:eastAsia="Times New Roman" w:hAnsiTheme="minorHAnsi" w:cstheme="minorHAnsi"/>
          <w:bCs/>
          <w:color w:val="000000" w:themeColor="text1"/>
        </w:rPr>
        <w:tab/>
      </w:r>
    </w:p>
    <w:p w:rsidR="0027111E" w:rsidRPr="00DD5F39" w:rsidRDefault="0027111E" w:rsidP="00C42021">
      <w:pPr>
        <w:ind w:left="360" w:right="18"/>
        <w:rPr>
          <w:rFonts w:asciiTheme="majorHAnsi" w:eastAsia="Times New Roman" w:hAnsiTheme="majorHAnsi" w:cstheme="majorHAnsi"/>
          <w:bCs/>
          <w:sz w:val="22"/>
          <w:szCs w:val="22"/>
        </w:rPr>
      </w:pPr>
    </w:p>
    <w:p w:rsidR="00C42021" w:rsidRDefault="00C42021" w:rsidP="00C42021">
      <w:pPr>
        <w:ind w:left="360" w:right="18"/>
        <w:outlineLvl w:val="0"/>
        <w:rPr>
          <w:rFonts w:asciiTheme="majorHAnsi" w:eastAsia="Times New Roman" w:hAnsiTheme="majorHAnsi" w:cstheme="majorHAnsi"/>
          <w:bCs/>
          <w:color w:val="000000" w:themeColor="text1"/>
          <w:sz w:val="22"/>
          <w:szCs w:val="22"/>
        </w:rPr>
      </w:pPr>
      <w:bookmarkStart w:id="2" w:name="SupportingDocuments"/>
    </w:p>
    <w:p w:rsidR="0027111E" w:rsidRDefault="0027111E" w:rsidP="001D0C4A">
      <w:pPr>
        <w:ind w:left="360" w:right="18"/>
        <w:outlineLvl w:val="0"/>
        <w:rPr>
          <w:rFonts w:asciiTheme="majorHAnsi" w:eastAsia="Times New Roman" w:hAnsiTheme="majorHAnsi" w:cstheme="majorHAnsi"/>
          <w:bCs/>
          <w:color w:val="000000" w:themeColor="text1"/>
          <w:sz w:val="22"/>
          <w:szCs w:val="22"/>
        </w:rPr>
      </w:pPr>
      <w:r w:rsidRPr="006807BF">
        <w:rPr>
          <w:rFonts w:asciiTheme="majorHAnsi" w:eastAsia="Times New Roman" w:hAnsiTheme="majorHAnsi" w:cstheme="majorHAnsi"/>
          <w:bCs/>
          <w:color w:val="000000" w:themeColor="text1"/>
          <w:sz w:val="22"/>
          <w:szCs w:val="22"/>
        </w:rPr>
        <w:t xml:space="preserve">Documents relied on for rulemaking </w:t>
      </w:r>
      <w:bookmarkEnd w:id="2"/>
      <w:r w:rsidRPr="006807BF">
        <w:rPr>
          <w:rFonts w:asciiTheme="majorHAnsi" w:eastAsia="Times New Roman" w:hAnsiTheme="majorHAnsi" w:cstheme="majorHAnsi"/>
          <w:bCs/>
          <w:color w:val="000000" w:themeColor="text1"/>
          <w:sz w:val="22"/>
          <w:szCs w:val="22"/>
        </w:rPr>
        <w:tab/>
      </w:r>
    </w:p>
    <w:p w:rsidR="001D0C4A" w:rsidRDefault="001D0C4A" w:rsidP="001D0C4A">
      <w:pPr>
        <w:ind w:left="360" w:right="18"/>
        <w:outlineLvl w:val="0"/>
      </w:pPr>
    </w:p>
    <w:tbl>
      <w:tblPr>
        <w:tblStyle w:val="TableGrid"/>
        <w:tblW w:w="0" w:type="auto"/>
        <w:tblInd w:w="828" w:type="dxa"/>
        <w:tblLayout w:type="fixed"/>
        <w:tblLook w:val="04A0"/>
      </w:tblPr>
      <w:tblGrid>
        <w:gridCol w:w="5940"/>
        <w:gridCol w:w="3276"/>
      </w:tblGrid>
      <w:tr w:rsidR="00110856" w:rsidRPr="00597338" w:rsidTr="00110856">
        <w:tc>
          <w:tcPr>
            <w:tcW w:w="5940" w:type="dxa"/>
            <w:tcBorders>
              <w:top w:val="double" w:sz="4" w:space="0" w:color="auto"/>
              <w:left w:val="double" w:sz="4" w:space="0" w:color="auto"/>
              <w:bottom w:val="single" w:sz="4" w:space="0" w:color="auto"/>
              <w:right w:val="single" w:sz="4" w:space="0" w:color="auto"/>
            </w:tcBorders>
            <w:shd w:val="clear" w:color="auto" w:fill="008272"/>
            <w:hideMark/>
          </w:tcPr>
          <w:p w:rsidR="00110856" w:rsidRPr="00597338" w:rsidRDefault="00110856" w:rsidP="00597624">
            <w:pPr>
              <w:ind w:left="0"/>
              <w:jc w:val="center"/>
              <w:rPr>
                <w:rFonts w:asciiTheme="minorHAnsi" w:eastAsia="Times New Roman" w:hAnsiTheme="minorHAnsi" w:cstheme="minorHAnsi"/>
                <w:b/>
                <w:bCs/>
                <w:color w:val="FFFFFF" w:themeColor="background1"/>
                <w:sz w:val="24"/>
                <w:szCs w:val="24"/>
              </w:rPr>
            </w:pPr>
            <w:r w:rsidRPr="00597338">
              <w:rPr>
                <w:rFonts w:asciiTheme="minorHAnsi" w:eastAsia="Times New Roman" w:hAnsiTheme="minorHAnsi" w:cstheme="minorHAnsi"/>
                <w:b/>
                <w:bCs/>
                <w:color w:val="FFFFFF" w:themeColor="background1"/>
                <w:sz w:val="24"/>
                <w:szCs w:val="24"/>
              </w:rPr>
              <w:t>Document title</w:t>
            </w:r>
          </w:p>
        </w:tc>
        <w:tc>
          <w:tcPr>
            <w:tcW w:w="3276" w:type="dxa"/>
            <w:tcBorders>
              <w:top w:val="double" w:sz="4" w:space="0" w:color="auto"/>
              <w:left w:val="single" w:sz="4" w:space="0" w:color="auto"/>
              <w:bottom w:val="single" w:sz="4" w:space="0" w:color="auto"/>
              <w:right w:val="double" w:sz="4" w:space="0" w:color="auto"/>
            </w:tcBorders>
            <w:shd w:val="clear" w:color="auto" w:fill="008272"/>
            <w:hideMark/>
          </w:tcPr>
          <w:p w:rsidR="00110856" w:rsidRPr="00597338" w:rsidRDefault="00110856" w:rsidP="00597624">
            <w:pPr>
              <w:ind w:left="0"/>
              <w:jc w:val="center"/>
              <w:rPr>
                <w:rFonts w:asciiTheme="minorHAnsi" w:eastAsia="Times New Roman" w:hAnsiTheme="minorHAnsi" w:cstheme="minorHAnsi"/>
                <w:b/>
                <w:bCs/>
                <w:color w:val="FFFFFF" w:themeColor="background1"/>
                <w:sz w:val="24"/>
                <w:szCs w:val="24"/>
              </w:rPr>
            </w:pPr>
            <w:r w:rsidRPr="00597338">
              <w:rPr>
                <w:rFonts w:asciiTheme="minorHAnsi" w:eastAsia="Times New Roman" w:hAnsiTheme="minorHAnsi" w:cstheme="minorHAnsi"/>
                <w:b/>
                <w:bCs/>
                <w:color w:val="FFFFFF" w:themeColor="background1"/>
                <w:sz w:val="24"/>
                <w:szCs w:val="24"/>
              </w:rPr>
              <w:t>Document location</w:t>
            </w:r>
          </w:p>
        </w:tc>
      </w:tr>
      <w:tr w:rsidR="00110856" w:rsidRPr="00597338" w:rsidTr="001D0C4A">
        <w:tc>
          <w:tcPr>
            <w:tcW w:w="5940" w:type="dxa"/>
            <w:tcBorders>
              <w:top w:val="single" w:sz="4" w:space="0" w:color="auto"/>
              <w:left w:val="double" w:sz="4" w:space="0" w:color="auto"/>
              <w:bottom w:val="single" w:sz="4" w:space="0" w:color="auto"/>
              <w:right w:val="single" w:sz="4" w:space="0" w:color="auto"/>
            </w:tcBorders>
            <w:hideMark/>
          </w:tcPr>
          <w:p w:rsidR="00110856" w:rsidRPr="00597338" w:rsidRDefault="00110856" w:rsidP="001D0C4A">
            <w:pPr>
              <w:ind w:left="0" w:right="1008"/>
              <w:rPr>
                <w:rFonts w:asciiTheme="minorHAnsi" w:eastAsia="Times New Roman" w:hAnsiTheme="minorHAnsi" w:cstheme="minorHAnsi"/>
                <w:bCs/>
                <w:color w:val="000000" w:themeColor="text1"/>
                <w:sz w:val="24"/>
                <w:szCs w:val="24"/>
              </w:rPr>
            </w:pPr>
            <w:r w:rsidRPr="00597338">
              <w:rPr>
                <w:rFonts w:asciiTheme="minorHAnsi" w:eastAsia="Times New Roman" w:hAnsiTheme="minorHAnsi" w:cstheme="minorHAnsi"/>
                <w:color w:val="000000" w:themeColor="text1"/>
                <w:sz w:val="24"/>
                <w:szCs w:val="24"/>
              </w:rPr>
              <w:t>Applications for registration to the program</w:t>
            </w:r>
          </w:p>
        </w:tc>
        <w:tc>
          <w:tcPr>
            <w:tcW w:w="3276" w:type="dxa"/>
            <w:tcBorders>
              <w:top w:val="single" w:sz="4" w:space="0" w:color="auto"/>
              <w:left w:val="single" w:sz="4" w:space="0" w:color="auto"/>
              <w:bottom w:val="single" w:sz="4" w:space="0" w:color="auto"/>
              <w:right w:val="double" w:sz="4" w:space="0" w:color="auto"/>
            </w:tcBorders>
            <w:vAlign w:val="center"/>
            <w:hideMark/>
          </w:tcPr>
          <w:p w:rsidR="00110856" w:rsidRPr="00597338" w:rsidRDefault="00110856" w:rsidP="001D0C4A">
            <w:pPr>
              <w:ind w:left="162" w:right="18"/>
              <w:rPr>
                <w:rFonts w:ascii="Times New Roman" w:eastAsia="Times New Roman" w:hAnsi="Times New Roman" w:cs="Times New Roman"/>
                <w:color w:val="000000" w:themeColor="text1"/>
                <w:sz w:val="24"/>
                <w:szCs w:val="24"/>
              </w:rPr>
            </w:pPr>
            <w:r w:rsidRPr="00597338">
              <w:rPr>
                <w:rFonts w:ascii="Times New Roman" w:eastAsia="Times New Roman" w:hAnsi="Times New Roman" w:cs="Times New Roman"/>
                <w:color w:val="000000" w:themeColor="text1"/>
                <w:sz w:val="24"/>
                <w:szCs w:val="24"/>
              </w:rPr>
              <w:t>DEQ headquarters</w:t>
            </w:r>
          </w:p>
          <w:p w:rsidR="00110856" w:rsidRPr="00597338" w:rsidRDefault="00110856" w:rsidP="001D0C4A">
            <w:pPr>
              <w:ind w:left="162" w:right="18"/>
              <w:rPr>
                <w:rFonts w:ascii="Times New Roman" w:eastAsia="Times New Roman" w:hAnsi="Times New Roman" w:cs="Times New Roman"/>
                <w:color w:val="000000" w:themeColor="text1"/>
                <w:sz w:val="24"/>
                <w:szCs w:val="24"/>
              </w:rPr>
            </w:pPr>
            <w:r w:rsidRPr="00597338">
              <w:rPr>
                <w:rFonts w:ascii="Times New Roman" w:eastAsia="Times New Roman" w:hAnsi="Times New Roman" w:cs="Times New Roman"/>
                <w:color w:val="000000" w:themeColor="text1"/>
                <w:sz w:val="24"/>
                <w:szCs w:val="24"/>
              </w:rPr>
              <w:t>811 SW 6</w:t>
            </w:r>
            <w:r w:rsidRPr="00597338">
              <w:rPr>
                <w:rFonts w:ascii="Times New Roman" w:eastAsia="Times New Roman" w:hAnsi="Times New Roman" w:cs="Times New Roman"/>
                <w:color w:val="000000" w:themeColor="text1"/>
                <w:sz w:val="24"/>
                <w:szCs w:val="24"/>
                <w:vertAlign w:val="superscript"/>
              </w:rPr>
              <w:t>th</w:t>
            </w:r>
            <w:r w:rsidRPr="00597338">
              <w:rPr>
                <w:rFonts w:ascii="Times New Roman" w:eastAsia="Times New Roman" w:hAnsi="Times New Roman" w:cs="Times New Roman"/>
                <w:color w:val="000000" w:themeColor="text1"/>
                <w:sz w:val="24"/>
                <w:szCs w:val="24"/>
              </w:rPr>
              <w:t xml:space="preserve"> Avenue</w:t>
            </w:r>
          </w:p>
          <w:p w:rsidR="00110856" w:rsidRPr="00597338" w:rsidRDefault="00110856" w:rsidP="001D0C4A">
            <w:pPr>
              <w:ind w:left="162" w:right="18"/>
              <w:rPr>
                <w:rFonts w:asciiTheme="minorHAnsi" w:eastAsia="Times New Roman" w:hAnsiTheme="minorHAnsi" w:cstheme="minorHAnsi"/>
                <w:bCs/>
                <w:color w:val="000000" w:themeColor="text1"/>
                <w:sz w:val="24"/>
                <w:szCs w:val="24"/>
              </w:rPr>
            </w:pPr>
            <w:r w:rsidRPr="00597338">
              <w:rPr>
                <w:rFonts w:ascii="Times New Roman" w:eastAsia="Times New Roman" w:hAnsi="Times New Roman" w:cs="Times New Roman"/>
                <w:color w:val="000000" w:themeColor="text1"/>
                <w:sz w:val="24"/>
                <w:szCs w:val="24"/>
              </w:rPr>
              <w:t>Portland OR 97204</w:t>
            </w:r>
          </w:p>
        </w:tc>
      </w:tr>
      <w:tr w:rsidR="00110856" w:rsidRPr="00597338" w:rsidTr="001D0C4A">
        <w:trPr>
          <w:trHeight w:val="737"/>
        </w:trPr>
        <w:tc>
          <w:tcPr>
            <w:tcW w:w="5940" w:type="dxa"/>
            <w:tcBorders>
              <w:top w:val="single" w:sz="4" w:space="0" w:color="auto"/>
              <w:left w:val="double" w:sz="4" w:space="0" w:color="auto"/>
              <w:bottom w:val="single" w:sz="4" w:space="0" w:color="auto"/>
              <w:right w:val="single" w:sz="4" w:space="0" w:color="auto"/>
            </w:tcBorders>
            <w:hideMark/>
          </w:tcPr>
          <w:p w:rsidR="00110856" w:rsidRPr="00597338" w:rsidRDefault="00110856" w:rsidP="001D0C4A">
            <w:pPr>
              <w:ind w:left="0" w:right="72"/>
              <w:rPr>
                <w:rFonts w:asciiTheme="minorHAnsi" w:eastAsia="Times New Roman" w:hAnsiTheme="minorHAnsi" w:cstheme="minorHAnsi"/>
                <w:color w:val="000000" w:themeColor="text1"/>
                <w:sz w:val="24"/>
                <w:szCs w:val="24"/>
              </w:rPr>
            </w:pPr>
            <w:r w:rsidRPr="00597338">
              <w:rPr>
                <w:rFonts w:asciiTheme="minorHAnsi" w:eastAsia="Times New Roman" w:hAnsiTheme="minorHAnsi" w:cstheme="minorHAnsi"/>
                <w:color w:val="000000" w:themeColor="text1"/>
                <w:sz w:val="24"/>
                <w:szCs w:val="24"/>
              </w:rPr>
              <w:t>Comments received during informal public review period</w:t>
            </w:r>
            <w:r w:rsidR="00E76EA0" w:rsidRPr="00597338">
              <w:rPr>
                <w:rFonts w:asciiTheme="minorHAnsi" w:eastAsia="Times New Roman" w:hAnsiTheme="minorHAnsi" w:cstheme="minorHAnsi"/>
                <w:color w:val="000000" w:themeColor="text1"/>
                <w:sz w:val="24"/>
                <w:szCs w:val="24"/>
              </w:rPr>
              <w:t xml:space="preserve"> during the temporary rulemaking</w:t>
            </w:r>
          </w:p>
        </w:tc>
        <w:tc>
          <w:tcPr>
            <w:tcW w:w="3276" w:type="dxa"/>
            <w:tcBorders>
              <w:top w:val="single" w:sz="4" w:space="0" w:color="auto"/>
              <w:left w:val="single" w:sz="4" w:space="0" w:color="auto"/>
              <w:bottom w:val="single" w:sz="4" w:space="0" w:color="auto"/>
              <w:right w:val="double" w:sz="4" w:space="0" w:color="auto"/>
            </w:tcBorders>
            <w:vAlign w:val="center"/>
            <w:hideMark/>
          </w:tcPr>
          <w:p w:rsidR="006F7F10" w:rsidRPr="00597338" w:rsidRDefault="006F7F10" w:rsidP="001D0C4A">
            <w:pPr>
              <w:ind w:left="162" w:right="18"/>
              <w:rPr>
                <w:rFonts w:ascii="Times New Roman" w:eastAsia="Times New Roman" w:hAnsi="Times New Roman" w:cs="Times New Roman"/>
                <w:color w:val="000000" w:themeColor="text1"/>
                <w:sz w:val="24"/>
                <w:szCs w:val="24"/>
              </w:rPr>
            </w:pPr>
            <w:r w:rsidRPr="00597338">
              <w:rPr>
                <w:rFonts w:ascii="Times New Roman" w:eastAsia="Times New Roman" w:hAnsi="Times New Roman" w:cs="Times New Roman"/>
                <w:color w:val="000000" w:themeColor="text1"/>
                <w:sz w:val="24"/>
                <w:szCs w:val="24"/>
              </w:rPr>
              <w:t>DEQ headquarters</w:t>
            </w:r>
          </w:p>
          <w:p w:rsidR="00110856" w:rsidRPr="00597338" w:rsidRDefault="00110856" w:rsidP="001D0C4A">
            <w:pPr>
              <w:ind w:left="162" w:right="18"/>
              <w:rPr>
                <w:rFonts w:asciiTheme="minorHAnsi" w:eastAsia="Times New Roman" w:hAnsiTheme="minorHAnsi" w:cstheme="minorHAnsi"/>
                <w:color w:val="000000" w:themeColor="text1"/>
                <w:sz w:val="24"/>
                <w:szCs w:val="24"/>
              </w:rPr>
            </w:pPr>
          </w:p>
        </w:tc>
      </w:tr>
      <w:tr w:rsidR="00816134" w:rsidRPr="00597338" w:rsidTr="001D0C4A">
        <w:trPr>
          <w:trHeight w:val="701"/>
        </w:trPr>
        <w:tc>
          <w:tcPr>
            <w:tcW w:w="5940" w:type="dxa"/>
            <w:tcBorders>
              <w:top w:val="single" w:sz="4" w:space="0" w:color="auto"/>
              <w:left w:val="double" w:sz="4" w:space="0" w:color="auto"/>
              <w:bottom w:val="single" w:sz="4" w:space="0" w:color="auto"/>
              <w:right w:val="single" w:sz="4" w:space="0" w:color="auto"/>
            </w:tcBorders>
            <w:hideMark/>
          </w:tcPr>
          <w:p w:rsidR="00816134" w:rsidRPr="00597338" w:rsidRDefault="00816134" w:rsidP="00B22F3A">
            <w:pPr>
              <w:ind w:left="0" w:right="72"/>
              <w:rPr>
                <w:rFonts w:asciiTheme="minorHAnsi" w:eastAsia="Times New Roman" w:hAnsiTheme="minorHAnsi" w:cstheme="minorHAnsi"/>
                <w:color w:val="000000" w:themeColor="text1"/>
                <w:sz w:val="24"/>
                <w:szCs w:val="24"/>
              </w:rPr>
            </w:pPr>
            <w:r w:rsidRPr="00597338">
              <w:rPr>
                <w:rFonts w:asciiTheme="minorHAnsi" w:eastAsia="Times New Roman" w:hAnsiTheme="minorHAnsi" w:cstheme="minorHAnsi"/>
                <w:color w:val="000000" w:themeColor="text1"/>
                <w:sz w:val="24"/>
                <w:szCs w:val="24"/>
              </w:rPr>
              <w:t xml:space="preserve">Staff report for </w:t>
            </w:r>
            <w:r w:rsidR="00597624" w:rsidRPr="00597338">
              <w:rPr>
                <w:rFonts w:asciiTheme="minorHAnsi" w:eastAsia="Times New Roman" w:hAnsiTheme="minorHAnsi" w:cstheme="minorHAnsi"/>
                <w:color w:val="000000" w:themeColor="text1"/>
                <w:sz w:val="24"/>
                <w:szCs w:val="24"/>
              </w:rPr>
              <w:t>the Environmental Quality Commission Dec</w:t>
            </w:r>
            <w:r w:rsidR="00B22F3A">
              <w:rPr>
                <w:rFonts w:asciiTheme="minorHAnsi" w:eastAsia="Times New Roman" w:hAnsiTheme="minorHAnsi" w:cstheme="minorHAnsi"/>
                <w:color w:val="000000" w:themeColor="text1"/>
                <w:sz w:val="24"/>
                <w:szCs w:val="24"/>
              </w:rPr>
              <w:t>ember</w:t>
            </w:r>
            <w:r w:rsidR="00135BBC" w:rsidRPr="00597338">
              <w:rPr>
                <w:rFonts w:asciiTheme="minorHAnsi" w:eastAsia="Times New Roman" w:hAnsiTheme="minorHAnsi" w:cstheme="minorHAnsi"/>
                <w:color w:val="000000" w:themeColor="text1"/>
                <w:sz w:val="24"/>
                <w:szCs w:val="24"/>
              </w:rPr>
              <w:t xml:space="preserve"> </w:t>
            </w:r>
            <w:r w:rsidR="00597624" w:rsidRPr="00597338">
              <w:rPr>
                <w:rFonts w:asciiTheme="minorHAnsi" w:eastAsia="Times New Roman" w:hAnsiTheme="minorHAnsi" w:cstheme="minorHAnsi"/>
                <w:color w:val="000000" w:themeColor="text1"/>
                <w:sz w:val="24"/>
                <w:szCs w:val="24"/>
              </w:rPr>
              <w:t>2013 meeting</w:t>
            </w:r>
          </w:p>
        </w:tc>
        <w:tc>
          <w:tcPr>
            <w:tcW w:w="3276" w:type="dxa"/>
            <w:tcBorders>
              <w:top w:val="single" w:sz="4" w:space="0" w:color="auto"/>
              <w:left w:val="single" w:sz="4" w:space="0" w:color="auto"/>
              <w:bottom w:val="single" w:sz="4" w:space="0" w:color="auto"/>
              <w:right w:val="double" w:sz="4" w:space="0" w:color="auto"/>
            </w:tcBorders>
            <w:vAlign w:val="center"/>
            <w:hideMark/>
          </w:tcPr>
          <w:p w:rsidR="00597624" w:rsidRPr="00597338" w:rsidRDefault="00597624" w:rsidP="001D0C4A">
            <w:pPr>
              <w:ind w:left="162" w:right="18"/>
              <w:rPr>
                <w:rFonts w:ascii="Times New Roman" w:eastAsia="Times New Roman" w:hAnsi="Times New Roman" w:cs="Times New Roman"/>
                <w:color w:val="000000" w:themeColor="text1"/>
                <w:sz w:val="24"/>
                <w:szCs w:val="24"/>
              </w:rPr>
            </w:pPr>
            <w:r w:rsidRPr="00597338">
              <w:rPr>
                <w:rFonts w:ascii="Times New Roman" w:eastAsia="Times New Roman" w:hAnsi="Times New Roman" w:cs="Times New Roman"/>
                <w:color w:val="000000" w:themeColor="text1"/>
                <w:sz w:val="24"/>
                <w:szCs w:val="24"/>
              </w:rPr>
              <w:t>DEQ headquarters</w:t>
            </w:r>
          </w:p>
          <w:p w:rsidR="00816134" w:rsidRPr="00597338" w:rsidRDefault="00816134" w:rsidP="001D0C4A">
            <w:pPr>
              <w:ind w:left="162" w:right="18"/>
              <w:rPr>
                <w:rFonts w:asciiTheme="minorHAnsi" w:eastAsia="Times New Roman" w:hAnsiTheme="minorHAnsi" w:cstheme="minorHAnsi"/>
                <w:color w:val="000000" w:themeColor="text1"/>
                <w:sz w:val="24"/>
                <w:szCs w:val="24"/>
              </w:rPr>
            </w:pPr>
          </w:p>
        </w:tc>
      </w:tr>
      <w:tr w:rsidR="001D0C4A" w:rsidRPr="00597338" w:rsidTr="00285113">
        <w:trPr>
          <w:trHeight w:val="701"/>
        </w:trPr>
        <w:tc>
          <w:tcPr>
            <w:tcW w:w="5940" w:type="dxa"/>
            <w:tcBorders>
              <w:top w:val="single" w:sz="4" w:space="0" w:color="auto"/>
              <w:left w:val="double" w:sz="4" w:space="0" w:color="auto"/>
              <w:bottom w:val="double" w:sz="4" w:space="0" w:color="auto"/>
              <w:right w:val="single" w:sz="4" w:space="0" w:color="auto"/>
            </w:tcBorders>
            <w:hideMark/>
          </w:tcPr>
          <w:p w:rsidR="001D0C4A" w:rsidRDefault="001D0C4A" w:rsidP="001D0C4A">
            <w:pPr>
              <w:ind w:left="0" w:right="72"/>
              <w:rPr>
                <w:rFonts w:asciiTheme="minorHAnsi" w:eastAsia="Times New Roman" w:hAnsiTheme="minorHAnsi" w:cstheme="minorHAnsi"/>
                <w:color w:val="000000" w:themeColor="text1"/>
                <w:sz w:val="24"/>
                <w:szCs w:val="24"/>
              </w:rPr>
            </w:pPr>
            <w:r w:rsidRPr="001D0C4A">
              <w:rPr>
                <w:rFonts w:asciiTheme="minorHAnsi" w:eastAsia="Times New Roman" w:hAnsiTheme="minorHAnsi" w:cstheme="minorHAnsi"/>
                <w:color w:val="000000" w:themeColor="text1"/>
                <w:sz w:val="24"/>
                <w:szCs w:val="24"/>
              </w:rPr>
              <w:t>Oregon Department of Employment</w:t>
            </w:r>
          </w:p>
          <w:p w:rsidR="001D0C4A" w:rsidRPr="001D0C4A" w:rsidRDefault="001D0C4A" w:rsidP="001D0C4A">
            <w:pPr>
              <w:ind w:left="0" w:right="72"/>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F</w:t>
            </w:r>
            <w:r w:rsidRPr="001D0C4A">
              <w:rPr>
                <w:rFonts w:asciiTheme="minorHAnsi" w:eastAsia="Times New Roman" w:hAnsiTheme="minorHAnsi" w:cstheme="minorHAnsi"/>
                <w:color w:val="000000" w:themeColor="text1"/>
                <w:sz w:val="24"/>
                <w:szCs w:val="24"/>
              </w:rPr>
              <w:t>ourth quarter 2013</w:t>
            </w:r>
            <w:r>
              <w:rPr>
                <w:rFonts w:asciiTheme="minorHAnsi" w:eastAsia="Times New Roman" w:hAnsiTheme="minorHAnsi" w:cstheme="minorHAnsi"/>
                <w:color w:val="000000" w:themeColor="text1"/>
                <w:sz w:val="24"/>
                <w:szCs w:val="24"/>
              </w:rPr>
              <w:t xml:space="preserve"> data</w:t>
            </w:r>
            <w:r w:rsidRPr="001D0C4A">
              <w:rPr>
                <w:rFonts w:asciiTheme="minorHAnsi" w:eastAsia="Times New Roman" w:hAnsiTheme="minorHAnsi" w:cstheme="minorHAnsi"/>
                <w:color w:val="000000" w:themeColor="text1"/>
                <w:sz w:val="24"/>
                <w:szCs w:val="24"/>
              </w:rPr>
              <w:t xml:space="preserve"> </w:t>
            </w:r>
          </w:p>
        </w:tc>
        <w:tc>
          <w:tcPr>
            <w:tcW w:w="3276" w:type="dxa"/>
            <w:tcBorders>
              <w:top w:val="single" w:sz="4" w:space="0" w:color="auto"/>
              <w:left w:val="single" w:sz="4" w:space="0" w:color="auto"/>
              <w:bottom w:val="double" w:sz="4" w:space="0" w:color="auto"/>
              <w:right w:val="double" w:sz="4" w:space="0" w:color="auto"/>
            </w:tcBorders>
            <w:vAlign w:val="center"/>
            <w:hideMark/>
          </w:tcPr>
          <w:p w:rsidR="001D0C4A" w:rsidRPr="001D0C4A" w:rsidRDefault="001D0C4A" w:rsidP="001D0C4A">
            <w:pPr>
              <w:ind w:left="162" w:right="18"/>
              <w:rPr>
                <w:rFonts w:ascii="Times New Roman" w:eastAsia="Times New Roman" w:hAnsi="Times New Roman" w:cs="Times New Roman"/>
                <w:color w:val="000000" w:themeColor="text1"/>
                <w:sz w:val="24"/>
                <w:szCs w:val="24"/>
              </w:rPr>
            </w:pPr>
            <w:r w:rsidRPr="001D0C4A">
              <w:rPr>
                <w:rFonts w:ascii="Times New Roman" w:eastAsia="Times New Roman" w:hAnsi="Times New Roman" w:cs="Times New Roman"/>
                <w:color w:val="000000" w:themeColor="text1"/>
                <w:sz w:val="24"/>
                <w:szCs w:val="24"/>
              </w:rPr>
              <w:t>Employment Department</w:t>
            </w:r>
          </w:p>
          <w:p w:rsidR="001D0C4A" w:rsidRPr="001D0C4A" w:rsidRDefault="001D0C4A" w:rsidP="001D0C4A">
            <w:pPr>
              <w:ind w:left="162" w:right="18"/>
              <w:rPr>
                <w:rFonts w:ascii="Times New Roman" w:eastAsia="Times New Roman" w:hAnsi="Times New Roman" w:cs="Times New Roman"/>
                <w:color w:val="000000" w:themeColor="text1"/>
                <w:sz w:val="24"/>
                <w:szCs w:val="24"/>
              </w:rPr>
            </w:pPr>
            <w:r w:rsidRPr="001D0C4A">
              <w:rPr>
                <w:rFonts w:ascii="Times New Roman" w:eastAsia="Times New Roman" w:hAnsi="Times New Roman" w:cs="Times New Roman"/>
                <w:color w:val="000000" w:themeColor="text1"/>
                <w:sz w:val="24"/>
                <w:szCs w:val="24"/>
              </w:rPr>
              <w:t>875 Union Street NE</w:t>
            </w:r>
          </w:p>
          <w:p w:rsidR="00285113" w:rsidRPr="001D0C4A" w:rsidRDefault="001D0C4A" w:rsidP="00285113">
            <w:pPr>
              <w:ind w:left="162" w:right="18"/>
              <w:rPr>
                <w:rFonts w:ascii="Times New Roman" w:eastAsia="Times New Roman" w:hAnsi="Times New Roman" w:cs="Times New Roman"/>
                <w:color w:val="000000" w:themeColor="text1"/>
                <w:sz w:val="24"/>
                <w:szCs w:val="24"/>
              </w:rPr>
            </w:pPr>
            <w:r w:rsidRPr="001D0C4A">
              <w:rPr>
                <w:rFonts w:ascii="Times New Roman" w:eastAsia="Times New Roman" w:hAnsi="Times New Roman" w:cs="Times New Roman"/>
                <w:color w:val="000000" w:themeColor="text1"/>
                <w:sz w:val="24"/>
                <w:szCs w:val="24"/>
              </w:rPr>
              <w:t>Salem</w:t>
            </w:r>
            <w:r w:rsidR="00B22F3A">
              <w:rPr>
                <w:rFonts w:ascii="Times New Roman" w:eastAsia="Times New Roman" w:hAnsi="Times New Roman" w:cs="Times New Roman"/>
                <w:color w:val="000000" w:themeColor="text1"/>
                <w:sz w:val="24"/>
                <w:szCs w:val="24"/>
              </w:rPr>
              <w:t xml:space="preserve"> OR</w:t>
            </w:r>
            <w:r w:rsidRPr="001D0C4A">
              <w:rPr>
                <w:rFonts w:ascii="Times New Roman" w:eastAsia="Times New Roman" w:hAnsi="Times New Roman" w:cs="Times New Roman"/>
                <w:color w:val="000000" w:themeColor="text1"/>
                <w:sz w:val="24"/>
                <w:szCs w:val="24"/>
              </w:rPr>
              <w:t xml:space="preserve"> 973</w:t>
            </w:r>
            <w:r w:rsidR="00285113">
              <w:rPr>
                <w:rFonts w:ascii="Times New Roman" w:eastAsia="Times New Roman" w:hAnsi="Times New Roman" w:cs="Times New Roman"/>
                <w:color w:val="000000" w:themeColor="text1"/>
                <w:sz w:val="24"/>
                <w:szCs w:val="24"/>
              </w:rPr>
              <w:t>11</w:t>
            </w:r>
          </w:p>
          <w:p w:rsidR="001D0C4A" w:rsidRPr="001D0C4A" w:rsidRDefault="001D0C4A" w:rsidP="001D0C4A">
            <w:pPr>
              <w:ind w:left="162" w:right="18"/>
              <w:rPr>
                <w:rFonts w:ascii="Times New Roman" w:eastAsia="Times New Roman" w:hAnsi="Times New Roman" w:cs="Times New Roman"/>
                <w:color w:val="000000" w:themeColor="text1"/>
                <w:sz w:val="24"/>
                <w:szCs w:val="24"/>
              </w:rPr>
            </w:pPr>
          </w:p>
        </w:tc>
      </w:tr>
    </w:tbl>
    <w:p w:rsidR="00FF0CBE" w:rsidRDefault="00FF0CBE" w:rsidP="00B34CF8">
      <w:pPr>
        <w:ind w:left="720" w:right="18"/>
        <w:rPr>
          <w:color w:val="702C1C" w:themeColor="accent1" w:themeShade="80"/>
        </w:rPr>
      </w:pPr>
    </w:p>
    <w:p w:rsidR="001D0C4A" w:rsidRDefault="001D0C4A"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FF648F" w:rsidRDefault="00FF648F" w:rsidP="00B34CF8">
      <w:pPr>
        <w:ind w:left="360" w:right="18"/>
        <w:rPr>
          <w:rFonts w:asciiTheme="minorHAnsi" w:hAnsiTheme="minorHAnsi" w:cstheme="minorHAnsi"/>
        </w:rPr>
      </w:pPr>
    </w:p>
    <w:p w:rsidR="0027111E" w:rsidRDefault="00FF648F" w:rsidP="00B34CF8">
      <w:pPr>
        <w:ind w:left="360" w:right="18"/>
        <w:rPr>
          <w:rFonts w:asciiTheme="minorHAnsi" w:hAnsiTheme="minorHAnsi" w:cstheme="minorHAnsi"/>
        </w:rPr>
      </w:pPr>
      <w:r w:rsidRPr="00835038">
        <w:rPr>
          <w:rFonts w:asciiTheme="minorHAnsi" w:hAnsiTheme="minorHAnsi" w:cstheme="minorHAnsi"/>
        </w:rPr>
        <w:t>This rulemaking does not involve fees</w:t>
      </w:r>
      <w:r>
        <w:rPr>
          <w:rFonts w:asciiTheme="minorHAnsi" w:hAnsiTheme="minorHAnsi" w:cstheme="minorHAnsi"/>
        </w:rPr>
        <w:t>.</w:t>
      </w:r>
    </w:p>
    <w:p w:rsidR="00FF648F" w:rsidRDefault="00FF648F" w:rsidP="00B34CF8">
      <w:pPr>
        <w:ind w:left="360" w:right="18"/>
      </w:pPr>
    </w:p>
    <w:p w:rsidR="001D0C4A" w:rsidRDefault="001D0C4A" w:rsidP="00FF648F">
      <w:pPr>
        <w:shd w:val="clear" w:color="auto" w:fill="E2DDDB" w:themeFill="text2" w:themeFillTint="33"/>
        <w:ind w:left="0" w:right="18"/>
        <w:outlineLvl w:val="0"/>
        <w:rPr>
          <w:rFonts w:eastAsia="Times New Roman"/>
          <w:bCs/>
          <w:color w:val="32525C"/>
          <w:sz w:val="28"/>
          <w:szCs w:val="28"/>
        </w:rPr>
        <w:sectPr w:rsidR="001D0C4A" w:rsidSect="00B34CF8">
          <w:pgSz w:w="12240" w:h="15840"/>
          <w:pgMar w:top="1080" w:right="990" w:bottom="1080" w:left="360" w:header="720" w:footer="720" w:gutter="432"/>
          <w:cols w:space="720"/>
          <w:docGrid w:linePitch="360"/>
        </w:sectPr>
      </w:pPr>
      <w:bookmarkStart w:id="3" w:name="RANGE!A226:B243"/>
      <w:bookmarkEnd w:id="3"/>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FF648F" w:rsidRPr="00B15DF7" w:rsidRDefault="00FF648F" w:rsidP="00FF648F">
            <w:pPr>
              <w:shd w:val="clear" w:color="auto" w:fill="E2DDDB" w:themeFill="text2" w:themeFillTint="33"/>
              <w:ind w:left="0" w:right="18"/>
              <w:outlineLvl w:val="0"/>
              <w:rPr>
                <w:rFonts w:eastAsia="Times New Roman"/>
                <w:bCs/>
                <w:color w:val="32525C"/>
                <w:sz w:val="28"/>
                <w:szCs w:val="28"/>
              </w:rPr>
            </w:pPr>
          </w:p>
          <w:p w:rsidR="00AD7DB9" w:rsidRPr="00093277" w:rsidRDefault="00AD7DB9" w:rsidP="00064299">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 xml:space="preserve"> </w:t>
            </w:r>
            <w:r>
              <w:rPr>
                <w:rFonts w:eastAsia="Times New Roman"/>
                <w:bCs/>
                <w:color w:val="00494F"/>
                <w:sz w:val="28"/>
                <w:szCs w:val="28"/>
              </w:rPr>
              <w:tab/>
            </w:r>
            <w:r w:rsidRPr="00093277">
              <w:rPr>
                <w:rFonts w:eastAsia="Times New Roman"/>
                <w:bCs/>
                <w:color w:val="00494F"/>
                <w:sz w:val="28"/>
                <w:szCs w:val="28"/>
              </w:rPr>
              <w:t>Statement of fiscal and economic impact</w:t>
            </w:r>
            <w:r w:rsidRPr="00093277">
              <w:rPr>
                <w:rFonts w:eastAsia="Times New Roman"/>
                <w:bCs/>
                <w:color w:val="00494F"/>
                <w:sz w:val="28"/>
                <w:szCs w:val="28"/>
              </w:rPr>
              <w:tab/>
            </w:r>
            <w:r w:rsidRPr="00093277">
              <w:rPr>
                <w:rFonts w:eastAsia="Times New Roman"/>
                <w:bCs/>
                <w:color w:val="00494F"/>
                <w:sz w:val="28"/>
                <w:szCs w:val="28"/>
              </w:rPr>
              <w:tab/>
            </w:r>
            <w:r w:rsidRPr="00093277">
              <w:rPr>
                <w:rFonts w:eastAsia="Times New Roman"/>
                <w:bCs/>
                <w:color w:val="00494F"/>
                <w:sz w:val="28"/>
                <w:szCs w:val="28"/>
              </w:rPr>
              <w:tab/>
            </w:r>
            <w:r w:rsidRPr="00093277">
              <w:rPr>
                <w:rFonts w:eastAsia="Times New Roman"/>
                <w:bCs/>
                <w:color w:val="00494F"/>
                <w:sz w:val="28"/>
                <w:szCs w:val="28"/>
              </w:rPr>
              <w:tab/>
            </w:r>
            <w:hyperlink r:id="rId10" w:history="1">
              <w:r w:rsidRPr="00093277">
                <w:rPr>
                  <w:rStyle w:val="Hyperlink"/>
                  <w:rFonts w:asciiTheme="minorHAnsi" w:eastAsia="Times New Roman" w:hAnsiTheme="minorHAnsi" w:cstheme="minorHAnsi"/>
                  <w:sz w:val="22"/>
                  <w:szCs w:val="22"/>
                </w:rPr>
                <w:t>ORS 183.335 (2)(b)(E)</w:t>
              </w:r>
            </w:hyperlink>
          </w:p>
        </w:tc>
      </w:tr>
    </w:tbl>
    <w:p w:rsidR="00AD7DB9" w:rsidRDefault="00AD7DB9" w:rsidP="00AD7DB9">
      <w:pPr>
        <w:ind w:left="720" w:right="18"/>
      </w:pPr>
    </w:p>
    <w:p w:rsidR="00AD7DB9" w:rsidRPr="006807BF" w:rsidRDefault="00AD7DB9" w:rsidP="00AD7DB9">
      <w:pPr>
        <w:ind w:left="360" w:right="18"/>
        <w:rPr>
          <w:rFonts w:asciiTheme="majorHAnsi" w:eastAsia="Times New Roman" w:hAnsiTheme="majorHAnsi" w:cstheme="majorHAnsi"/>
          <w:bCs/>
          <w:color w:val="000000" w:themeColor="text1"/>
          <w:sz w:val="22"/>
          <w:szCs w:val="22"/>
        </w:rPr>
      </w:pPr>
      <w:r w:rsidRPr="006807BF">
        <w:rPr>
          <w:rFonts w:asciiTheme="majorHAnsi" w:eastAsia="Times New Roman" w:hAnsiTheme="majorHAnsi" w:cstheme="majorHAnsi"/>
          <w:bCs/>
          <w:color w:val="000000" w:themeColor="text1"/>
          <w:sz w:val="22"/>
          <w:szCs w:val="22"/>
        </w:rPr>
        <w:t>Fiscal and Economic Impact</w:t>
      </w:r>
    </w:p>
    <w:p w:rsidR="00727E11" w:rsidRDefault="00727E11" w:rsidP="00727E11">
      <w:pPr>
        <w:widowControl w:val="0"/>
        <w:ind w:left="360"/>
        <w:rPr>
          <w:sz w:val="22"/>
          <w:szCs w:val="22"/>
        </w:rPr>
      </w:pPr>
    </w:p>
    <w:p w:rsidR="0055188B" w:rsidRPr="00830F6B" w:rsidRDefault="0055188B" w:rsidP="0055188B">
      <w:pPr>
        <w:widowControl w:val="0"/>
        <w:ind w:left="360" w:right="374"/>
        <w:rPr>
          <w:rFonts w:asciiTheme="minorHAnsi" w:hAnsiTheme="minorHAnsi" w:cstheme="minorHAnsi"/>
        </w:rPr>
      </w:pPr>
      <w:r>
        <w:rPr>
          <w:rFonts w:asciiTheme="minorHAnsi" w:hAnsiTheme="minorHAnsi" w:cstheme="minorHAnsi"/>
        </w:rPr>
        <w:t xml:space="preserve">Since </w:t>
      </w:r>
      <w:r w:rsidR="00325D41">
        <w:rPr>
          <w:rFonts w:asciiTheme="minorHAnsi" w:hAnsiTheme="minorHAnsi" w:cstheme="minorHAnsi"/>
        </w:rPr>
        <w:t xml:space="preserve">the Jan. 1, 2013 </w:t>
      </w:r>
      <w:r>
        <w:rPr>
          <w:rFonts w:asciiTheme="minorHAnsi" w:hAnsiTheme="minorHAnsi" w:cstheme="minorHAnsi"/>
        </w:rPr>
        <w:t xml:space="preserve">implementation of phase </w:t>
      </w:r>
      <w:r w:rsidR="000D3F8F">
        <w:rPr>
          <w:rFonts w:asciiTheme="minorHAnsi" w:hAnsiTheme="minorHAnsi" w:cstheme="minorHAnsi"/>
        </w:rPr>
        <w:t xml:space="preserve">one </w:t>
      </w:r>
      <w:r>
        <w:rPr>
          <w:rFonts w:asciiTheme="minorHAnsi" w:hAnsiTheme="minorHAnsi" w:cstheme="minorHAnsi"/>
        </w:rPr>
        <w:t xml:space="preserve">of the Clean Fuels Program, </w:t>
      </w:r>
      <w:r w:rsidRPr="00B92C6F">
        <w:rPr>
          <w:rFonts w:asciiTheme="minorHAnsi" w:hAnsiTheme="minorHAnsi" w:cstheme="minorHAnsi"/>
          <w:color w:val="000000" w:themeColor="text1"/>
        </w:rPr>
        <w:t>importers and Oregon producers of transportation fuels</w:t>
      </w:r>
      <w:r>
        <w:rPr>
          <w:rFonts w:asciiTheme="minorHAnsi" w:hAnsiTheme="minorHAnsi" w:cstheme="minorHAnsi"/>
        </w:rPr>
        <w:t xml:space="preserve"> have </w:t>
      </w:r>
      <w:r w:rsidRPr="00727E11">
        <w:rPr>
          <w:rFonts w:asciiTheme="minorHAnsi" w:hAnsiTheme="minorHAnsi" w:cstheme="minorHAnsi"/>
        </w:rPr>
        <w:t>incur</w:t>
      </w:r>
      <w:r>
        <w:rPr>
          <w:rFonts w:asciiTheme="minorHAnsi" w:hAnsiTheme="minorHAnsi" w:cstheme="minorHAnsi"/>
        </w:rPr>
        <w:t>red</w:t>
      </w:r>
      <w:r w:rsidRPr="00727E11">
        <w:rPr>
          <w:rFonts w:asciiTheme="minorHAnsi" w:hAnsiTheme="minorHAnsi" w:cstheme="minorHAnsi"/>
        </w:rPr>
        <w:t xml:space="preserve"> costs to comply with </w:t>
      </w:r>
      <w:r w:rsidR="00872A8C">
        <w:rPr>
          <w:rFonts w:asciiTheme="minorHAnsi" w:hAnsiTheme="minorHAnsi" w:cstheme="minorHAnsi"/>
        </w:rPr>
        <w:t xml:space="preserve">phase one </w:t>
      </w:r>
      <w:r>
        <w:rPr>
          <w:rFonts w:asciiTheme="minorHAnsi" w:hAnsiTheme="minorHAnsi" w:cstheme="minorHAnsi"/>
        </w:rPr>
        <w:t xml:space="preserve">registration and recordkeeping </w:t>
      </w:r>
      <w:r w:rsidRPr="00727E11">
        <w:rPr>
          <w:rFonts w:asciiTheme="minorHAnsi" w:hAnsiTheme="minorHAnsi" w:cstheme="minorHAnsi"/>
        </w:rPr>
        <w:t xml:space="preserve">requirements. </w:t>
      </w:r>
      <w:r>
        <w:rPr>
          <w:rFonts w:asciiTheme="minorHAnsi" w:hAnsiTheme="minorHAnsi" w:cstheme="minorHAnsi"/>
        </w:rPr>
        <w:t xml:space="preserve">These </w:t>
      </w:r>
      <w:r w:rsidR="00C42021">
        <w:rPr>
          <w:rFonts w:asciiTheme="minorHAnsi" w:hAnsiTheme="minorHAnsi" w:cstheme="minorHAnsi"/>
          <w:color w:val="000000" w:themeColor="text1"/>
        </w:rPr>
        <w:t>proposed rules</w:t>
      </w:r>
      <w:r w:rsidR="000D3F8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would reduce the recordkeeping and reporting burden on some </w:t>
      </w:r>
      <w:r w:rsidRPr="00830F6B">
        <w:rPr>
          <w:rFonts w:asciiTheme="minorHAnsi" w:hAnsiTheme="minorHAnsi" w:cstheme="minorHAnsi"/>
          <w:color w:val="000000" w:themeColor="text1"/>
        </w:rPr>
        <w:t xml:space="preserve">businesses. </w:t>
      </w:r>
      <w:r w:rsidR="000D3F8F">
        <w:rPr>
          <w:rFonts w:asciiTheme="minorHAnsi" w:hAnsiTheme="minorHAnsi" w:cstheme="minorHAnsi"/>
          <w:color w:val="000000" w:themeColor="text1"/>
        </w:rPr>
        <w:t>The</w:t>
      </w:r>
      <w:r w:rsidR="001D0C4A">
        <w:rPr>
          <w:rFonts w:asciiTheme="minorHAnsi" w:hAnsiTheme="minorHAnsi" w:cstheme="minorHAnsi"/>
          <w:color w:val="000000" w:themeColor="text1"/>
        </w:rPr>
        <w:t xml:space="preserve"> </w:t>
      </w:r>
      <w:r w:rsidR="000D3F8F">
        <w:rPr>
          <w:rFonts w:asciiTheme="minorHAnsi" w:hAnsiTheme="minorHAnsi" w:cstheme="minorHAnsi"/>
        </w:rPr>
        <w:t>temporary rules</w:t>
      </w:r>
      <w:r w:rsidR="00D35488">
        <w:rPr>
          <w:rFonts w:asciiTheme="minorHAnsi" w:hAnsiTheme="minorHAnsi" w:cstheme="minorHAnsi"/>
        </w:rPr>
        <w:t>,</w:t>
      </w:r>
      <w:r w:rsidR="00872A8C">
        <w:rPr>
          <w:rFonts w:asciiTheme="minorHAnsi" w:hAnsiTheme="minorHAnsi" w:cstheme="minorHAnsi"/>
        </w:rPr>
        <w:t xml:space="preserve"> </w:t>
      </w:r>
      <w:r w:rsidR="00D35488">
        <w:rPr>
          <w:rFonts w:asciiTheme="minorHAnsi" w:hAnsiTheme="minorHAnsi" w:cstheme="minorHAnsi"/>
          <w:color w:val="000000"/>
        </w:rPr>
        <w:t>e</w:t>
      </w:r>
      <w:r w:rsidR="00D35488" w:rsidRPr="00D35488">
        <w:rPr>
          <w:rFonts w:asciiTheme="minorHAnsi" w:hAnsiTheme="minorHAnsi" w:cstheme="minorHAnsi"/>
          <w:color w:val="000000"/>
        </w:rPr>
        <w:t xml:space="preserve">ffective </w:t>
      </w:r>
      <w:r w:rsidR="00D35488">
        <w:rPr>
          <w:rFonts w:asciiTheme="minorHAnsi" w:hAnsiTheme="minorHAnsi" w:cstheme="minorHAnsi"/>
          <w:color w:val="000000"/>
        </w:rPr>
        <w:t xml:space="preserve">from </w:t>
      </w:r>
      <w:r w:rsidR="00D35488" w:rsidRPr="00D35488">
        <w:rPr>
          <w:rFonts w:asciiTheme="minorHAnsi" w:hAnsiTheme="minorHAnsi" w:cstheme="minorHAnsi"/>
          <w:color w:val="000000"/>
        </w:rPr>
        <w:t>Jan. 1, 2014</w:t>
      </w:r>
      <w:r w:rsidR="00B22F3A">
        <w:rPr>
          <w:rFonts w:asciiTheme="minorHAnsi" w:hAnsiTheme="minorHAnsi" w:cstheme="minorHAnsi"/>
          <w:color w:val="000000"/>
        </w:rPr>
        <w:t>,</w:t>
      </w:r>
      <w:r w:rsidR="00D35488" w:rsidRPr="00D35488">
        <w:rPr>
          <w:rFonts w:asciiTheme="minorHAnsi" w:hAnsiTheme="minorHAnsi" w:cstheme="minorHAnsi"/>
          <w:color w:val="000000"/>
        </w:rPr>
        <w:t xml:space="preserve"> thr</w:t>
      </w:r>
      <w:r w:rsidR="00D35488">
        <w:rPr>
          <w:rFonts w:asciiTheme="minorHAnsi" w:hAnsiTheme="minorHAnsi" w:cstheme="minorHAnsi"/>
          <w:color w:val="000000"/>
        </w:rPr>
        <w:t xml:space="preserve">ough </w:t>
      </w:r>
      <w:r w:rsidR="00D35488" w:rsidRPr="00D35488">
        <w:rPr>
          <w:rFonts w:asciiTheme="minorHAnsi" w:hAnsiTheme="minorHAnsi" w:cstheme="minorHAnsi"/>
          <w:color w:val="000000"/>
        </w:rPr>
        <w:t>June 30, 2014</w:t>
      </w:r>
      <w:r w:rsidR="00D35488">
        <w:rPr>
          <w:rFonts w:asciiTheme="minorHAnsi" w:hAnsiTheme="minorHAnsi" w:cstheme="minorHAnsi"/>
          <w:color w:val="000000"/>
        </w:rPr>
        <w:t>,</w:t>
      </w:r>
      <w:r w:rsidR="00872A8C" w:rsidRPr="00D35488">
        <w:rPr>
          <w:rFonts w:asciiTheme="minorHAnsi" w:hAnsiTheme="minorHAnsi" w:cstheme="minorHAnsi"/>
        </w:rPr>
        <w:t xml:space="preserve"> </w:t>
      </w:r>
      <w:r w:rsidR="00872A8C">
        <w:rPr>
          <w:rFonts w:asciiTheme="minorHAnsi" w:hAnsiTheme="minorHAnsi" w:cstheme="minorHAnsi"/>
        </w:rPr>
        <w:t>include these improvements</w:t>
      </w:r>
      <w:r w:rsidR="001D0C4A">
        <w:rPr>
          <w:rFonts w:asciiTheme="minorHAnsi" w:hAnsiTheme="minorHAnsi" w:cstheme="minorHAnsi"/>
        </w:rPr>
        <w:t>.</w:t>
      </w:r>
      <w:r w:rsidRPr="00830F6B">
        <w:rPr>
          <w:rFonts w:asciiTheme="minorHAnsi" w:hAnsiTheme="minorHAnsi" w:cstheme="minorHAnsi"/>
        </w:rPr>
        <w:t xml:space="preserve"> </w:t>
      </w:r>
      <w:r w:rsidR="001D0C4A">
        <w:rPr>
          <w:rFonts w:asciiTheme="minorHAnsi" w:hAnsiTheme="minorHAnsi" w:cstheme="minorHAnsi"/>
        </w:rPr>
        <w:t xml:space="preserve">Failure </w:t>
      </w:r>
      <w:r w:rsidR="00872A8C">
        <w:rPr>
          <w:rFonts w:asciiTheme="minorHAnsi" w:hAnsiTheme="minorHAnsi" w:cstheme="minorHAnsi"/>
        </w:rPr>
        <w:t xml:space="preserve">to incorporate these </w:t>
      </w:r>
      <w:r w:rsidR="000D3F8F">
        <w:rPr>
          <w:rFonts w:asciiTheme="minorHAnsi" w:hAnsiTheme="minorHAnsi" w:cstheme="minorHAnsi"/>
        </w:rPr>
        <w:t xml:space="preserve">improvements </w:t>
      </w:r>
      <w:r w:rsidR="00872A8C">
        <w:rPr>
          <w:rFonts w:asciiTheme="minorHAnsi" w:hAnsiTheme="minorHAnsi" w:cstheme="minorHAnsi"/>
        </w:rPr>
        <w:t xml:space="preserve">into permanent </w:t>
      </w:r>
      <w:r w:rsidRPr="00830F6B">
        <w:rPr>
          <w:rFonts w:asciiTheme="minorHAnsi" w:hAnsiTheme="minorHAnsi" w:cstheme="minorHAnsi"/>
        </w:rPr>
        <w:t>rules would reinstate the more burdensome requirements.</w:t>
      </w:r>
    </w:p>
    <w:p w:rsidR="0055188B" w:rsidRDefault="0055188B" w:rsidP="0055188B">
      <w:pPr>
        <w:widowControl w:val="0"/>
        <w:ind w:left="360" w:right="374"/>
        <w:rPr>
          <w:rFonts w:asciiTheme="minorHAnsi" w:hAnsiTheme="minorHAnsi" w:cstheme="minorHAnsi"/>
        </w:rPr>
      </w:pPr>
    </w:p>
    <w:p w:rsidR="00641BDA" w:rsidRDefault="0055188B" w:rsidP="0055188B">
      <w:pPr>
        <w:widowControl w:val="0"/>
        <w:ind w:left="360" w:right="378"/>
        <w:rPr>
          <w:rFonts w:asciiTheme="minorHAnsi" w:hAnsiTheme="minorHAnsi" w:cstheme="minorHAnsi"/>
        </w:rPr>
      </w:pPr>
      <w:r>
        <w:rPr>
          <w:rFonts w:asciiTheme="minorHAnsi" w:hAnsiTheme="minorHAnsi" w:cstheme="minorHAnsi"/>
        </w:rPr>
        <w:t>The original 2012 rulemaking</w:t>
      </w:r>
      <w:r w:rsidR="000D3F8F">
        <w:rPr>
          <w:rFonts w:asciiTheme="minorHAnsi" w:hAnsiTheme="minorHAnsi" w:cstheme="minorHAnsi"/>
        </w:rPr>
        <w:t xml:space="preserve"> implemented Jan</w:t>
      </w:r>
      <w:r w:rsidR="00872A8C">
        <w:rPr>
          <w:rFonts w:asciiTheme="minorHAnsi" w:hAnsiTheme="minorHAnsi" w:cstheme="minorHAnsi"/>
        </w:rPr>
        <w:t>.</w:t>
      </w:r>
      <w:r w:rsidR="000D3F8F">
        <w:rPr>
          <w:rFonts w:asciiTheme="minorHAnsi" w:hAnsiTheme="minorHAnsi" w:cstheme="minorHAnsi"/>
        </w:rPr>
        <w:t xml:space="preserve"> 1, 2013</w:t>
      </w:r>
      <w:r w:rsidR="00B22F3A">
        <w:rPr>
          <w:rFonts w:asciiTheme="minorHAnsi" w:hAnsiTheme="minorHAnsi" w:cstheme="minorHAnsi"/>
        </w:rPr>
        <w:t>,</w:t>
      </w:r>
      <w:r>
        <w:rPr>
          <w:rFonts w:asciiTheme="minorHAnsi" w:hAnsiTheme="minorHAnsi" w:cstheme="minorHAnsi"/>
        </w:rPr>
        <w:t xml:space="preserve"> included an analysis of</w:t>
      </w:r>
      <w:r w:rsidR="000D3F8F">
        <w:rPr>
          <w:rFonts w:asciiTheme="minorHAnsi" w:hAnsiTheme="minorHAnsi" w:cstheme="minorHAnsi"/>
        </w:rPr>
        <w:t xml:space="preserve"> fiscal and economic impacts of registration and reporting.</w:t>
      </w:r>
      <w:r>
        <w:rPr>
          <w:rFonts w:asciiTheme="minorHAnsi" w:hAnsiTheme="minorHAnsi" w:cstheme="minorHAnsi"/>
        </w:rPr>
        <w:t xml:space="preserve"> </w:t>
      </w:r>
      <w:r w:rsidR="000D3F8F">
        <w:rPr>
          <w:rFonts w:asciiTheme="minorHAnsi" w:hAnsiTheme="minorHAnsi" w:cstheme="minorHAnsi"/>
        </w:rPr>
        <w:t xml:space="preserve">The analysis considered </w:t>
      </w:r>
      <w:r>
        <w:rPr>
          <w:rFonts w:asciiTheme="minorHAnsi" w:hAnsiTheme="minorHAnsi" w:cstheme="minorHAnsi"/>
        </w:rPr>
        <w:t>how increase</w:t>
      </w:r>
      <w:r w:rsidR="000D3F8F">
        <w:rPr>
          <w:rFonts w:asciiTheme="minorHAnsi" w:hAnsiTheme="minorHAnsi" w:cstheme="minorHAnsi"/>
        </w:rPr>
        <w:t>d</w:t>
      </w:r>
      <w:r>
        <w:rPr>
          <w:rFonts w:asciiTheme="minorHAnsi" w:hAnsiTheme="minorHAnsi" w:cstheme="minorHAnsi"/>
        </w:rPr>
        <w:t xml:space="preserve"> cost</w:t>
      </w:r>
      <w:r w:rsidR="000D3F8F">
        <w:rPr>
          <w:rFonts w:asciiTheme="minorHAnsi" w:hAnsiTheme="minorHAnsi" w:cstheme="minorHAnsi"/>
        </w:rPr>
        <w:t>s</w:t>
      </w:r>
      <w:r>
        <w:rPr>
          <w:rFonts w:asciiTheme="minorHAnsi" w:hAnsiTheme="minorHAnsi" w:cstheme="minorHAnsi"/>
        </w:rPr>
        <w:t xml:space="preserve"> of fuel to offset the cost of program compliance would affect state agencies, local governments, the public and businesses</w:t>
      </w:r>
      <w:r w:rsidRPr="00727E11">
        <w:rPr>
          <w:rFonts w:asciiTheme="minorHAnsi" w:hAnsiTheme="minorHAnsi" w:cstheme="minorHAnsi"/>
        </w:rPr>
        <w:t xml:space="preserve">. </w:t>
      </w:r>
      <w:r>
        <w:rPr>
          <w:rFonts w:asciiTheme="minorHAnsi" w:hAnsiTheme="minorHAnsi" w:cstheme="minorHAnsi"/>
        </w:rPr>
        <w:t xml:space="preserve">The analysis concluded that </w:t>
      </w:r>
      <w:r w:rsidRPr="00727E11">
        <w:rPr>
          <w:rFonts w:asciiTheme="minorHAnsi" w:hAnsiTheme="minorHAnsi" w:cstheme="minorHAnsi"/>
        </w:rPr>
        <w:t xml:space="preserve">across the roughly two billion gallons of gasoline and diesel fuel sold per year in Oregon, the cost to the consumer would be </w:t>
      </w:r>
      <w:r w:rsidRPr="00E552E0">
        <w:rPr>
          <w:rFonts w:asciiTheme="minorHAnsi" w:hAnsiTheme="minorHAnsi" w:cstheme="minorHAnsi"/>
        </w:rPr>
        <w:t>2/100</w:t>
      </w:r>
      <w:r w:rsidRPr="00E552E0">
        <w:rPr>
          <w:rFonts w:asciiTheme="minorHAnsi" w:hAnsiTheme="minorHAnsi" w:cstheme="minorHAnsi"/>
          <w:vertAlign w:val="superscript"/>
        </w:rPr>
        <w:t>th</w:t>
      </w:r>
      <w:r w:rsidRPr="00727E11">
        <w:rPr>
          <w:rFonts w:asciiTheme="minorHAnsi" w:hAnsiTheme="minorHAnsi" w:cstheme="minorHAnsi"/>
        </w:rPr>
        <w:t xml:space="preserve"> of one penny per gallon</w:t>
      </w:r>
      <w:r w:rsidR="00BB6582">
        <w:rPr>
          <w:rFonts w:asciiTheme="minorHAnsi" w:hAnsiTheme="minorHAnsi" w:cstheme="minorHAnsi"/>
        </w:rPr>
        <w:t xml:space="preserve"> if those costs were passed on to consumers</w:t>
      </w:r>
      <w:r w:rsidR="00D35488">
        <w:rPr>
          <w:rFonts w:asciiTheme="minorHAnsi" w:hAnsiTheme="minorHAnsi" w:cstheme="minorHAnsi"/>
        </w:rPr>
        <w:t xml:space="preserve">. </w:t>
      </w:r>
      <w:r>
        <w:rPr>
          <w:rFonts w:asciiTheme="minorHAnsi" w:hAnsiTheme="minorHAnsi" w:cstheme="minorHAnsi"/>
        </w:rPr>
        <w:t xml:space="preserve">This rulemaking </w:t>
      </w:r>
      <w:r w:rsidR="00D35488">
        <w:rPr>
          <w:rFonts w:asciiTheme="minorHAnsi" w:hAnsiTheme="minorHAnsi" w:cstheme="minorHAnsi"/>
        </w:rPr>
        <w:t>would</w:t>
      </w:r>
      <w:r>
        <w:rPr>
          <w:rFonts w:asciiTheme="minorHAnsi" w:hAnsiTheme="minorHAnsi" w:cstheme="minorHAnsi"/>
        </w:rPr>
        <w:t xml:space="preserve"> not increase </w:t>
      </w:r>
      <w:r w:rsidR="00D35488">
        <w:rPr>
          <w:rFonts w:asciiTheme="minorHAnsi" w:hAnsiTheme="minorHAnsi" w:cstheme="minorHAnsi"/>
        </w:rPr>
        <w:t xml:space="preserve">and may decrease costs to consumers </w:t>
      </w:r>
      <w:r>
        <w:rPr>
          <w:rFonts w:asciiTheme="minorHAnsi" w:hAnsiTheme="minorHAnsi" w:cstheme="minorHAnsi"/>
        </w:rPr>
        <w:t>slightly.</w:t>
      </w:r>
    </w:p>
    <w:p w:rsidR="00641BDA" w:rsidRDefault="00641BDA">
      <w:pPr>
        <w:widowControl w:val="0"/>
        <w:ind w:left="360" w:right="378"/>
        <w:rPr>
          <w:rFonts w:asciiTheme="minorHAnsi" w:hAnsiTheme="minorHAnsi" w:cstheme="minorHAnsi"/>
        </w:rPr>
      </w:pPr>
    </w:p>
    <w:p w:rsidR="00641BDA" w:rsidRDefault="00AD7DB9">
      <w:pPr>
        <w:ind w:left="360" w:right="378"/>
        <w:rPr>
          <w:rFonts w:ascii="Times New Roman" w:eastAsia="Times New Roman" w:hAnsi="Times New Roman" w:cs="Times New Roman"/>
          <w:color w:val="000000" w:themeColor="text1"/>
          <w:sz w:val="16"/>
          <w:szCs w:val="16"/>
        </w:rPr>
      </w:pPr>
      <w:r w:rsidRPr="006807BF">
        <w:rPr>
          <w:rFonts w:asciiTheme="majorHAnsi" w:eastAsia="Times New Roman" w:hAnsiTheme="majorHAnsi" w:cstheme="majorHAnsi"/>
          <w:bCs/>
          <w:color w:val="000000" w:themeColor="text1"/>
          <w:sz w:val="22"/>
          <w:szCs w:val="22"/>
        </w:rPr>
        <w:t>Statement of Cost of Compliance</w:t>
      </w:r>
      <w:r w:rsidRPr="006807BF">
        <w:rPr>
          <w:rFonts w:ascii="Times New Roman" w:eastAsia="Times New Roman" w:hAnsi="Times New Roman" w:cs="Times New Roman"/>
          <w:bCs/>
          <w:color w:val="000000" w:themeColor="text1"/>
        </w:rPr>
        <w:tab/>
        <w:t xml:space="preserve"> </w:t>
      </w:r>
      <w:r w:rsidRPr="006807BF">
        <w:rPr>
          <w:rFonts w:asciiTheme="minorHAnsi" w:eastAsia="Times New Roman" w:hAnsiTheme="minorHAnsi" w:cstheme="minorHAnsi"/>
          <w:color w:val="000000" w:themeColor="text1"/>
          <w:sz w:val="22"/>
          <w:szCs w:val="22"/>
        </w:rPr>
        <w:t xml:space="preserve"> </w:t>
      </w:r>
    </w:p>
    <w:p w:rsidR="00641BDA" w:rsidRDefault="00AD7DB9">
      <w:pPr>
        <w:spacing w:after="120"/>
        <w:ind w:left="0" w:right="37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p>
    <w:p w:rsidR="00641BDA" w:rsidRDefault="00AD7DB9">
      <w:pPr>
        <w:pStyle w:val="ListParagraph"/>
        <w:numPr>
          <w:ilvl w:val="0"/>
          <w:numId w:val="24"/>
        </w:numPr>
        <w:spacing w:after="120"/>
        <w:ind w:right="374"/>
        <w:contextualSpacing w:val="0"/>
        <w:outlineLvl w:val="0"/>
        <w:rPr>
          <w:rFonts w:asciiTheme="majorHAnsi" w:eastAsia="Times New Roman" w:hAnsiTheme="majorHAnsi" w:cstheme="majorHAnsi"/>
          <w:bCs/>
          <w:color w:val="000000" w:themeColor="text1"/>
          <w:sz w:val="22"/>
          <w:szCs w:val="22"/>
        </w:rPr>
      </w:pPr>
      <w:r w:rsidRPr="00EE0B71">
        <w:rPr>
          <w:rFonts w:asciiTheme="majorHAnsi" w:eastAsia="Times New Roman" w:hAnsiTheme="majorHAnsi" w:cstheme="majorHAnsi"/>
          <w:bCs/>
          <w:color w:val="000000" w:themeColor="text1"/>
          <w:sz w:val="22"/>
          <w:szCs w:val="22"/>
        </w:rPr>
        <w:t>State agencies</w:t>
      </w:r>
      <w:r w:rsidRPr="00EE0B71">
        <w:rPr>
          <w:rFonts w:asciiTheme="majorHAnsi" w:eastAsia="Times New Roman" w:hAnsiTheme="majorHAnsi" w:cstheme="majorHAnsi"/>
          <w:bCs/>
          <w:color w:val="000000" w:themeColor="text1"/>
          <w:sz w:val="22"/>
          <w:szCs w:val="22"/>
        </w:rPr>
        <w:tab/>
      </w:r>
    </w:p>
    <w:p w:rsidR="007D388B" w:rsidRDefault="00815AF4">
      <w:pPr>
        <w:spacing w:after="120"/>
        <w:ind w:right="374" w:hanging="1800"/>
        <w:outlineLvl w:val="0"/>
        <w:rPr>
          <w:rFonts w:asciiTheme="minorHAnsi" w:hAnsiTheme="minorHAnsi" w:cstheme="minorHAnsi"/>
          <w:spacing w:val="-3"/>
        </w:rPr>
      </w:pPr>
      <w:r w:rsidRPr="00815AF4">
        <w:rPr>
          <w:rFonts w:asciiTheme="minorHAnsi" w:hAnsiTheme="minorHAnsi" w:cstheme="minorHAnsi"/>
          <w:iCs/>
          <w:color w:val="000000" w:themeColor="text1"/>
          <w:u w:val="single"/>
        </w:rPr>
        <w:t>Direct Impacts</w:t>
      </w:r>
      <w:r w:rsidR="000D3F8F">
        <w:rPr>
          <w:rFonts w:asciiTheme="minorHAnsi" w:hAnsiTheme="minorHAnsi" w:cstheme="minorHAnsi"/>
          <w:iCs/>
          <w:color w:val="000000" w:themeColor="text1"/>
        </w:rPr>
        <w:tab/>
      </w:r>
      <w:r w:rsidR="0068707F" w:rsidRPr="0068707F">
        <w:rPr>
          <w:rFonts w:asciiTheme="minorHAnsi" w:hAnsiTheme="minorHAnsi" w:cstheme="minorHAnsi"/>
          <w:iCs/>
          <w:color w:val="000000" w:themeColor="text1"/>
        </w:rPr>
        <w:t xml:space="preserve">The proposed rules would </w:t>
      </w:r>
      <w:r w:rsidR="00427862" w:rsidRPr="00727E11">
        <w:rPr>
          <w:rFonts w:asciiTheme="minorHAnsi" w:hAnsiTheme="minorHAnsi" w:cstheme="minorHAnsi"/>
          <w:iCs/>
        </w:rPr>
        <w:t xml:space="preserve">not </w:t>
      </w:r>
      <w:r w:rsidR="003C6965">
        <w:rPr>
          <w:rFonts w:asciiTheme="minorHAnsi" w:hAnsiTheme="minorHAnsi" w:cstheme="minorHAnsi"/>
          <w:iCs/>
        </w:rPr>
        <w:t xml:space="preserve">affect state agencies </w:t>
      </w:r>
      <w:r w:rsidR="00427862" w:rsidRPr="00727E11">
        <w:rPr>
          <w:rFonts w:asciiTheme="minorHAnsi" w:hAnsiTheme="minorHAnsi" w:cstheme="minorHAnsi"/>
          <w:iCs/>
        </w:rPr>
        <w:t xml:space="preserve">directly. </w:t>
      </w:r>
      <w:r w:rsidR="00BB4D27" w:rsidRPr="008B3034">
        <w:rPr>
          <w:rFonts w:asciiTheme="minorHAnsi" w:hAnsiTheme="minorHAnsi" w:cstheme="minorHAnsi"/>
          <w:iCs/>
        </w:rPr>
        <w:t>The proposed rules</w:t>
      </w:r>
      <w:r w:rsidR="00BB4D27">
        <w:rPr>
          <w:rFonts w:asciiTheme="minorHAnsi" w:hAnsiTheme="minorHAnsi" w:cstheme="minorHAnsi"/>
          <w:iCs/>
        </w:rPr>
        <w:t xml:space="preserve"> </w:t>
      </w:r>
      <w:r w:rsidR="00BB4D27">
        <w:rPr>
          <w:rFonts w:asciiTheme="minorHAnsi" w:hAnsiTheme="minorHAnsi" w:cstheme="minorHAnsi"/>
          <w:spacing w:val="-3"/>
        </w:rPr>
        <w:t xml:space="preserve">would decrease reporting and recordkeeping requirements for </w:t>
      </w:r>
      <w:r w:rsidR="00BB4D27" w:rsidRPr="00B92C6F">
        <w:rPr>
          <w:rFonts w:asciiTheme="minorHAnsi" w:hAnsiTheme="minorHAnsi" w:cstheme="minorHAnsi"/>
          <w:color w:val="000000" w:themeColor="text1"/>
        </w:rPr>
        <w:t>importers and Oregon producers of transportation fuels</w:t>
      </w:r>
      <w:r w:rsidR="00BB4D27">
        <w:rPr>
          <w:rFonts w:asciiTheme="minorHAnsi" w:hAnsiTheme="minorHAnsi" w:cstheme="minorHAnsi"/>
          <w:spacing w:val="-3"/>
        </w:rPr>
        <w:t xml:space="preserve">. </w:t>
      </w:r>
    </w:p>
    <w:p w:rsidR="007D388B" w:rsidRDefault="000D3F8F">
      <w:pPr>
        <w:ind w:right="378" w:hanging="1800"/>
        <w:outlineLvl w:val="0"/>
        <w:rPr>
          <w:rFonts w:asciiTheme="minorHAnsi" w:hAnsiTheme="minorHAnsi" w:cstheme="minorHAnsi"/>
          <w:spacing w:val="-3"/>
        </w:rPr>
      </w:pPr>
      <w:r>
        <w:rPr>
          <w:rFonts w:asciiTheme="minorHAnsi" w:hAnsiTheme="minorHAnsi" w:cstheme="minorHAnsi"/>
          <w:iCs/>
          <w:color w:val="000000" w:themeColor="text1"/>
          <w:u w:val="single"/>
        </w:rPr>
        <w:t>Indirect Impacts</w:t>
      </w:r>
      <w:r w:rsidR="00815AF4" w:rsidRPr="00815AF4">
        <w:rPr>
          <w:rFonts w:asciiTheme="minorHAnsi" w:hAnsiTheme="minorHAnsi" w:cstheme="minorHAnsi"/>
          <w:iCs/>
          <w:color w:val="000000" w:themeColor="text1"/>
        </w:rPr>
        <w:tab/>
      </w:r>
      <w:r w:rsidR="00BB4D27">
        <w:rPr>
          <w:rFonts w:asciiTheme="minorHAnsi" w:hAnsiTheme="minorHAnsi" w:cstheme="minorHAnsi"/>
          <w:spacing w:val="-3"/>
        </w:rPr>
        <w:t>If these regulated parties were to reduce the cost of fuel to reflect any cost savings associated with these decreased requirements, there could be an economic benefit to state agencies.</w:t>
      </w:r>
    </w:p>
    <w:p w:rsidR="00641BDA" w:rsidRDefault="00641BDA">
      <w:pPr>
        <w:ind w:left="1080" w:right="378"/>
        <w:outlineLvl w:val="0"/>
        <w:rPr>
          <w:rFonts w:asciiTheme="majorHAnsi" w:eastAsia="Times New Roman" w:hAnsiTheme="majorHAnsi" w:cstheme="majorHAnsi"/>
          <w:bCs/>
          <w:color w:val="000000" w:themeColor="text1"/>
          <w:sz w:val="22"/>
          <w:szCs w:val="22"/>
        </w:rPr>
      </w:pPr>
    </w:p>
    <w:p w:rsidR="00641BDA" w:rsidRDefault="00AD7DB9">
      <w:pPr>
        <w:pStyle w:val="ListParagraph"/>
        <w:numPr>
          <w:ilvl w:val="0"/>
          <w:numId w:val="24"/>
        </w:numPr>
        <w:spacing w:after="120"/>
        <w:ind w:right="374"/>
        <w:contextualSpacing w:val="0"/>
        <w:outlineLvl w:val="0"/>
        <w:rPr>
          <w:rFonts w:ascii="Times New Roman" w:eastAsia="Times New Roman" w:hAnsi="Times New Roman" w:cs="Times New Roman"/>
          <w:bCs/>
        </w:rPr>
      </w:pPr>
      <w:r w:rsidRPr="00E76EA0">
        <w:rPr>
          <w:rFonts w:asciiTheme="majorHAnsi" w:eastAsia="Times New Roman" w:hAnsiTheme="majorHAnsi" w:cstheme="majorHAnsi"/>
          <w:bCs/>
          <w:color w:val="000000" w:themeColor="text1"/>
          <w:sz w:val="22"/>
          <w:szCs w:val="22"/>
        </w:rPr>
        <w:t>DEQ</w:t>
      </w:r>
      <w:r w:rsidRPr="00E76EA0">
        <w:rPr>
          <w:rFonts w:asciiTheme="majorHAnsi" w:eastAsia="Times New Roman" w:hAnsiTheme="majorHAnsi" w:cstheme="majorHAnsi"/>
          <w:bCs/>
          <w:color w:val="000000" w:themeColor="text1"/>
          <w:sz w:val="22"/>
          <w:szCs w:val="22"/>
        </w:rPr>
        <w:tab/>
      </w:r>
    </w:p>
    <w:p w:rsidR="00641BDA" w:rsidRDefault="003D61F8">
      <w:pPr>
        <w:pStyle w:val="ListParagraph"/>
        <w:ind w:left="1080" w:right="378"/>
        <w:outlineLvl w:val="0"/>
        <w:rPr>
          <w:rFonts w:ascii="Times New Roman" w:eastAsia="Times New Roman" w:hAnsi="Times New Roman" w:cs="Times New Roman"/>
          <w:bCs/>
          <w:color w:val="000000" w:themeColor="text1"/>
        </w:rPr>
      </w:pPr>
      <w:r w:rsidRPr="00247509">
        <w:rPr>
          <w:rFonts w:asciiTheme="minorHAnsi" w:hAnsiTheme="minorHAnsi" w:cstheme="minorHAnsi"/>
          <w:iCs/>
          <w:color w:val="000000" w:themeColor="text1"/>
        </w:rPr>
        <w:t xml:space="preserve">The proposed rules would </w:t>
      </w:r>
      <w:r w:rsidRPr="00727E11">
        <w:rPr>
          <w:rFonts w:asciiTheme="minorHAnsi" w:hAnsiTheme="minorHAnsi" w:cstheme="minorHAnsi"/>
          <w:iCs/>
        </w:rPr>
        <w:t xml:space="preserve">not </w:t>
      </w:r>
      <w:r>
        <w:rPr>
          <w:rFonts w:asciiTheme="minorHAnsi" w:hAnsiTheme="minorHAnsi" w:cstheme="minorHAnsi"/>
          <w:iCs/>
        </w:rPr>
        <w:t xml:space="preserve">affect DEQ </w:t>
      </w:r>
      <w:r w:rsidRPr="00727E11">
        <w:rPr>
          <w:rFonts w:asciiTheme="minorHAnsi" w:hAnsiTheme="minorHAnsi" w:cstheme="minorHAnsi"/>
          <w:iCs/>
        </w:rPr>
        <w:t>directly</w:t>
      </w:r>
      <w:r>
        <w:rPr>
          <w:rFonts w:asciiTheme="minorHAnsi" w:hAnsiTheme="minorHAnsi" w:cstheme="minorHAnsi"/>
          <w:iCs/>
        </w:rPr>
        <w:t xml:space="preserve"> or indirectly. This proposal </w:t>
      </w:r>
      <w:r>
        <w:rPr>
          <w:rFonts w:asciiTheme="minorHAnsi" w:hAnsiTheme="minorHAnsi" w:cstheme="minorHAnsi"/>
          <w:iCs/>
          <w:color w:val="000000" w:themeColor="text1"/>
        </w:rPr>
        <w:t xml:space="preserve">would not </w:t>
      </w:r>
      <w:r w:rsidR="003C6965">
        <w:rPr>
          <w:rFonts w:asciiTheme="minorHAnsi" w:hAnsiTheme="minorHAnsi" w:cstheme="minorHAnsi"/>
          <w:iCs/>
          <w:color w:val="000000" w:themeColor="text1"/>
        </w:rPr>
        <w:t>change ongoing technical assistance</w:t>
      </w:r>
      <w:r>
        <w:rPr>
          <w:rFonts w:asciiTheme="minorHAnsi" w:hAnsiTheme="minorHAnsi" w:cstheme="minorHAnsi"/>
          <w:iCs/>
          <w:color w:val="000000" w:themeColor="text1"/>
        </w:rPr>
        <w:t xml:space="preserve"> and </w:t>
      </w:r>
      <w:r w:rsidR="00CE241E">
        <w:rPr>
          <w:rFonts w:asciiTheme="minorHAnsi" w:hAnsiTheme="minorHAnsi" w:cstheme="minorHAnsi"/>
          <w:iCs/>
          <w:color w:val="000000" w:themeColor="text1"/>
        </w:rPr>
        <w:t>DEQ</w:t>
      </w:r>
      <w:r w:rsidR="003C6965">
        <w:rPr>
          <w:rFonts w:asciiTheme="minorHAnsi" w:hAnsiTheme="minorHAnsi" w:cstheme="minorHAnsi"/>
          <w:iCs/>
          <w:color w:val="000000" w:themeColor="text1"/>
        </w:rPr>
        <w:t xml:space="preserve"> would continue to implement </w:t>
      </w:r>
      <w:r w:rsidR="00BB6582">
        <w:rPr>
          <w:rFonts w:asciiTheme="minorHAnsi" w:hAnsiTheme="minorHAnsi" w:cstheme="minorHAnsi"/>
          <w:iCs/>
          <w:color w:val="000000" w:themeColor="text1"/>
        </w:rPr>
        <w:t xml:space="preserve">phase one of </w:t>
      </w:r>
      <w:r w:rsidR="003C6965">
        <w:rPr>
          <w:rFonts w:asciiTheme="minorHAnsi" w:hAnsiTheme="minorHAnsi" w:cstheme="minorHAnsi"/>
          <w:iCs/>
          <w:color w:val="000000" w:themeColor="text1"/>
        </w:rPr>
        <w:t xml:space="preserve">the program </w:t>
      </w:r>
      <w:r w:rsidR="003C6965">
        <w:rPr>
          <w:rFonts w:asciiTheme="minorHAnsi" w:hAnsiTheme="minorHAnsi" w:cstheme="minorHAnsi"/>
          <w:iCs/>
        </w:rPr>
        <w:t xml:space="preserve">using </w:t>
      </w:r>
      <w:r w:rsidR="00847C58" w:rsidRPr="00727E11">
        <w:rPr>
          <w:rFonts w:asciiTheme="minorHAnsi" w:hAnsiTheme="minorHAnsi" w:cstheme="minorHAnsi"/>
          <w:iCs/>
        </w:rPr>
        <w:t>existing staff.</w:t>
      </w:r>
      <w:r w:rsidR="00847C58">
        <w:rPr>
          <w:rFonts w:asciiTheme="minorHAnsi" w:hAnsiTheme="minorHAnsi" w:cstheme="minorHAnsi"/>
          <w:iCs/>
        </w:rPr>
        <w:t xml:space="preserve"> </w:t>
      </w:r>
    </w:p>
    <w:p w:rsidR="00641BDA" w:rsidRDefault="00641BDA">
      <w:pPr>
        <w:pStyle w:val="ListParagraph"/>
        <w:ind w:left="900" w:right="378"/>
        <w:outlineLvl w:val="0"/>
        <w:rPr>
          <w:rFonts w:ascii="Times New Roman" w:eastAsia="Times New Roman" w:hAnsi="Times New Roman" w:cs="Times New Roman"/>
          <w:bCs/>
          <w:color w:val="000000" w:themeColor="text1"/>
        </w:rPr>
      </w:pPr>
    </w:p>
    <w:p w:rsidR="00641BDA" w:rsidRDefault="00AD7DB9">
      <w:pPr>
        <w:pStyle w:val="ListParagraph"/>
        <w:numPr>
          <w:ilvl w:val="0"/>
          <w:numId w:val="24"/>
        </w:numPr>
        <w:spacing w:after="120"/>
        <w:ind w:right="374"/>
        <w:contextualSpacing w:val="0"/>
        <w:outlineLvl w:val="0"/>
        <w:rPr>
          <w:rFonts w:asciiTheme="minorHAnsi" w:eastAsia="Times New Roman" w:hAnsiTheme="minorHAnsi" w:cstheme="minorHAnsi"/>
          <w:bCs/>
          <w:color w:val="000000" w:themeColor="text1"/>
        </w:rPr>
      </w:pPr>
      <w:r w:rsidRPr="00EE0B71">
        <w:rPr>
          <w:rFonts w:asciiTheme="majorHAnsi" w:eastAsia="Times New Roman" w:hAnsiTheme="majorHAnsi" w:cstheme="majorHAnsi"/>
          <w:bCs/>
          <w:color w:val="000000" w:themeColor="text1"/>
          <w:sz w:val="22"/>
          <w:szCs w:val="22"/>
        </w:rPr>
        <w:t>Local governments</w:t>
      </w:r>
      <w:r w:rsidRPr="00EE0B71">
        <w:rPr>
          <w:rFonts w:asciiTheme="majorHAnsi" w:eastAsia="Times New Roman" w:hAnsiTheme="majorHAnsi" w:cstheme="majorHAnsi"/>
          <w:bCs/>
          <w:color w:val="000000" w:themeColor="text1"/>
          <w:sz w:val="22"/>
          <w:szCs w:val="22"/>
        </w:rPr>
        <w:tab/>
      </w:r>
    </w:p>
    <w:p w:rsidR="007D388B" w:rsidRDefault="000D3F8F">
      <w:pPr>
        <w:spacing w:after="120"/>
        <w:ind w:left="1080" w:right="374"/>
        <w:outlineLvl w:val="0"/>
        <w:rPr>
          <w:rFonts w:asciiTheme="minorHAnsi" w:hAnsiTheme="minorHAnsi" w:cstheme="minorHAnsi"/>
          <w:iCs/>
        </w:rPr>
      </w:pPr>
      <w:r>
        <w:rPr>
          <w:rFonts w:asciiTheme="minorHAnsi" w:hAnsiTheme="minorHAnsi" w:cstheme="minorHAnsi"/>
          <w:iCs/>
          <w:color w:val="000000" w:themeColor="text1"/>
          <w:u w:val="single"/>
        </w:rPr>
        <w:t>Direct Impacts</w:t>
      </w:r>
      <w:r w:rsidRPr="000D3F8F">
        <w:rPr>
          <w:rFonts w:asciiTheme="minorHAnsi" w:hAnsiTheme="minorHAnsi" w:cstheme="minorHAnsi"/>
          <w:iCs/>
          <w:color w:val="000000" w:themeColor="text1"/>
        </w:rPr>
        <w:tab/>
      </w:r>
      <w:r>
        <w:rPr>
          <w:rFonts w:asciiTheme="minorHAnsi" w:hAnsiTheme="minorHAnsi" w:cstheme="minorHAnsi"/>
          <w:iCs/>
          <w:color w:val="000000" w:themeColor="text1"/>
        </w:rPr>
        <w:tab/>
      </w:r>
      <w:r w:rsidR="0068707F" w:rsidRPr="0068707F">
        <w:rPr>
          <w:rFonts w:asciiTheme="minorHAnsi" w:hAnsiTheme="minorHAnsi" w:cstheme="minorHAnsi"/>
          <w:iCs/>
          <w:color w:val="000000" w:themeColor="text1"/>
        </w:rPr>
        <w:t>The proposed rules would not affect lo</w:t>
      </w:r>
      <w:r w:rsidR="00FB02D6" w:rsidRPr="00727E11">
        <w:rPr>
          <w:rFonts w:asciiTheme="minorHAnsi" w:hAnsiTheme="minorHAnsi" w:cstheme="minorHAnsi"/>
          <w:iCs/>
        </w:rPr>
        <w:t>cal government</w:t>
      </w:r>
      <w:r w:rsidR="00FB02D6">
        <w:rPr>
          <w:rFonts w:asciiTheme="minorHAnsi" w:hAnsiTheme="minorHAnsi" w:cstheme="minorHAnsi"/>
          <w:iCs/>
        </w:rPr>
        <w:t>s</w:t>
      </w:r>
      <w:r w:rsidR="00FB02D6" w:rsidRPr="00727E11">
        <w:rPr>
          <w:rFonts w:asciiTheme="minorHAnsi" w:hAnsiTheme="minorHAnsi" w:cstheme="minorHAnsi"/>
          <w:iCs/>
        </w:rPr>
        <w:t xml:space="preserve"> directly.</w:t>
      </w:r>
      <w:r w:rsidR="003D61F8">
        <w:rPr>
          <w:rFonts w:asciiTheme="minorHAnsi" w:hAnsiTheme="minorHAnsi" w:cstheme="minorHAnsi"/>
          <w:iCs/>
        </w:rPr>
        <w:t xml:space="preserve"> </w:t>
      </w:r>
    </w:p>
    <w:p w:rsidR="007D388B" w:rsidRDefault="000D3F8F">
      <w:pPr>
        <w:ind w:right="378" w:hanging="1800"/>
        <w:outlineLvl w:val="0"/>
        <w:rPr>
          <w:rFonts w:asciiTheme="minorHAnsi" w:hAnsiTheme="minorHAnsi" w:cstheme="minorHAnsi"/>
          <w:iCs/>
        </w:rPr>
      </w:pPr>
      <w:r>
        <w:rPr>
          <w:rFonts w:asciiTheme="minorHAnsi" w:hAnsiTheme="minorHAnsi" w:cstheme="minorHAnsi"/>
          <w:iCs/>
          <w:color w:val="000000" w:themeColor="text1"/>
          <w:u w:val="single"/>
        </w:rPr>
        <w:t>Indirect Impacts</w:t>
      </w:r>
      <w:r w:rsidRPr="000D3F8F">
        <w:rPr>
          <w:rFonts w:asciiTheme="minorHAnsi" w:hAnsiTheme="minorHAnsi" w:cstheme="minorHAnsi"/>
          <w:iCs/>
          <w:color w:val="000000" w:themeColor="text1"/>
        </w:rPr>
        <w:tab/>
      </w:r>
      <w:r w:rsidR="003D61F8">
        <w:rPr>
          <w:rFonts w:asciiTheme="minorHAnsi" w:hAnsiTheme="minorHAnsi" w:cstheme="minorHAnsi"/>
          <w:iCs/>
        </w:rPr>
        <w:t>Any indirect impacts would be identical to impacts on state agencies</w:t>
      </w:r>
      <w:r w:rsidR="00E5240E">
        <w:rPr>
          <w:rFonts w:asciiTheme="minorHAnsi" w:hAnsiTheme="minorHAnsi" w:cstheme="minorHAnsi"/>
          <w:iCs/>
        </w:rPr>
        <w:t xml:space="preserve"> described above</w:t>
      </w:r>
      <w:r w:rsidR="003D61F8">
        <w:rPr>
          <w:rFonts w:asciiTheme="minorHAnsi" w:hAnsiTheme="minorHAnsi" w:cstheme="minorHAnsi"/>
          <w:iCs/>
        </w:rPr>
        <w:t>.</w:t>
      </w:r>
    </w:p>
    <w:p w:rsidR="00641BDA" w:rsidRDefault="00641BDA">
      <w:pPr>
        <w:ind w:left="1080" w:right="378"/>
        <w:outlineLvl w:val="0"/>
        <w:rPr>
          <w:rFonts w:ascii="Times New Roman" w:eastAsia="Times New Roman" w:hAnsi="Times New Roman" w:cs="Times New Roman"/>
          <w:bCs/>
          <w:color w:val="000000" w:themeColor="text1"/>
        </w:rPr>
      </w:pPr>
    </w:p>
    <w:p w:rsidR="00641BDA" w:rsidRDefault="00AD7DB9">
      <w:pPr>
        <w:pStyle w:val="ListParagraph"/>
        <w:numPr>
          <w:ilvl w:val="0"/>
          <w:numId w:val="24"/>
        </w:numPr>
        <w:spacing w:after="120"/>
        <w:ind w:right="374"/>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Cs/>
          <w:color w:val="000000" w:themeColor="text1"/>
          <w:sz w:val="22"/>
          <w:szCs w:val="22"/>
        </w:rPr>
        <w:t>Public</w:t>
      </w:r>
      <w:r w:rsidRPr="00EE0B71">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ab/>
      </w:r>
    </w:p>
    <w:p w:rsidR="000D3F8F" w:rsidRDefault="000D3F8F" w:rsidP="000D3F8F">
      <w:pPr>
        <w:spacing w:after="120"/>
        <w:ind w:left="1080" w:right="374"/>
        <w:outlineLvl w:val="0"/>
        <w:rPr>
          <w:rFonts w:asciiTheme="minorHAnsi" w:hAnsiTheme="minorHAnsi" w:cstheme="minorHAnsi"/>
        </w:rPr>
      </w:pPr>
      <w:r>
        <w:rPr>
          <w:rFonts w:asciiTheme="minorHAnsi" w:hAnsiTheme="minorHAnsi" w:cstheme="minorHAnsi"/>
          <w:iCs/>
          <w:color w:val="000000" w:themeColor="text1"/>
          <w:u w:val="single"/>
        </w:rPr>
        <w:t>Direct Impacts</w:t>
      </w:r>
      <w:r>
        <w:rPr>
          <w:rFonts w:asciiTheme="minorHAnsi" w:hAnsiTheme="minorHAnsi" w:cstheme="minorHAnsi"/>
          <w:iCs/>
          <w:color w:val="000000" w:themeColor="text1"/>
          <w:u w:val="single"/>
        </w:rPr>
        <w:tab/>
      </w:r>
      <w:r w:rsidRPr="000D3F8F">
        <w:rPr>
          <w:rFonts w:asciiTheme="minorHAnsi" w:hAnsiTheme="minorHAnsi" w:cstheme="minorHAnsi"/>
          <w:iCs/>
          <w:color w:val="000000" w:themeColor="text1"/>
        </w:rPr>
        <w:tab/>
      </w:r>
      <w:r w:rsidR="00C53F75">
        <w:rPr>
          <w:rFonts w:asciiTheme="minorHAnsi" w:hAnsiTheme="minorHAnsi" w:cstheme="minorHAnsi"/>
        </w:rPr>
        <w:t>The proposed rules would not affect the public directly</w:t>
      </w:r>
      <w:r w:rsidR="00C22995" w:rsidRPr="00727E11">
        <w:rPr>
          <w:rFonts w:asciiTheme="minorHAnsi" w:hAnsiTheme="minorHAnsi" w:cstheme="minorHAnsi"/>
        </w:rPr>
        <w:t>.</w:t>
      </w:r>
    </w:p>
    <w:p w:rsidR="00641BDA" w:rsidRDefault="000D3F8F" w:rsidP="000D3F8F">
      <w:pPr>
        <w:ind w:right="378" w:hanging="1800"/>
        <w:outlineLvl w:val="0"/>
        <w:rPr>
          <w:rFonts w:ascii="Times New Roman" w:eastAsia="Times New Roman" w:hAnsi="Times New Roman" w:cs="Times New Roman"/>
          <w:bCs/>
          <w:color w:val="000000" w:themeColor="text1"/>
        </w:rPr>
      </w:pPr>
      <w:r>
        <w:rPr>
          <w:rFonts w:asciiTheme="minorHAnsi" w:hAnsiTheme="minorHAnsi" w:cstheme="minorHAnsi"/>
          <w:iCs/>
          <w:color w:val="000000" w:themeColor="text1"/>
          <w:u w:val="single"/>
        </w:rPr>
        <w:t>Indirect Impacts</w:t>
      </w:r>
      <w:r w:rsidRPr="000D3F8F">
        <w:rPr>
          <w:rFonts w:asciiTheme="minorHAnsi" w:hAnsiTheme="minorHAnsi" w:cstheme="minorHAnsi"/>
          <w:iCs/>
          <w:color w:val="000000" w:themeColor="text1"/>
        </w:rPr>
        <w:tab/>
      </w:r>
      <w:r w:rsidR="003D61F8">
        <w:rPr>
          <w:rFonts w:asciiTheme="minorHAnsi" w:hAnsiTheme="minorHAnsi" w:cstheme="minorHAnsi"/>
          <w:iCs/>
        </w:rPr>
        <w:t>Any indirect impacts would be identical to impacts on state agencies</w:t>
      </w:r>
      <w:r w:rsidR="00E5240E">
        <w:rPr>
          <w:rFonts w:asciiTheme="minorHAnsi" w:hAnsiTheme="minorHAnsi" w:cstheme="minorHAnsi"/>
          <w:iCs/>
        </w:rPr>
        <w:t xml:space="preserve"> described above</w:t>
      </w:r>
      <w:r w:rsidR="003D61F8">
        <w:rPr>
          <w:rFonts w:asciiTheme="minorHAnsi" w:hAnsiTheme="minorHAnsi" w:cstheme="minorHAnsi"/>
          <w:iCs/>
        </w:rPr>
        <w:t>.</w:t>
      </w:r>
    </w:p>
    <w:p w:rsidR="00D35488" w:rsidRDefault="00D35488">
      <w:pPr>
        <w:spacing w:line="235" w:lineRule="auto"/>
        <w:ind w:left="1080" w:right="378"/>
        <w:rPr>
          <w:rFonts w:asciiTheme="minorHAnsi" w:hAnsiTheme="minorHAnsi" w:cstheme="minorHAnsi"/>
        </w:rPr>
        <w:sectPr w:rsidR="00D35488" w:rsidSect="00B34CF8">
          <w:pgSz w:w="12240" w:h="15840"/>
          <w:pgMar w:top="1080" w:right="990" w:bottom="1080" w:left="360" w:header="720" w:footer="720" w:gutter="432"/>
          <w:cols w:space="720"/>
          <w:docGrid w:linePitch="360"/>
        </w:sectPr>
      </w:pPr>
    </w:p>
    <w:p w:rsidR="00641BDA" w:rsidRDefault="00641BDA">
      <w:pPr>
        <w:spacing w:line="235" w:lineRule="auto"/>
        <w:ind w:left="1080" w:right="378"/>
        <w:rPr>
          <w:rFonts w:asciiTheme="minorHAnsi" w:hAnsiTheme="minorHAnsi" w:cstheme="minorHAnsi"/>
        </w:rPr>
      </w:pPr>
    </w:p>
    <w:p w:rsidR="00AD7DB9" w:rsidRPr="00135BBC" w:rsidRDefault="002B661B" w:rsidP="00AD7DB9">
      <w:pPr>
        <w:pStyle w:val="ListParagraph"/>
        <w:numPr>
          <w:ilvl w:val="0"/>
          <w:numId w:val="24"/>
        </w:numPr>
        <w:spacing w:after="120"/>
        <w:ind w:right="14"/>
        <w:contextualSpacing w:val="0"/>
        <w:outlineLvl w:val="0"/>
        <w:rPr>
          <w:rFonts w:asciiTheme="majorHAnsi" w:eastAsia="Times New Roman" w:hAnsiTheme="majorHAnsi" w:cstheme="majorHAnsi"/>
          <w:bCs/>
          <w:color w:val="504938"/>
          <w:sz w:val="22"/>
          <w:szCs w:val="22"/>
        </w:rPr>
      </w:pPr>
      <w:r w:rsidRPr="002B661B">
        <w:rPr>
          <w:rFonts w:asciiTheme="majorHAnsi" w:hAnsiTheme="majorHAnsi" w:cstheme="majorHAnsi"/>
          <w:iCs/>
          <w:sz w:val="22"/>
          <w:szCs w:val="22"/>
        </w:rPr>
        <w:t>Large businesses</w:t>
      </w:r>
      <w:r w:rsidR="00AD7DB9" w:rsidRPr="00135BBC">
        <w:rPr>
          <w:rFonts w:asciiTheme="majorHAnsi" w:eastAsia="Times New Roman" w:hAnsiTheme="majorHAnsi" w:cstheme="majorHAnsi"/>
          <w:bCs/>
          <w:color w:val="000000" w:themeColor="text1"/>
          <w:sz w:val="22"/>
          <w:szCs w:val="22"/>
        </w:rPr>
        <w:t xml:space="preserve"> - businesses with more than 50 employees</w:t>
      </w:r>
    </w:p>
    <w:p w:rsidR="007D6C06" w:rsidRDefault="00380545" w:rsidP="00E5240E">
      <w:pPr>
        <w:ind w:left="1080" w:right="378"/>
        <w:outlineLvl w:val="0"/>
        <w:rPr>
          <w:rFonts w:asciiTheme="minorHAnsi" w:hAnsiTheme="minorHAnsi" w:cstheme="minorHAnsi"/>
        </w:rPr>
      </w:pPr>
      <w:r>
        <w:rPr>
          <w:rFonts w:asciiTheme="minorHAnsi" w:hAnsiTheme="minorHAnsi" w:cstheme="minorHAnsi"/>
          <w:iCs/>
        </w:rPr>
        <w:t xml:space="preserve">There are 64 </w:t>
      </w:r>
      <w:r w:rsidR="00F73500">
        <w:rPr>
          <w:rFonts w:asciiTheme="minorHAnsi" w:hAnsiTheme="minorHAnsi" w:cstheme="minorHAnsi"/>
          <w:iCs/>
        </w:rPr>
        <w:t xml:space="preserve">Oregon producers or importers </w:t>
      </w:r>
      <w:r>
        <w:rPr>
          <w:rFonts w:asciiTheme="minorHAnsi" w:hAnsiTheme="minorHAnsi" w:cstheme="minorHAnsi"/>
          <w:iCs/>
        </w:rPr>
        <w:t xml:space="preserve">registered with the </w:t>
      </w:r>
      <w:r w:rsidR="000D3F8F">
        <w:rPr>
          <w:rFonts w:asciiTheme="minorHAnsi" w:hAnsiTheme="minorHAnsi" w:cstheme="minorHAnsi"/>
          <w:iCs/>
        </w:rPr>
        <w:t xml:space="preserve">Oregon </w:t>
      </w:r>
      <w:r w:rsidR="00E5240E">
        <w:rPr>
          <w:rFonts w:asciiTheme="minorHAnsi" w:hAnsiTheme="minorHAnsi" w:cstheme="minorHAnsi"/>
          <w:iCs/>
        </w:rPr>
        <w:t xml:space="preserve">Clean </w:t>
      </w:r>
      <w:r w:rsidR="00C5699E">
        <w:rPr>
          <w:rFonts w:asciiTheme="minorHAnsi" w:hAnsiTheme="minorHAnsi" w:cstheme="minorHAnsi"/>
          <w:iCs/>
        </w:rPr>
        <w:t>Fuels Program</w:t>
      </w:r>
      <w:r>
        <w:rPr>
          <w:rFonts w:asciiTheme="minorHAnsi" w:hAnsiTheme="minorHAnsi" w:cstheme="minorHAnsi"/>
          <w:iCs/>
        </w:rPr>
        <w:t xml:space="preserve">. </w:t>
      </w:r>
      <w:r w:rsidR="00E5240E">
        <w:rPr>
          <w:rFonts w:asciiTheme="minorHAnsi" w:hAnsiTheme="minorHAnsi" w:cstheme="minorHAnsi"/>
          <w:iCs/>
        </w:rPr>
        <w:t>C</w:t>
      </w:r>
      <w:r w:rsidR="007A4666">
        <w:rPr>
          <w:rFonts w:asciiTheme="minorHAnsi" w:hAnsiTheme="minorHAnsi" w:cstheme="minorHAnsi"/>
          <w:iCs/>
        </w:rPr>
        <w:t xml:space="preserve">urrent </w:t>
      </w:r>
      <w:r w:rsidR="00EB4B21">
        <w:rPr>
          <w:rFonts w:asciiTheme="minorHAnsi" w:hAnsiTheme="minorHAnsi" w:cstheme="minorHAnsi"/>
          <w:iCs/>
        </w:rPr>
        <w:t>employment data</w:t>
      </w:r>
      <w:r w:rsidR="00E5240E">
        <w:rPr>
          <w:rFonts w:asciiTheme="minorHAnsi" w:hAnsiTheme="minorHAnsi" w:cstheme="minorHAnsi"/>
          <w:iCs/>
        </w:rPr>
        <w:t xml:space="preserve"> indicates </w:t>
      </w:r>
      <w:r w:rsidR="002F4ACF">
        <w:rPr>
          <w:rFonts w:asciiTheme="minorHAnsi" w:hAnsiTheme="minorHAnsi" w:cstheme="minorHAnsi"/>
          <w:iCs/>
        </w:rPr>
        <w:t>26</w:t>
      </w:r>
      <w:r w:rsidR="009229D9" w:rsidRPr="00727E11">
        <w:rPr>
          <w:rFonts w:asciiTheme="minorHAnsi" w:hAnsiTheme="minorHAnsi" w:cstheme="minorHAnsi"/>
          <w:iCs/>
        </w:rPr>
        <w:t xml:space="preserve"> </w:t>
      </w:r>
      <w:r w:rsidR="00EB4B21">
        <w:rPr>
          <w:rFonts w:asciiTheme="minorHAnsi" w:hAnsiTheme="minorHAnsi" w:cstheme="minorHAnsi"/>
          <w:iCs/>
        </w:rPr>
        <w:t xml:space="preserve">are </w:t>
      </w:r>
      <w:r w:rsidR="009229D9" w:rsidRPr="00727E11">
        <w:rPr>
          <w:rFonts w:asciiTheme="minorHAnsi" w:hAnsiTheme="minorHAnsi" w:cstheme="minorHAnsi"/>
          <w:iCs/>
        </w:rPr>
        <w:t>large businesses</w:t>
      </w:r>
      <w:r w:rsidR="0068707F" w:rsidRPr="0068707F">
        <w:rPr>
          <w:rFonts w:asciiTheme="minorHAnsi" w:hAnsiTheme="minorHAnsi" w:cstheme="minorHAnsi"/>
          <w:iCs/>
        </w:rPr>
        <w:t>.</w:t>
      </w:r>
      <w:r w:rsidR="00EB4B21" w:rsidRPr="00E5240E">
        <w:rPr>
          <w:rFonts w:asciiTheme="minorHAnsi" w:hAnsiTheme="minorHAnsi" w:cstheme="minorHAnsi"/>
        </w:rPr>
        <w:t xml:space="preserve"> </w:t>
      </w:r>
      <w:r w:rsidR="002F4ACF">
        <w:rPr>
          <w:rFonts w:asciiTheme="minorHAnsi" w:hAnsiTheme="minorHAnsi" w:cstheme="minorHAnsi"/>
        </w:rPr>
        <w:t>Of these 26 large businesses, 10 are importers of finished fuels who are most affected by the proposed rule</w:t>
      </w:r>
      <w:r w:rsidR="00285113">
        <w:rPr>
          <w:rFonts w:asciiTheme="minorHAnsi" w:hAnsiTheme="minorHAnsi" w:cstheme="minorHAnsi"/>
        </w:rPr>
        <w:t>s</w:t>
      </w:r>
      <w:r w:rsidR="002F4ACF">
        <w:rPr>
          <w:rFonts w:asciiTheme="minorHAnsi" w:hAnsiTheme="minorHAnsi" w:cstheme="minorHAnsi"/>
        </w:rPr>
        <w:t xml:space="preserve">. </w:t>
      </w:r>
      <w:r w:rsidR="007D6C06">
        <w:rPr>
          <w:rFonts w:asciiTheme="minorHAnsi" w:hAnsiTheme="minorHAnsi" w:cstheme="minorHAnsi"/>
        </w:rPr>
        <w:t>The remaining 16 are importers of blendstocks who are relatively unaffected by the proposed rule</w:t>
      </w:r>
      <w:r w:rsidR="00285113">
        <w:rPr>
          <w:rFonts w:asciiTheme="minorHAnsi" w:hAnsiTheme="minorHAnsi" w:cstheme="minorHAnsi"/>
        </w:rPr>
        <w:t>s</w:t>
      </w:r>
      <w:r w:rsidR="007D6C06">
        <w:rPr>
          <w:rFonts w:asciiTheme="minorHAnsi" w:hAnsiTheme="minorHAnsi" w:cstheme="minorHAnsi"/>
        </w:rPr>
        <w:t>.</w:t>
      </w:r>
      <w:r w:rsidR="009963AF">
        <w:rPr>
          <w:rFonts w:asciiTheme="minorHAnsi" w:hAnsiTheme="minorHAnsi" w:cstheme="minorHAnsi"/>
        </w:rPr>
        <w:t xml:space="preserve"> No Oregon producers are large businesses.</w:t>
      </w:r>
    </w:p>
    <w:p w:rsidR="007D6C06" w:rsidRDefault="007D6C06" w:rsidP="00E5240E">
      <w:pPr>
        <w:ind w:left="1080" w:right="378"/>
        <w:outlineLvl w:val="0"/>
        <w:rPr>
          <w:rFonts w:asciiTheme="minorHAnsi" w:hAnsiTheme="minorHAnsi" w:cstheme="minorHAnsi"/>
        </w:rPr>
      </w:pPr>
    </w:p>
    <w:p w:rsidR="007D388B" w:rsidRDefault="000D3F8F">
      <w:pPr>
        <w:ind w:right="378" w:hanging="1800"/>
        <w:outlineLvl w:val="0"/>
        <w:rPr>
          <w:rFonts w:asciiTheme="minorHAnsi" w:hAnsiTheme="minorHAnsi" w:cstheme="minorHAnsi"/>
        </w:rPr>
      </w:pPr>
      <w:r>
        <w:rPr>
          <w:rFonts w:asciiTheme="minorHAnsi" w:hAnsiTheme="minorHAnsi" w:cstheme="minorHAnsi"/>
          <w:iCs/>
          <w:color w:val="000000" w:themeColor="text1"/>
          <w:u w:val="single"/>
        </w:rPr>
        <w:t>Direct Impacts</w:t>
      </w:r>
      <w:r w:rsidRPr="000D3F8F">
        <w:rPr>
          <w:rFonts w:asciiTheme="minorHAnsi" w:hAnsiTheme="minorHAnsi" w:cstheme="minorHAnsi"/>
          <w:iCs/>
          <w:color w:val="000000" w:themeColor="text1"/>
        </w:rPr>
        <w:tab/>
      </w:r>
      <w:r w:rsidR="002F4ACF">
        <w:rPr>
          <w:rFonts w:asciiTheme="minorHAnsi" w:hAnsiTheme="minorHAnsi" w:cstheme="minorHAnsi"/>
        </w:rPr>
        <w:t xml:space="preserve">The </w:t>
      </w:r>
      <w:r w:rsidR="00B65D30">
        <w:rPr>
          <w:rFonts w:asciiTheme="minorHAnsi" w:hAnsiTheme="minorHAnsi" w:cstheme="minorHAnsi"/>
        </w:rPr>
        <w:t xml:space="preserve">proposed rules would have an </w:t>
      </w:r>
      <w:r w:rsidR="002F4ACF">
        <w:rPr>
          <w:rFonts w:asciiTheme="minorHAnsi" w:hAnsiTheme="minorHAnsi" w:cstheme="minorHAnsi"/>
        </w:rPr>
        <w:t xml:space="preserve">estimated direct fiscal and economic </w:t>
      </w:r>
      <w:r w:rsidR="00B65D30">
        <w:rPr>
          <w:rFonts w:asciiTheme="minorHAnsi" w:hAnsiTheme="minorHAnsi" w:cstheme="minorHAnsi"/>
        </w:rPr>
        <w:t>affect on</w:t>
      </w:r>
      <w:r w:rsidR="002F4ACF">
        <w:rPr>
          <w:rFonts w:asciiTheme="minorHAnsi" w:hAnsiTheme="minorHAnsi" w:cstheme="minorHAnsi"/>
        </w:rPr>
        <w:t xml:space="preserve"> large businesses that import finished fuels identical to </w:t>
      </w:r>
      <w:r w:rsidR="00B65D30">
        <w:rPr>
          <w:rFonts w:asciiTheme="minorHAnsi" w:hAnsiTheme="minorHAnsi" w:cstheme="minorHAnsi"/>
        </w:rPr>
        <w:t>how the proposed rules would affect</w:t>
      </w:r>
      <w:r w:rsidR="002F4ACF">
        <w:rPr>
          <w:rFonts w:asciiTheme="minorHAnsi" w:hAnsiTheme="minorHAnsi" w:cstheme="minorHAnsi"/>
        </w:rPr>
        <w:t xml:space="preserve"> small businesses described below.</w:t>
      </w:r>
    </w:p>
    <w:p w:rsidR="002F4ACF" w:rsidRDefault="002F4ACF" w:rsidP="00E5240E">
      <w:pPr>
        <w:ind w:left="1080" w:right="378"/>
        <w:outlineLvl w:val="0"/>
        <w:rPr>
          <w:rFonts w:asciiTheme="minorHAnsi" w:hAnsiTheme="minorHAnsi" w:cstheme="minorHAnsi"/>
        </w:rPr>
      </w:pPr>
    </w:p>
    <w:p w:rsidR="007D388B" w:rsidRDefault="000B7D38">
      <w:pPr>
        <w:ind w:right="378"/>
        <w:outlineLvl w:val="0"/>
        <w:rPr>
          <w:rFonts w:asciiTheme="minorHAnsi" w:hAnsiTheme="minorHAnsi" w:cstheme="minorHAnsi"/>
        </w:rPr>
      </w:pPr>
      <w:r>
        <w:rPr>
          <w:rFonts w:asciiTheme="minorHAnsi" w:hAnsiTheme="minorHAnsi" w:cstheme="minorHAnsi"/>
        </w:rPr>
        <w:t xml:space="preserve">The estimated </w:t>
      </w:r>
      <w:r w:rsidR="009229D9" w:rsidRPr="00727E11">
        <w:rPr>
          <w:rFonts w:asciiTheme="minorHAnsi" w:hAnsiTheme="minorHAnsi" w:cstheme="minorHAnsi"/>
        </w:rPr>
        <w:t xml:space="preserve">direct fiscal and economic </w:t>
      </w:r>
      <w:r w:rsidR="00B65D30">
        <w:rPr>
          <w:rFonts w:asciiTheme="minorHAnsi" w:hAnsiTheme="minorHAnsi" w:cstheme="minorHAnsi"/>
        </w:rPr>
        <w:t>affect</w:t>
      </w:r>
      <w:r w:rsidR="009229D9" w:rsidRPr="00727E11">
        <w:rPr>
          <w:rFonts w:asciiTheme="minorHAnsi" w:hAnsiTheme="minorHAnsi" w:cstheme="minorHAnsi"/>
        </w:rPr>
        <w:t xml:space="preserve"> of the </w:t>
      </w:r>
      <w:r w:rsidR="00C42021">
        <w:rPr>
          <w:rFonts w:asciiTheme="minorHAnsi" w:hAnsiTheme="minorHAnsi" w:cstheme="minorHAnsi"/>
        </w:rPr>
        <w:t>proposed rules</w:t>
      </w:r>
      <w:r w:rsidR="009229D9" w:rsidRPr="00727E11">
        <w:rPr>
          <w:rFonts w:asciiTheme="minorHAnsi" w:hAnsiTheme="minorHAnsi" w:cstheme="minorHAnsi"/>
        </w:rPr>
        <w:t xml:space="preserve"> </w:t>
      </w:r>
      <w:r w:rsidR="00B65D30">
        <w:rPr>
          <w:rFonts w:asciiTheme="minorHAnsi" w:hAnsiTheme="minorHAnsi" w:cstheme="minorHAnsi"/>
        </w:rPr>
        <w:t>on</w:t>
      </w:r>
      <w:r w:rsidR="009229D9" w:rsidRPr="00727E11">
        <w:rPr>
          <w:rFonts w:asciiTheme="minorHAnsi" w:hAnsiTheme="minorHAnsi" w:cstheme="minorHAnsi"/>
        </w:rPr>
        <w:t xml:space="preserve"> large businesses </w:t>
      </w:r>
      <w:r w:rsidR="002F4ACF">
        <w:rPr>
          <w:rFonts w:asciiTheme="minorHAnsi" w:hAnsiTheme="minorHAnsi" w:cstheme="minorHAnsi"/>
        </w:rPr>
        <w:t xml:space="preserve">that import blendstocks </w:t>
      </w:r>
      <w:r w:rsidR="007A4666">
        <w:rPr>
          <w:rFonts w:asciiTheme="minorHAnsi" w:hAnsiTheme="minorHAnsi" w:cstheme="minorHAnsi"/>
        </w:rPr>
        <w:t>remain relatively unchanged.</w:t>
      </w:r>
      <w:r w:rsidR="00E5240E">
        <w:rPr>
          <w:rFonts w:asciiTheme="minorHAnsi" w:hAnsiTheme="minorHAnsi" w:cstheme="minorHAnsi"/>
        </w:rPr>
        <w:t xml:space="preserve"> </w:t>
      </w:r>
    </w:p>
    <w:p w:rsidR="007D388B" w:rsidRDefault="007D388B">
      <w:pPr>
        <w:ind w:right="378"/>
        <w:outlineLvl w:val="0"/>
        <w:rPr>
          <w:rFonts w:asciiTheme="minorHAnsi" w:hAnsiTheme="minorHAnsi" w:cstheme="minorHAnsi"/>
        </w:rPr>
      </w:pPr>
    </w:p>
    <w:p w:rsidR="007D388B" w:rsidRDefault="000D3F8F">
      <w:pPr>
        <w:ind w:right="374" w:hanging="1800"/>
        <w:outlineLvl w:val="0"/>
        <w:rPr>
          <w:rFonts w:asciiTheme="minorHAnsi" w:hAnsiTheme="minorHAnsi" w:cstheme="minorHAnsi"/>
          <w:iCs/>
        </w:rPr>
      </w:pPr>
      <w:r w:rsidRPr="008F491E">
        <w:rPr>
          <w:rFonts w:asciiTheme="minorHAnsi" w:hAnsiTheme="minorHAnsi" w:cstheme="minorHAnsi"/>
          <w:iCs/>
          <w:u w:val="single"/>
        </w:rPr>
        <w:t>Indirect Impacts</w:t>
      </w:r>
      <w:r>
        <w:rPr>
          <w:rFonts w:asciiTheme="minorHAnsi" w:hAnsiTheme="minorHAnsi" w:cstheme="minorHAnsi"/>
          <w:iCs/>
        </w:rPr>
        <w:t xml:space="preserve"> </w:t>
      </w:r>
      <w:r>
        <w:rPr>
          <w:rFonts w:asciiTheme="minorHAnsi" w:hAnsiTheme="minorHAnsi" w:cstheme="minorHAnsi"/>
          <w:iCs/>
        </w:rPr>
        <w:tab/>
      </w:r>
      <w:r w:rsidR="00E5240E">
        <w:rPr>
          <w:rFonts w:asciiTheme="minorHAnsi" w:hAnsiTheme="minorHAnsi" w:cstheme="minorHAnsi"/>
          <w:iCs/>
        </w:rPr>
        <w:t>Any indirect impacts would be identical to impacts on state agencies described above.</w:t>
      </w:r>
    </w:p>
    <w:p w:rsidR="00641BDA" w:rsidRDefault="00641BDA">
      <w:pPr>
        <w:ind w:left="1080" w:right="378"/>
        <w:rPr>
          <w:rFonts w:asciiTheme="minorHAnsi" w:hAnsiTheme="minorHAnsi" w:cstheme="minorHAnsi"/>
        </w:rPr>
      </w:pPr>
    </w:p>
    <w:p w:rsidR="00641BDA" w:rsidRDefault="00AD7DB9">
      <w:pPr>
        <w:pStyle w:val="ListParagraph"/>
        <w:numPr>
          <w:ilvl w:val="0"/>
          <w:numId w:val="24"/>
        </w:numPr>
        <w:spacing w:after="120"/>
        <w:ind w:right="14"/>
        <w:contextualSpacing w:val="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000000" w:themeColor="text1"/>
          <w:sz w:val="22"/>
          <w:szCs w:val="22"/>
        </w:rPr>
        <w:t>Small businesses – businesses w</w:t>
      </w:r>
      <w:r w:rsidRPr="00C10842">
        <w:rPr>
          <w:rFonts w:asciiTheme="majorHAnsi" w:eastAsia="Times New Roman" w:hAnsiTheme="majorHAnsi" w:cstheme="majorHAnsi"/>
          <w:bCs/>
          <w:color w:val="000000" w:themeColor="text1"/>
          <w:sz w:val="22"/>
          <w:szCs w:val="22"/>
        </w:rPr>
        <w:t>ith 50 or fewer employees</w:t>
      </w:r>
      <w:r w:rsidRPr="00A00404">
        <w:t xml:space="preserve"> </w:t>
      </w:r>
      <w:hyperlink r:id="rId11" w:history="1">
        <w:r w:rsidRPr="00993B0B">
          <w:rPr>
            <w:rStyle w:val="Hyperlink"/>
            <w:rFonts w:asciiTheme="majorHAnsi" w:eastAsia="Times New Roman" w:hAnsiTheme="majorHAnsi" w:cstheme="majorHAnsi"/>
            <w:bCs/>
            <w:sz w:val="20"/>
            <w:szCs w:val="20"/>
          </w:rPr>
          <w:t>ORS 183.336</w:t>
        </w:r>
      </w:hyperlink>
    </w:p>
    <w:p w:rsidR="007D388B" w:rsidRDefault="000B411D">
      <w:pPr>
        <w:pStyle w:val="DEQTEXTforFACTSHEET"/>
        <w:spacing w:after="120"/>
        <w:ind w:left="2880" w:right="72" w:hanging="1800"/>
        <w:rPr>
          <w:rFonts w:asciiTheme="minorHAnsi" w:hAnsiTheme="minorHAnsi" w:cstheme="minorHAnsi"/>
          <w:sz w:val="24"/>
          <w:szCs w:val="24"/>
        </w:rPr>
      </w:pPr>
      <w:r w:rsidRPr="000B411D">
        <w:rPr>
          <w:rFonts w:asciiTheme="minorHAnsi" w:eastAsiaTheme="minorHAnsi" w:hAnsiTheme="minorHAnsi" w:cstheme="minorHAnsi"/>
          <w:iCs/>
          <w:sz w:val="24"/>
          <w:szCs w:val="24"/>
          <w:u w:val="single"/>
        </w:rPr>
        <w:t>Direct Impacts</w:t>
      </w:r>
      <w:r w:rsidR="000D3F8F" w:rsidRPr="0068707F">
        <w:rPr>
          <w:rFonts w:asciiTheme="minorHAnsi" w:hAnsiTheme="minorHAnsi" w:cstheme="minorHAnsi"/>
          <w:sz w:val="24"/>
          <w:szCs w:val="24"/>
        </w:rPr>
        <w:t xml:space="preserve"> </w:t>
      </w:r>
      <w:r w:rsidR="000D3F8F">
        <w:rPr>
          <w:rFonts w:asciiTheme="minorHAnsi" w:hAnsiTheme="minorHAnsi" w:cstheme="minorHAnsi"/>
          <w:sz w:val="24"/>
          <w:szCs w:val="24"/>
        </w:rPr>
        <w:tab/>
      </w:r>
      <w:r w:rsidR="0068707F" w:rsidRPr="0068707F">
        <w:rPr>
          <w:rFonts w:asciiTheme="minorHAnsi" w:hAnsiTheme="minorHAnsi" w:cstheme="minorHAnsi"/>
          <w:sz w:val="24"/>
          <w:szCs w:val="24"/>
        </w:rPr>
        <w:t xml:space="preserve">DEQ describes the potential </w:t>
      </w:r>
      <w:r w:rsidR="00727E11" w:rsidRPr="00D5308F">
        <w:rPr>
          <w:rFonts w:asciiTheme="minorHAnsi" w:hAnsiTheme="minorHAnsi" w:cstheme="minorHAnsi"/>
          <w:sz w:val="24"/>
          <w:szCs w:val="24"/>
        </w:rPr>
        <w:t>f</w:t>
      </w:r>
      <w:r w:rsidR="00727E11" w:rsidRPr="00E5240E">
        <w:rPr>
          <w:rFonts w:asciiTheme="minorHAnsi" w:hAnsiTheme="minorHAnsi" w:cstheme="minorHAnsi"/>
          <w:sz w:val="24"/>
          <w:szCs w:val="24"/>
        </w:rPr>
        <w:t xml:space="preserve">iscal and economic </w:t>
      </w:r>
      <w:r w:rsidR="006A6058" w:rsidRPr="00E5240E">
        <w:rPr>
          <w:rFonts w:asciiTheme="minorHAnsi" w:hAnsiTheme="minorHAnsi" w:cstheme="minorHAnsi"/>
          <w:sz w:val="24"/>
          <w:szCs w:val="24"/>
        </w:rPr>
        <w:t xml:space="preserve">impact </w:t>
      </w:r>
      <w:r w:rsidR="00727E11" w:rsidRPr="00E5240E">
        <w:rPr>
          <w:rFonts w:asciiTheme="minorHAnsi" w:hAnsiTheme="minorHAnsi" w:cstheme="minorHAnsi"/>
          <w:sz w:val="24"/>
          <w:szCs w:val="24"/>
        </w:rPr>
        <w:t>of the proposed rule</w:t>
      </w:r>
      <w:r w:rsidR="006A6058" w:rsidRPr="00E5240E">
        <w:rPr>
          <w:rFonts w:asciiTheme="minorHAnsi" w:hAnsiTheme="minorHAnsi" w:cstheme="minorHAnsi"/>
          <w:sz w:val="24"/>
          <w:szCs w:val="24"/>
        </w:rPr>
        <w:t xml:space="preserve">s on </w:t>
      </w:r>
      <w:r w:rsidR="00727E11" w:rsidRPr="00E5240E">
        <w:rPr>
          <w:rFonts w:asciiTheme="minorHAnsi" w:hAnsiTheme="minorHAnsi" w:cstheme="minorHAnsi"/>
          <w:sz w:val="24"/>
          <w:szCs w:val="24"/>
        </w:rPr>
        <w:t>small businesses</w:t>
      </w:r>
      <w:r w:rsidR="000D3F8F">
        <w:rPr>
          <w:rFonts w:asciiTheme="minorHAnsi" w:hAnsiTheme="minorHAnsi" w:cstheme="minorHAnsi"/>
          <w:sz w:val="24"/>
          <w:szCs w:val="24"/>
        </w:rPr>
        <w:t xml:space="preserve"> in the table below</w:t>
      </w:r>
      <w:r w:rsidR="006A6058" w:rsidRPr="00E5240E">
        <w:rPr>
          <w:rFonts w:asciiTheme="minorHAnsi" w:hAnsiTheme="minorHAnsi" w:cstheme="minorHAnsi"/>
          <w:sz w:val="24"/>
          <w:szCs w:val="24"/>
        </w:rPr>
        <w:t>.</w:t>
      </w:r>
      <w:r w:rsidR="00727E11" w:rsidRPr="00E5240E">
        <w:rPr>
          <w:rFonts w:asciiTheme="minorHAnsi" w:hAnsiTheme="minorHAnsi" w:cstheme="minorHAnsi"/>
          <w:sz w:val="24"/>
          <w:szCs w:val="24"/>
        </w:rPr>
        <w:t xml:space="preserve"> </w:t>
      </w:r>
    </w:p>
    <w:p w:rsidR="000D3F8F" w:rsidRDefault="000D3F8F" w:rsidP="000D3F8F">
      <w:pPr>
        <w:ind w:right="378" w:hanging="1800"/>
        <w:outlineLvl w:val="0"/>
        <w:rPr>
          <w:rFonts w:asciiTheme="minorHAnsi" w:hAnsiTheme="minorHAnsi" w:cstheme="minorHAnsi"/>
          <w:iCs/>
        </w:rPr>
      </w:pPr>
      <w:r w:rsidRPr="008F491E">
        <w:rPr>
          <w:rFonts w:asciiTheme="minorHAnsi" w:hAnsiTheme="minorHAnsi" w:cstheme="minorHAnsi"/>
          <w:iCs/>
          <w:u w:val="single"/>
        </w:rPr>
        <w:t>Indirect Impacts</w:t>
      </w:r>
      <w:r>
        <w:rPr>
          <w:rFonts w:asciiTheme="minorHAnsi" w:hAnsiTheme="minorHAnsi" w:cstheme="minorHAnsi"/>
          <w:iCs/>
        </w:rPr>
        <w:t xml:space="preserve"> </w:t>
      </w:r>
      <w:r>
        <w:rPr>
          <w:rFonts w:asciiTheme="minorHAnsi" w:hAnsiTheme="minorHAnsi" w:cstheme="minorHAnsi"/>
          <w:iCs/>
        </w:rPr>
        <w:tab/>
        <w:t>Any indirect impacts would be identical to impacts on state agencies described above.</w:t>
      </w:r>
    </w:p>
    <w:p w:rsidR="00727E11" w:rsidRPr="000B7D38" w:rsidRDefault="00727E11" w:rsidP="00727E11">
      <w:pPr>
        <w:pStyle w:val="DEQTEXTforFACTSHEET"/>
        <w:ind w:left="720" w:right="72"/>
        <w:rPr>
          <w:rFonts w:asciiTheme="minorHAnsi" w:hAnsiTheme="minorHAnsi" w:cstheme="minorHAnsi"/>
          <w:sz w:val="24"/>
          <w:szCs w:val="24"/>
        </w:rPr>
      </w:pPr>
    </w:p>
    <w:tbl>
      <w:tblPr>
        <w:tblStyle w:val="TableGrid"/>
        <w:tblW w:w="94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D7DB9" w:rsidRPr="000B7D38" w:rsidTr="005B6EA3">
        <w:tc>
          <w:tcPr>
            <w:tcW w:w="4140" w:type="dxa"/>
          </w:tcPr>
          <w:p w:rsidR="00641BDA" w:rsidRPr="00597338" w:rsidRDefault="0068707F">
            <w:pPr>
              <w:pStyle w:val="ListParagraph"/>
              <w:numPr>
                <w:ilvl w:val="0"/>
                <w:numId w:val="39"/>
              </w:numPr>
              <w:ind w:right="18"/>
              <w:outlineLvl w:val="0"/>
              <w:rPr>
                <w:rFonts w:ascii="Times New Roman" w:eastAsia="Times New Roman" w:hAnsi="Times New Roman" w:cs="Times New Roman"/>
                <w:color w:val="000000" w:themeColor="text1"/>
                <w:sz w:val="24"/>
                <w:szCs w:val="24"/>
              </w:rPr>
            </w:pPr>
            <w:r w:rsidRPr="00597338">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rsidR="00AD7DB9" w:rsidRPr="00597338" w:rsidRDefault="0068707F" w:rsidP="00DB3FA3">
            <w:pPr>
              <w:ind w:left="252" w:right="18"/>
              <w:outlineLvl w:val="0"/>
              <w:rPr>
                <w:rFonts w:ascii="Times New Roman" w:eastAsia="Times New Roman" w:hAnsi="Times New Roman" w:cs="Times New Roman"/>
                <w:color w:val="000000" w:themeColor="text1"/>
                <w:sz w:val="24"/>
                <w:szCs w:val="24"/>
              </w:rPr>
            </w:pPr>
            <w:r w:rsidRPr="00597338">
              <w:rPr>
                <w:rFonts w:ascii="Times New Roman" w:eastAsia="Times New Roman" w:hAnsi="Times New Roman" w:cs="Times New Roman"/>
                <w:color w:val="000000" w:themeColor="text1"/>
                <w:sz w:val="24"/>
                <w:szCs w:val="24"/>
              </w:rPr>
              <w:tab/>
            </w:r>
          </w:p>
        </w:tc>
        <w:tc>
          <w:tcPr>
            <w:tcW w:w="5310" w:type="dxa"/>
          </w:tcPr>
          <w:p w:rsidR="00641BDA" w:rsidRPr="00597338" w:rsidRDefault="00B65D30" w:rsidP="00F93C79">
            <w:pPr>
              <w:pStyle w:val="ListParagraph"/>
              <w:spacing w:after="120"/>
              <w:ind w:left="162" w:right="18"/>
              <w:outlineLvl w:val="0"/>
              <w:rPr>
                <w:rFonts w:asciiTheme="minorHAnsi" w:eastAsia="Times New Roman" w:hAnsiTheme="minorHAnsi" w:cstheme="minorHAnsi"/>
                <w:color w:val="000000" w:themeColor="text1"/>
                <w:sz w:val="24"/>
                <w:szCs w:val="24"/>
              </w:rPr>
            </w:pPr>
            <w:r>
              <w:rPr>
                <w:rFonts w:asciiTheme="minorHAnsi" w:hAnsiTheme="minorHAnsi" w:cstheme="minorHAnsi"/>
                <w:iCs/>
                <w:sz w:val="24"/>
                <w:szCs w:val="24"/>
              </w:rPr>
              <w:t xml:space="preserve">DEQ compared </w:t>
            </w:r>
            <w:r w:rsidRPr="00597338">
              <w:rPr>
                <w:rFonts w:asciiTheme="minorHAnsi" w:hAnsiTheme="minorHAnsi" w:cstheme="minorHAnsi"/>
                <w:iCs/>
                <w:sz w:val="24"/>
                <w:szCs w:val="24"/>
              </w:rPr>
              <w:t xml:space="preserve">the 64 businesses registered with the Clean Fuels Program </w:t>
            </w:r>
            <w:r w:rsidR="00F93C79">
              <w:rPr>
                <w:rFonts w:asciiTheme="minorHAnsi" w:hAnsiTheme="minorHAnsi" w:cstheme="minorHAnsi"/>
                <w:iCs/>
                <w:sz w:val="24"/>
                <w:szCs w:val="24"/>
              </w:rPr>
              <w:t xml:space="preserve">to current </w:t>
            </w:r>
            <w:r w:rsidR="00F93C79" w:rsidRPr="00597338">
              <w:rPr>
                <w:rFonts w:asciiTheme="minorHAnsi" w:hAnsiTheme="minorHAnsi" w:cstheme="minorHAnsi"/>
                <w:iCs/>
                <w:sz w:val="24"/>
                <w:szCs w:val="24"/>
              </w:rPr>
              <w:t xml:space="preserve">employment data </w:t>
            </w:r>
            <w:r w:rsidR="00F93C79">
              <w:rPr>
                <w:rFonts w:asciiTheme="minorHAnsi" w:hAnsiTheme="minorHAnsi" w:cstheme="minorHAnsi"/>
                <w:iCs/>
                <w:sz w:val="24"/>
                <w:szCs w:val="24"/>
              </w:rPr>
              <w:t xml:space="preserve">with </w:t>
            </w:r>
            <w:r>
              <w:rPr>
                <w:rFonts w:asciiTheme="minorHAnsi" w:hAnsiTheme="minorHAnsi" w:cstheme="minorHAnsi"/>
                <w:iCs/>
                <w:sz w:val="24"/>
                <w:szCs w:val="24"/>
              </w:rPr>
              <w:t xml:space="preserve">to determine </w:t>
            </w:r>
            <w:r w:rsidR="00F93C79">
              <w:rPr>
                <w:rFonts w:asciiTheme="minorHAnsi" w:hAnsiTheme="minorHAnsi" w:cstheme="minorHAnsi"/>
                <w:iCs/>
                <w:sz w:val="24"/>
                <w:szCs w:val="24"/>
              </w:rPr>
              <w:t>how many people the business employs</w:t>
            </w:r>
            <w:r>
              <w:rPr>
                <w:rFonts w:asciiTheme="minorHAnsi" w:hAnsiTheme="minorHAnsi" w:cstheme="minorHAnsi"/>
                <w:iCs/>
                <w:sz w:val="24"/>
                <w:szCs w:val="24"/>
              </w:rPr>
              <w:t xml:space="preserve">. </w:t>
            </w:r>
            <w:r w:rsidR="00F93C79">
              <w:rPr>
                <w:rFonts w:asciiTheme="minorHAnsi" w:hAnsiTheme="minorHAnsi" w:cstheme="minorHAnsi"/>
                <w:iCs/>
                <w:sz w:val="24"/>
                <w:szCs w:val="24"/>
              </w:rPr>
              <w:t>Thirty-eight</w:t>
            </w:r>
            <w:r>
              <w:rPr>
                <w:rFonts w:asciiTheme="minorHAnsi" w:hAnsiTheme="minorHAnsi" w:cstheme="minorHAnsi"/>
                <w:iCs/>
                <w:sz w:val="24"/>
                <w:szCs w:val="24"/>
              </w:rPr>
              <w:t xml:space="preserve"> </w:t>
            </w:r>
            <w:r w:rsidR="0068707F" w:rsidRPr="00597338">
              <w:rPr>
                <w:rFonts w:asciiTheme="minorHAnsi" w:hAnsiTheme="minorHAnsi" w:cstheme="minorHAnsi"/>
                <w:iCs/>
                <w:sz w:val="24"/>
                <w:szCs w:val="24"/>
              </w:rPr>
              <w:t>are small businesses.</w:t>
            </w:r>
            <w:r w:rsidR="0068707F" w:rsidRPr="00597338">
              <w:rPr>
                <w:rFonts w:asciiTheme="minorHAnsi" w:hAnsiTheme="minorHAnsi" w:cstheme="minorHAnsi"/>
                <w:iCs/>
                <w:color w:val="000000"/>
                <w:sz w:val="24"/>
                <w:szCs w:val="24"/>
              </w:rPr>
              <w:t xml:space="preserve"> </w:t>
            </w:r>
            <w:r w:rsidR="00F93C79">
              <w:rPr>
                <w:rFonts w:asciiTheme="minorHAnsi" w:hAnsiTheme="minorHAnsi" w:cstheme="minorHAnsi"/>
                <w:iCs/>
                <w:color w:val="000000"/>
                <w:sz w:val="24"/>
                <w:szCs w:val="24"/>
              </w:rPr>
              <w:t xml:space="preserve">Of those 38, two </w:t>
            </w:r>
            <w:r w:rsidR="002F4ACF" w:rsidRPr="00597338">
              <w:rPr>
                <w:rFonts w:asciiTheme="minorHAnsi" w:hAnsiTheme="minorHAnsi" w:cstheme="minorHAnsi"/>
                <w:iCs/>
                <w:color w:val="000000"/>
                <w:sz w:val="24"/>
                <w:szCs w:val="24"/>
              </w:rPr>
              <w:t xml:space="preserve">are Oregon producers of fuels, </w:t>
            </w:r>
            <w:r w:rsidR="00F93C79">
              <w:rPr>
                <w:rFonts w:asciiTheme="minorHAnsi" w:hAnsiTheme="minorHAnsi" w:cstheme="minorHAnsi"/>
                <w:iCs/>
                <w:color w:val="000000"/>
                <w:sz w:val="24"/>
                <w:szCs w:val="24"/>
              </w:rPr>
              <w:t>nine</w:t>
            </w:r>
            <w:r w:rsidR="002F4ACF" w:rsidRPr="00597338">
              <w:rPr>
                <w:rFonts w:asciiTheme="minorHAnsi" w:hAnsiTheme="minorHAnsi" w:cstheme="minorHAnsi"/>
                <w:iCs/>
                <w:color w:val="000000"/>
                <w:sz w:val="24"/>
                <w:szCs w:val="24"/>
              </w:rPr>
              <w:t xml:space="preserve"> are small importers of finished fuels, 24 are large importers of finished fuels and </w:t>
            </w:r>
            <w:r w:rsidR="00F93C79">
              <w:rPr>
                <w:rFonts w:asciiTheme="minorHAnsi" w:hAnsiTheme="minorHAnsi" w:cstheme="minorHAnsi"/>
                <w:iCs/>
                <w:color w:val="000000"/>
                <w:sz w:val="24"/>
                <w:szCs w:val="24"/>
              </w:rPr>
              <w:t>three</w:t>
            </w:r>
            <w:r w:rsidR="002F4ACF" w:rsidRPr="00597338">
              <w:rPr>
                <w:rFonts w:asciiTheme="minorHAnsi" w:hAnsiTheme="minorHAnsi" w:cstheme="minorHAnsi"/>
                <w:iCs/>
                <w:color w:val="000000"/>
                <w:sz w:val="24"/>
                <w:szCs w:val="24"/>
              </w:rPr>
              <w:t xml:space="preserve"> are importers of blendstocks. </w:t>
            </w:r>
            <w:r w:rsidR="0068707F" w:rsidRPr="00597338">
              <w:rPr>
                <w:rFonts w:asciiTheme="minorHAnsi" w:hAnsiTheme="minorHAnsi" w:cstheme="minorHAnsi"/>
                <w:iCs/>
                <w:color w:val="000000"/>
                <w:sz w:val="24"/>
                <w:szCs w:val="24"/>
              </w:rPr>
              <w:t>The</w:t>
            </w:r>
            <w:r w:rsidR="00CD5BFF">
              <w:rPr>
                <w:rFonts w:asciiTheme="minorHAnsi" w:hAnsiTheme="minorHAnsi" w:cstheme="minorHAnsi"/>
                <w:iCs/>
                <w:color w:val="000000"/>
                <w:sz w:val="24"/>
                <w:szCs w:val="24"/>
              </w:rPr>
              <w:t xml:space="preserve"> importers </w:t>
            </w:r>
            <w:r w:rsidR="0068707F" w:rsidRPr="00597338">
              <w:rPr>
                <w:rFonts w:asciiTheme="minorHAnsi" w:hAnsiTheme="minorHAnsi" w:cstheme="minorHAnsi"/>
                <w:iCs/>
                <w:color w:val="000000"/>
                <w:sz w:val="24"/>
                <w:szCs w:val="24"/>
              </w:rPr>
              <w:t xml:space="preserve">are </w:t>
            </w:r>
            <w:r w:rsidR="00CD5BFF">
              <w:rPr>
                <w:rFonts w:asciiTheme="minorHAnsi" w:hAnsiTheme="minorHAnsi" w:cstheme="minorHAnsi"/>
                <w:iCs/>
                <w:color w:val="000000"/>
                <w:sz w:val="24"/>
                <w:szCs w:val="24"/>
              </w:rPr>
              <w:t xml:space="preserve">primarily </w:t>
            </w:r>
            <w:r w:rsidR="0068707F" w:rsidRPr="00597338">
              <w:rPr>
                <w:rFonts w:asciiTheme="minorHAnsi" w:hAnsiTheme="minorHAnsi" w:cstheme="minorHAnsi"/>
                <w:iCs/>
                <w:color w:val="000000"/>
                <w:sz w:val="24"/>
                <w:szCs w:val="24"/>
              </w:rPr>
              <w:t xml:space="preserve">fuel distributors and bulk fuel storage </w:t>
            </w:r>
            <w:r w:rsidR="00CD5BFF">
              <w:rPr>
                <w:rFonts w:asciiTheme="minorHAnsi" w:hAnsiTheme="minorHAnsi" w:cstheme="minorHAnsi"/>
                <w:iCs/>
                <w:color w:val="000000"/>
                <w:sz w:val="24"/>
                <w:szCs w:val="24"/>
              </w:rPr>
              <w:t>facilities</w:t>
            </w:r>
            <w:r w:rsidR="0068707F" w:rsidRPr="00597338">
              <w:rPr>
                <w:rFonts w:asciiTheme="minorHAnsi" w:hAnsiTheme="minorHAnsi" w:cstheme="minorHAnsi"/>
                <w:iCs/>
                <w:color w:val="000000"/>
                <w:sz w:val="24"/>
                <w:szCs w:val="24"/>
              </w:rPr>
              <w:t xml:space="preserve">. </w:t>
            </w:r>
          </w:p>
        </w:tc>
      </w:tr>
      <w:tr w:rsidR="00AD7DB9" w:rsidRPr="000B7D38" w:rsidTr="005B6EA3">
        <w:tc>
          <w:tcPr>
            <w:tcW w:w="4140" w:type="dxa"/>
          </w:tcPr>
          <w:p w:rsidR="00641BDA" w:rsidRPr="00597338" w:rsidRDefault="0068707F">
            <w:pPr>
              <w:pStyle w:val="ListParagraph"/>
              <w:numPr>
                <w:ilvl w:val="0"/>
                <w:numId w:val="39"/>
              </w:numPr>
              <w:ind w:right="18"/>
              <w:outlineLvl w:val="0"/>
              <w:rPr>
                <w:rFonts w:ascii="Times New Roman" w:eastAsia="Times New Roman" w:hAnsi="Times New Roman" w:cs="Times New Roman"/>
                <w:color w:val="000000" w:themeColor="text1"/>
                <w:sz w:val="24"/>
                <w:szCs w:val="24"/>
              </w:rPr>
            </w:pPr>
            <w:r w:rsidRPr="00597338">
              <w:rPr>
                <w:rFonts w:ascii="Times New Roman" w:eastAsia="Times New Roman" w:hAnsi="Times New Roman" w:cs="Times New Roman"/>
                <w:color w:val="000000" w:themeColor="text1"/>
                <w:sz w:val="24"/>
                <w:szCs w:val="24"/>
              </w:rPr>
              <w:t>Projected reporting, recordkeeping and other administrative activities, including costs of professional services, required for small businesses to comply with the proposed rule.</w:t>
            </w:r>
          </w:p>
          <w:p w:rsidR="00AD7DB9" w:rsidRPr="00597338" w:rsidRDefault="00AD7DB9" w:rsidP="00064299">
            <w:pPr>
              <w:ind w:left="0" w:right="18"/>
              <w:outlineLvl w:val="0"/>
              <w:rPr>
                <w:rFonts w:ascii="Times New Roman" w:eastAsia="Times New Roman" w:hAnsi="Times New Roman" w:cs="Times New Roman"/>
                <w:color w:val="000000" w:themeColor="text1"/>
                <w:sz w:val="24"/>
                <w:szCs w:val="24"/>
              </w:rPr>
            </w:pPr>
          </w:p>
        </w:tc>
        <w:tc>
          <w:tcPr>
            <w:tcW w:w="5310" w:type="dxa"/>
          </w:tcPr>
          <w:p w:rsidR="00F93C79" w:rsidRDefault="00F93C79" w:rsidP="00C76F50">
            <w:pPr>
              <w:ind w:left="162"/>
              <w:rPr>
                <w:rFonts w:asciiTheme="minorHAnsi" w:hAnsiTheme="minorHAnsi" w:cstheme="minorHAnsi"/>
                <w:sz w:val="24"/>
                <w:szCs w:val="24"/>
              </w:rPr>
            </w:pPr>
            <w:r w:rsidRPr="00597338">
              <w:rPr>
                <w:rFonts w:asciiTheme="minorHAnsi" w:hAnsiTheme="minorHAnsi" w:cstheme="minorHAnsi"/>
                <w:sz w:val="24"/>
                <w:szCs w:val="24"/>
              </w:rPr>
              <w:t>The proposed rules would reduce labor and administration</w:t>
            </w:r>
            <w:r>
              <w:rPr>
                <w:rFonts w:asciiTheme="minorHAnsi" w:hAnsiTheme="minorHAnsi" w:cstheme="minorHAnsi"/>
                <w:sz w:val="24"/>
                <w:szCs w:val="24"/>
              </w:rPr>
              <w:t xml:space="preserve"> required</w:t>
            </w:r>
            <w:r w:rsidRPr="00597338">
              <w:rPr>
                <w:rFonts w:asciiTheme="minorHAnsi" w:hAnsiTheme="minorHAnsi" w:cstheme="minorHAnsi"/>
                <w:sz w:val="24"/>
                <w:szCs w:val="24"/>
              </w:rPr>
              <w:t xml:space="preserve"> for recordkeeping and reporting.</w:t>
            </w:r>
            <w:r>
              <w:rPr>
                <w:rFonts w:asciiTheme="minorHAnsi" w:hAnsiTheme="minorHAnsi" w:cstheme="minorHAnsi"/>
                <w:sz w:val="24"/>
                <w:szCs w:val="24"/>
              </w:rPr>
              <w:t xml:space="preserve"> </w:t>
            </w:r>
          </w:p>
          <w:p w:rsidR="00F93C79" w:rsidRDefault="00F93C79" w:rsidP="00C76F50">
            <w:pPr>
              <w:ind w:left="162"/>
              <w:rPr>
                <w:rFonts w:asciiTheme="minorHAnsi" w:hAnsiTheme="minorHAnsi" w:cstheme="minorHAnsi"/>
                <w:sz w:val="24"/>
                <w:szCs w:val="24"/>
              </w:rPr>
            </w:pPr>
          </w:p>
          <w:p w:rsidR="00CD5BFF" w:rsidRDefault="00F93C79" w:rsidP="00C76F50">
            <w:pPr>
              <w:ind w:left="162"/>
              <w:rPr>
                <w:rFonts w:asciiTheme="minorHAnsi" w:hAnsiTheme="minorHAnsi" w:cstheme="minorHAnsi"/>
                <w:sz w:val="24"/>
                <w:szCs w:val="24"/>
              </w:rPr>
            </w:pPr>
            <w:r>
              <w:rPr>
                <w:rFonts w:asciiTheme="minorHAnsi" w:hAnsiTheme="minorHAnsi" w:cstheme="minorHAnsi"/>
                <w:sz w:val="24"/>
                <w:szCs w:val="24"/>
              </w:rPr>
              <w:t>R</w:t>
            </w:r>
            <w:r w:rsidR="0068707F" w:rsidRPr="00597338">
              <w:rPr>
                <w:rFonts w:asciiTheme="minorHAnsi" w:hAnsiTheme="minorHAnsi" w:cstheme="minorHAnsi"/>
                <w:sz w:val="24"/>
                <w:szCs w:val="24"/>
              </w:rPr>
              <w:t xml:space="preserve">ecordkeeping requirements distinguish between importers </w:t>
            </w:r>
            <w:r w:rsidR="00CD5BFF">
              <w:rPr>
                <w:rFonts w:asciiTheme="minorHAnsi" w:hAnsiTheme="minorHAnsi" w:cstheme="minorHAnsi"/>
                <w:sz w:val="24"/>
                <w:szCs w:val="24"/>
              </w:rPr>
              <w:t>based on</w:t>
            </w:r>
            <w:r w:rsidR="0068707F" w:rsidRPr="00597338">
              <w:rPr>
                <w:rFonts w:asciiTheme="minorHAnsi" w:hAnsiTheme="minorHAnsi" w:cstheme="minorHAnsi"/>
                <w:sz w:val="24"/>
                <w:szCs w:val="24"/>
              </w:rPr>
              <w:t xml:space="preserve"> the types and volumes of fuel supplied. </w:t>
            </w:r>
            <w:r w:rsidR="002F4ACF" w:rsidRPr="00597338">
              <w:rPr>
                <w:rFonts w:asciiTheme="minorHAnsi" w:hAnsiTheme="minorHAnsi" w:cstheme="minorHAnsi"/>
                <w:sz w:val="24"/>
                <w:szCs w:val="24"/>
              </w:rPr>
              <w:t xml:space="preserve">The proposed </w:t>
            </w:r>
            <w:r>
              <w:rPr>
                <w:rFonts w:asciiTheme="minorHAnsi" w:hAnsiTheme="minorHAnsi" w:cstheme="minorHAnsi"/>
                <w:sz w:val="24"/>
                <w:szCs w:val="24"/>
              </w:rPr>
              <w:t>rules</w:t>
            </w:r>
            <w:r w:rsidR="002F4ACF" w:rsidRPr="00597338">
              <w:rPr>
                <w:rFonts w:asciiTheme="minorHAnsi" w:hAnsiTheme="minorHAnsi" w:cstheme="minorHAnsi"/>
                <w:sz w:val="24"/>
                <w:szCs w:val="24"/>
              </w:rPr>
              <w:t xml:space="preserve"> </w:t>
            </w:r>
            <w:r>
              <w:rPr>
                <w:rFonts w:asciiTheme="minorHAnsi" w:hAnsiTheme="minorHAnsi" w:cstheme="minorHAnsi"/>
                <w:sz w:val="24"/>
                <w:szCs w:val="24"/>
              </w:rPr>
              <w:t xml:space="preserve">have the most </w:t>
            </w:r>
            <w:r w:rsidR="002F4ACF" w:rsidRPr="00597338">
              <w:rPr>
                <w:rFonts w:asciiTheme="minorHAnsi" w:hAnsiTheme="minorHAnsi" w:cstheme="minorHAnsi"/>
                <w:sz w:val="24"/>
                <w:szCs w:val="24"/>
              </w:rPr>
              <w:t xml:space="preserve">significantly </w:t>
            </w:r>
            <w:r>
              <w:rPr>
                <w:rFonts w:asciiTheme="minorHAnsi" w:hAnsiTheme="minorHAnsi" w:cstheme="minorHAnsi"/>
                <w:sz w:val="24"/>
                <w:szCs w:val="24"/>
              </w:rPr>
              <w:t>affect on</w:t>
            </w:r>
            <w:r w:rsidR="002F4ACF" w:rsidRPr="00597338">
              <w:rPr>
                <w:rFonts w:asciiTheme="minorHAnsi" w:hAnsiTheme="minorHAnsi" w:cstheme="minorHAnsi"/>
                <w:sz w:val="24"/>
                <w:szCs w:val="24"/>
              </w:rPr>
              <w:t xml:space="preserve"> large importers of finished fuels by </w:t>
            </w:r>
            <w:r w:rsidR="0068707F" w:rsidRPr="00597338">
              <w:rPr>
                <w:rFonts w:asciiTheme="minorHAnsi" w:hAnsiTheme="minorHAnsi" w:cstheme="minorHAnsi"/>
                <w:sz w:val="24"/>
                <w:szCs w:val="24"/>
              </w:rPr>
              <w:t>reduc</w:t>
            </w:r>
            <w:r w:rsidR="002F4ACF" w:rsidRPr="00597338">
              <w:rPr>
                <w:rFonts w:asciiTheme="minorHAnsi" w:hAnsiTheme="minorHAnsi" w:cstheme="minorHAnsi"/>
                <w:sz w:val="24"/>
                <w:szCs w:val="24"/>
              </w:rPr>
              <w:t>ing the</w:t>
            </w:r>
            <w:r w:rsidR="0068707F" w:rsidRPr="00597338">
              <w:rPr>
                <w:rFonts w:asciiTheme="minorHAnsi" w:hAnsiTheme="minorHAnsi" w:cstheme="minorHAnsi"/>
                <w:sz w:val="24"/>
                <w:szCs w:val="24"/>
              </w:rPr>
              <w:t xml:space="preserve"> recordkeeping requirements for </w:t>
            </w:r>
            <w:r w:rsidR="00F74AFF" w:rsidRPr="00597338">
              <w:rPr>
                <w:rFonts w:asciiTheme="minorHAnsi" w:hAnsiTheme="minorHAnsi" w:cstheme="minorHAnsi"/>
                <w:sz w:val="24"/>
                <w:szCs w:val="24"/>
              </w:rPr>
              <w:t>them</w:t>
            </w:r>
            <w:r w:rsidR="00E5240E" w:rsidRPr="00597338">
              <w:rPr>
                <w:rFonts w:asciiTheme="minorHAnsi" w:hAnsiTheme="minorHAnsi" w:cstheme="minorHAnsi"/>
                <w:sz w:val="24"/>
                <w:szCs w:val="24"/>
              </w:rPr>
              <w:t xml:space="preserve">; </w:t>
            </w:r>
            <w:r w:rsidR="00D5308F" w:rsidRPr="00597338">
              <w:rPr>
                <w:rFonts w:asciiTheme="minorHAnsi" w:hAnsiTheme="minorHAnsi" w:cstheme="minorHAnsi"/>
                <w:sz w:val="24"/>
                <w:szCs w:val="24"/>
              </w:rPr>
              <w:t>thereby, lowering</w:t>
            </w:r>
            <w:r w:rsidR="0068707F" w:rsidRPr="00597338">
              <w:rPr>
                <w:rFonts w:asciiTheme="minorHAnsi" w:hAnsiTheme="minorHAnsi" w:cstheme="minorHAnsi"/>
                <w:sz w:val="24"/>
                <w:szCs w:val="24"/>
              </w:rPr>
              <w:t xml:space="preserve"> recordkeeping costs. DEQ did not have </w:t>
            </w:r>
            <w:r w:rsidR="00BE0559" w:rsidRPr="00597338">
              <w:rPr>
                <w:rFonts w:asciiTheme="minorHAnsi" w:hAnsiTheme="minorHAnsi" w:cstheme="minorHAnsi"/>
                <w:sz w:val="24"/>
                <w:szCs w:val="24"/>
              </w:rPr>
              <w:t xml:space="preserve">specific </w:t>
            </w:r>
            <w:r w:rsidR="0068707F" w:rsidRPr="00597338">
              <w:rPr>
                <w:rFonts w:asciiTheme="minorHAnsi" w:hAnsiTheme="minorHAnsi" w:cstheme="minorHAnsi"/>
                <w:sz w:val="24"/>
                <w:szCs w:val="24"/>
              </w:rPr>
              <w:t>information to determine how much the proposed rules would reduce recordkeeping costs.</w:t>
            </w:r>
            <w:r w:rsidR="002F4ACF" w:rsidRPr="00597338">
              <w:rPr>
                <w:rFonts w:asciiTheme="minorHAnsi" w:hAnsiTheme="minorHAnsi" w:cstheme="minorHAnsi"/>
                <w:sz w:val="24"/>
                <w:szCs w:val="24"/>
              </w:rPr>
              <w:t xml:space="preserve"> </w:t>
            </w:r>
          </w:p>
          <w:p w:rsidR="00CD5BFF" w:rsidRDefault="00CD5BFF" w:rsidP="00C76F50">
            <w:pPr>
              <w:ind w:left="162"/>
              <w:rPr>
                <w:rFonts w:asciiTheme="minorHAnsi" w:hAnsiTheme="minorHAnsi" w:cstheme="minorHAnsi"/>
                <w:sz w:val="24"/>
                <w:szCs w:val="24"/>
              </w:rPr>
            </w:pPr>
          </w:p>
          <w:p w:rsidR="00AD7DB9" w:rsidRPr="00597338" w:rsidRDefault="002F4ACF" w:rsidP="00C76F50">
            <w:pPr>
              <w:ind w:left="162"/>
              <w:rPr>
                <w:rFonts w:asciiTheme="minorHAnsi" w:hAnsiTheme="minorHAnsi" w:cstheme="minorHAnsi"/>
                <w:sz w:val="24"/>
                <w:szCs w:val="24"/>
              </w:rPr>
            </w:pPr>
            <w:r w:rsidRPr="00597338">
              <w:rPr>
                <w:rFonts w:asciiTheme="minorHAnsi" w:hAnsiTheme="minorHAnsi" w:cstheme="minorHAnsi"/>
                <w:sz w:val="24"/>
                <w:szCs w:val="24"/>
              </w:rPr>
              <w:t xml:space="preserve">The </w:t>
            </w:r>
            <w:r w:rsidR="00C42021">
              <w:rPr>
                <w:rFonts w:asciiTheme="minorHAnsi" w:hAnsiTheme="minorHAnsi" w:cstheme="minorHAnsi"/>
                <w:sz w:val="24"/>
                <w:szCs w:val="24"/>
              </w:rPr>
              <w:t>proposed rules</w:t>
            </w:r>
            <w:r w:rsidRPr="00597338">
              <w:rPr>
                <w:rFonts w:asciiTheme="minorHAnsi" w:hAnsiTheme="minorHAnsi" w:cstheme="minorHAnsi"/>
                <w:sz w:val="24"/>
                <w:szCs w:val="24"/>
              </w:rPr>
              <w:t xml:space="preserve"> do not have a significant impact on Oregon producers, importers of blendstocks or small importers of finished fuels.</w:t>
            </w:r>
          </w:p>
          <w:p w:rsidR="00C76F50" w:rsidRPr="00597338" w:rsidRDefault="00C76F50" w:rsidP="00C76F50">
            <w:pPr>
              <w:ind w:left="162"/>
              <w:rPr>
                <w:rFonts w:asciiTheme="minorHAnsi" w:eastAsia="Times New Roman" w:hAnsiTheme="minorHAnsi" w:cstheme="minorHAnsi"/>
                <w:color w:val="000000" w:themeColor="text1"/>
                <w:sz w:val="24"/>
                <w:szCs w:val="24"/>
              </w:rPr>
            </w:pPr>
          </w:p>
        </w:tc>
      </w:tr>
      <w:tr w:rsidR="00AD7DB9" w:rsidRPr="000B7D38" w:rsidTr="005B6EA3">
        <w:tc>
          <w:tcPr>
            <w:tcW w:w="4140" w:type="dxa"/>
          </w:tcPr>
          <w:p w:rsidR="00641BDA" w:rsidRPr="00597338" w:rsidRDefault="0068707F" w:rsidP="00B26F16">
            <w:pPr>
              <w:pStyle w:val="ListParagraph"/>
              <w:numPr>
                <w:ilvl w:val="0"/>
                <w:numId w:val="39"/>
              </w:numPr>
              <w:ind w:right="18"/>
              <w:outlineLvl w:val="0"/>
              <w:rPr>
                <w:rFonts w:ascii="Times New Roman" w:eastAsia="Times New Roman" w:hAnsi="Times New Roman" w:cs="Times New Roman"/>
                <w:color w:val="000000" w:themeColor="text1"/>
                <w:sz w:val="24"/>
                <w:szCs w:val="24"/>
              </w:rPr>
            </w:pPr>
            <w:r w:rsidRPr="00597338">
              <w:rPr>
                <w:rFonts w:ascii="Times New Roman" w:eastAsia="Times New Roman" w:hAnsi="Times New Roman" w:cs="Times New Roman"/>
                <w:color w:val="000000" w:themeColor="text1"/>
                <w:sz w:val="24"/>
                <w:szCs w:val="24"/>
              </w:rPr>
              <w:t>Projected equipment, supplies, labor and increased administration required for small businesses to comply with the proposed rule.</w:t>
            </w:r>
          </w:p>
          <w:p w:rsidR="00AD7DB9" w:rsidRPr="00597338" w:rsidRDefault="00AD7DB9" w:rsidP="00064299">
            <w:pPr>
              <w:ind w:left="0" w:right="18"/>
              <w:outlineLvl w:val="0"/>
              <w:rPr>
                <w:rFonts w:ascii="Times New Roman" w:eastAsia="Times New Roman" w:hAnsi="Times New Roman" w:cs="Times New Roman"/>
                <w:color w:val="000000" w:themeColor="text1"/>
                <w:sz w:val="24"/>
                <w:szCs w:val="24"/>
              </w:rPr>
            </w:pPr>
          </w:p>
        </w:tc>
        <w:tc>
          <w:tcPr>
            <w:tcW w:w="5310" w:type="dxa"/>
          </w:tcPr>
          <w:p w:rsidR="00C76F50" w:rsidRPr="00597338" w:rsidRDefault="0068707F" w:rsidP="00C76F50">
            <w:pPr>
              <w:ind w:left="162"/>
              <w:rPr>
                <w:rFonts w:asciiTheme="minorHAnsi" w:hAnsiTheme="minorHAnsi" w:cstheme="minorHAnsi"/>
                <w:sz w:val="24"/>
                <w:szCs w:val="24"/>
              </w:rPr>
            </w:pPr>
            <w:r w:rsidRPr="00597338">
              <w:rPr>
                <w:rFonts w:asciiTheme="minorHAnsi" w:hAnsiTheme="minorHAnsi" w:cstheme="minorHAnsi"/>
                <w:sz w:val="24"/>
                <w:szCs w:val="24"/>
              </w:rPr>
              <w:t xml:space="preserve">The proposed rules </w:t>
            </w:r>
            <w:r w:rsidR="00F93C79">
              <w:rPr>
                <w:rFonts w:asciiTheme="minorHAnsi" w:hAnsiTheme="minorHAnsi" w:cstheme="minorHAnsi"/>
                <w:sz w:val="24"/>
                <w:szCs w:val="24"/>
              </w:rPr>
              <w:t>do not include requirements that wou</w:t>
            </w:r>
            <w:r w:rsidRPr="00597338">
              <w:rPr>
                <w:rFonts w:asciiTheme="minorHAnsi" w:hAnsiTheme="minorHAnsi" w:cstheme="minorHAnsi"/>
                <w:sz w:val="24"/>
                <w:szCs w:val="24"/>
              </w:rPr>
              <w:t xml:space="preserve">ld </w:t>
            </w:r>
            <w:r w:rsidR="00F93C79">
              <w:rPr>
                <w:rFonts w:asciiTheme="minorHAnsi" w:hAnsiTheme="minorHAnsi" w:cstheme="minorHAnsi"/>
                <w:sz w:val="24"/>
                <w:szCs w:val="24"/>
              </w:rPr>
              <w:t xml:space="preserve">require new or different equipment or supplies. </w:t>
            </w:r>
            <w:r w:rsidR="00030F35">
              <w:rPr>
                <w:rFonts w:asciiTheme="minorHAnsi" w:hAnsiTheme="minorHAnsi" w:cstheme="minorHAnsi"/>
                <w:sz w:val="24"/>
                <w:szCs w:val="24"/>
              </w:rPr>
              <w:t>The proposed rules would reduce l</w:t>
            </w:r>
            <w:r w:rsidR="00F93C79">
              <w:rPr>
                <w:rFonts w:asciiTheme="minorHAnsi" w:hAnsiTheme="minorHAnsi" w:cstheme="minorHAnsi"/>
                <w:sz w:val="24"/>
                <w:szCs w:val="24"/>
              </w:rPr>
              <w:t>abor and administration costs for recordkeeping</w:t>
            </w:r>
            <w:r w:rsidRPr="00597338">
              <w:rPr>
                <w:rFonts w:asciiTheme="minorHAnsi" w:hAnsiTheme="minorHAnsi" w:cstheme="minorHAnsi"/>
                <w:sz w:val="24"/>
                <w:szCs w:val="24"/>
              </w:rPr>
              <w:t xml:space="preserve"> and reporting</w:t>
            </w:r>
            <w:r w:rsidR="00030F35">
              <w:rPr>
                <w:rFonts w:asciiTheme="minorHAnsi" w:hAnsiTheme="minorHAnsi" w:cstheme="minorHAnsi"/>
                <w:sz w:val="24"/>
                <w:szCs w:val="24"/>
              </w:rPr>
              <w:t xml:space="preserve">, </w:t>
            </w:r>
            <w:r w:rsidR="00F93C79">
              <w:rPr>
                <w:rFonts w:asciiTheme="minorHAnsi" w:hAnsiTheme="minorHAnsi" w:cstheme="minorHAnsi"/>
                <w:sz w:val="24"/>
                <w:szCs w:val="24"/>
              </w:rPr>
              <w:t xml:space="preserve">though </w:t>
            </w:r>
            <w:r w:rsidRPr="00597338">
              <w:rPr>
                <w:rFonts w:asciiTheme="minorHAnsi" w:hAnsiTheme="minorHAnsi" w:cstheme="minorHAnsi"/>
                <w:sz w:val="24"/>
                <w:szCs w:val="24"/>
              </w:rPr>
              <w:t xml:space="preserve">DEQ does not have </w:t>
            </w:r>
            <w:r w:rsidR="00B26F16" w:rsidRPr="00597338">
              <w:rPr>
                <w:rFonts w:asciiTheme="minorHAnsi" w:hAnsiTheme="minorHAnsi" w:cstheme="minorHAnsi"/>
                <w:sz w:val="24"/>
                <w:szCs w:val="24"/>
              </w:rPr>
              <w:t xml:space="preserve">specific </w:t>
            </w:r>
            <w:r w:rsidRPr="00597338">
              <w:rPr>
                <w:rFonts w:asciiTheme="minorHAnsi" w:hAnsiTheme="minorHAnsi" w:cstheme="minorHAnsi"/>
                <w:sz w:val="24"/>
                <w:szCs w:val="24"/>
              </w:rPr>
              <w:t xml:space="preserve">information to estimate cost savings. </w:t>
            </w:r>
          </w:p>
          <w:p w:rsidR="00135BBC" w:rsidRPr="00FC6D41" w:rsidRDefault="00135BBC" w:rsidP="00C76F50">
            <w:pPr>
              <w:ind w:left="162"/>
              <w:rPr>
                <w:rFonts w:asciiTheme="minorHAnsi" w:hAnsiTheme="minorHAnsi" w:cstheme="minorHAnsi"/>
                <w:sz w:val="24"/>
                <w:szCs w:val="24"/>
              </w:rPr>
            </w:pPr>
          </w:p>
        </w:tc>
      </w:tr>
      <w:tr w:rsidR="005B6EA3" w:rsidRPr="00A66C7E" w:rsidTr="005B6EA3">
        <w:tc>
          <w:tcPr>
            <w:tcW w:w="4140" w:type="dxa"/>
            <w:tcBorders>
              <w:top w:val="nil"/>
              <w:left w:val="nil"/>
              <w:bottom w:val="nil"/>
              <w:right w:val="nil"/>
            </w:tcBorders>
          </w:tcPr>
          <w:p w:rsidR="007D388B" w:rsidRDefault="005B6EA3">
            <w:pPr>
              <w:pStyle w:val="ListParagraph"/>
              <w:numPr>
                <w:ilvl w:val="0"/>
                <w:numId w:val="39"/>
              </w:numPr>
              <w:ind w:right="18"/>
              <w:outlineLvl w:val="0"/>
              <w:rPr>
                <w:rFonts w:ascii="Times New Roman" w:eastAsia="Times New Roman" w:hAnsi="Times New Roman" w:cs="Times New Roman"/>
                <w:color w:val="000000" w:themeColor="text1"/>
                <w:sz w:val="24"/>
                <w:szCs w:val="24"/>
              </w:rPr>
            </w:pPr>
            <w:r w:rsidRPr="00A66C7E">
              <w:rPr>
                <w:rFonts w:ascii="Times New Roman" w:eastAsia="Times New Roman" w:hAnsi="Times New Roman" w:cs="Times New Roman"/>
                <w:color w:val="000000" w:themeColor="text1"/>
                <w:sz w:val="24"/>
                <w:szCs w:val="24"/>
              </w:rPr>
              <w:t>Describe how DEQ involved small businesses in developing this proposed rule.</w:t>
            </w:r>
          </w:p>
          <w:p w:rsidR="007D388B" w:rsidRDefault="007D388B">
            <w:pPr>
              <w:pStyle w:val="ListParagraph"/>
              <w:ind w:left="612" w:right="18"/>
              <w:outlineLvl w:val="0"/>
              <w:rPr>
                <w:rFonts w:ascii="Times New Roman" w:eastAsia="Times New Roman" w:hAnsi="Times New Roman" w:cs="Times New Roman"/>
                <w:color w:val="000000" w:themeColor="text1"/>
                <w:sz w:val="24"/>
                <w:szCs w:val="24"/>
              </w:rPr>
            </w:pPr>
          </w:p>
        </w:tc>
        <w:tc>
          <w:tcPr>
            <w:tcW w:w="5310" w:type="dxa"/>
            <w:tcBorders>
              <w:top w:val="nil"/>
              <w:left w:val="nil"/>
              <w:bottom w:val="nil"/>
              <w:right w:val="nil"/>
            </w:tcBorders>
          </w:tcPr>
          <w:p w:rsidR="007D388B" w:rsidRPr="00030F35" w:rsidRDefault="00815AF4" w:rsidP="00030F35">
            <w:pPr>
              <w:ind w:left="162"/>
              <w:rPr>
                <w:rFonts w:asciiTheme="minorHAnsi" w:hAnsiTheme="minorHAnsi" w:cstheme="minorHAnsi"/>
                <w:sz w:val="24"/>
                <w:szCs w:val="24"/>
              </w:rPr>
            </w:pPr>
            <w:r w:rsidRPr="00030F35">
              <w:rPr>
                <w:rFonts w:asciiTheme="minorHAnsi" w:hAnsiTheme="minorHAnsi" w:cstheme="minorHAnsi"/>
                <w:sz w:val="24"/>
                <w:szCs w:val="24"/>
              </w:rPr>
              <w:t xml:space="preserve">DEQ worked directly with each of the 64 businesses subject to the Clean Fuels Program during the initial outreach and registration process in 2013, many are small businesses. </w:t>
            </w:r>
            <w:r w:rsidR="00FC6D41" w:rsidRPr="00030F35">
              <w:rPr>
                <w:rFonts w:asciiTheme="minorHAnsi" w:hAnsiTheme="minorHAnsi" w:cstheme="minorHAnsi"/>
                <w:sz w:val="24"/>
                <w:szCs w:val="24"/>
              </w:rPr>
              <w:t>T</w:t>
            </w:r>
            <w:r w:rsidR="000B411D" w:rsidRPr="00030F35">
              <w:rPr>
                <w:rFonts w:asciiTheme="minorHAnsi" w:hAnsiTheme="minorHAnsi" w:cstheme="minorHAnsi"/>
                <w:sz w:val="24"/>
                <w:szCs w:val="24"/>
              </w:rPr>
              <w:t xml:space="preserve">hrough surveys, e-mails, workshops and individual conversations, DEQ worked closely with businesses to identify alternatives to the previous recordkeeping and reporting requirements to reduce costs to regulated parties while still providing DEQ with the information it needs for program development. DEQ shared the </w:t>
            </w:r>
            <w:r w:rsidR="00C42021" w:rsidRPr="00030F35">
              <w:rPr>
                <w:rFonts w:asciiTheme="minorHAnsi" w:hAnsiTheme="minorHAnsi" w:cstheme="minorHAnsi"/>
                <w:sz w:val="24"/>
                <w:szCs w:val="24"/>
              </w:rPr>
              <w:t>proposed rules</w:t>
            </w:r>
            <w:r w:rsidR="000B411D" w:rsidRPr="00030F35">
              <w:rPr>
                <w:rFonts w:asciiTheme="minorHAnsi" w:hAnsiTheme="minorHAnsi" w:cstheme="minorHAnsi"/>
                <w:sz w:val="24"/>
                <w:szCs w:val="24"/>
              </w:rPr>
              <w:t xml:space="preserve"> with affected businesses and key stakeholders in fall 2013 during development of the temporary rules</w:t>
            </w:r>
            <w:r w:rsidR="00FC6D41" w:rsidRPr="00030F35">
              <w:rPr>
                <w:rFonts w:asciiTheme="minorHAnsi" w:hAnsiTheme="minorHAnsi" w:cstheme="minorHAnsi"/>
                <w:sz w:val="24"/>
                <w:szCs w:val="24"/>
              </w:rPr>
              <w:t>.</w:t>
            </w:r>
          </w:p>
        </w:tc>
      </w:tr>
    </w:tbl>
    <w:p w:rsidR="005B6EA3" w:rsidRDefault="005B6EA3" w:rsidP="00AD7DB9">
      <w:pPr>
        <w:spacing w:after="120"/>
        <w:ind w:left="360" w:right="18"/>
        <w:outlineLvl w:val="0"/>
        <w:rPr>
          <w:rFonts w:asciiTheme="majorHAnsi" w:eastAsia="Times New Roman" w:hAnsiTheme="majorHAnsi" w:cstheme="majorHAnsi"/>
          <w:bCs/>
          <w:color w:val="000000" w:themeColor="text1"/>
          <w:sz w:val="22"/>
          <w:szCs w:val="22"/>
        </w:rPr>
      </w:pPr>
    </w:p>
    <w:p w:rsidR="00AD7DB9" w:rsidRDefault="00AD7DB9" w:rsidP="00AD7DB9">
      <w:pPr>
        <w:spacing w:after="120"/>
        <w:ind w:left="360" w:right="18"/>
        <w:outlineLvl w:val="0"/>
        <w:rPr>
          <w:rFonts w:asciiTheme="majorHAnsi" w:eastAsia="Times New Roman" w:hAnsiTheme="majorHAnsi" w:cstheme="majorHAnsi"/>
          <w:bCs/>
          <w:color w:val="000000" w:themeColor="text1"/>
          <w:sz w:val="22"/>
          <w:szCs w:val="22"/>
        </w:rPr>
      </w:pPr>
      <w:r w:rsidRPr="006807BF">
        <w:rPr>
          <w:rFonts w:asciiTheme="majorHAnsi" w:eastAsia="Times New Roman" w:hAnsiTheme="majorHAnsi" w:cstheme="majorHAnsi"/>
          <w:bCs/>
          <w:color w:val="000000" w:themeColor="text1"/>
          <w:sz w:val="22"/>
          <w:szCs w:val="22"/>
        </w:rPr>
        <w:t>Documents relied on for fiscal and economic impact</w:t>
      </w:r>
    </w:p>
    <w:p w:rsidR="00FF648F" w:rsidRPr="006807BF" w:rsidRDefault="00FF648F" w:rsidP="00FF0CBE">
      <w:pPr>
        <w:ind w:left="360" w:right="14"/>
        <w:outlineLvl w:val="0"/>
        <w:rPr>
          <w:rFonts w:asciiTheme="majorHAnsi" w:eastAsia="Times New Roman" w:hAnsiTheme="majorHAnsi" w:cstheme="majorHAnsi"/>
          <w:bCs/>
          <w:color w:val="000000" w:themeColor="text1"/>
          <w:sz w:val="22"/>
          <w:szCs w:val="22"/>
        </w:rPr>
      </w:pPr>
    </w:p>
    <w:tbl>
      <w:tblPr>
        <w:tblStyle w:val="TableGrid"/>
        <w:tblW w:w="0" w:type="auto"/>
        <w:tblInd w:w="828" w:type="dxa"/>
        <w:tblLayout w:type="fixed"/>
        <w:tblLook w:val="04A0"/>
      </w:tblPr>
      <w:tblGrid>
        <w:gridCol w:w="5940"/>
        <w:gridCol w:w="3276"/>
      </w:tblGrid>
      <w:tr w:rsidR="00921421" w:rsidRPr="00597338" w:rsidTr="00285113">
        <w:trPr>
          <w:trHeight w:val="316"/>
        </w:trPr>
        <w:tc>
          <w:tcPr>
            <w:tcW w:w="5940" w:type="dxa"/>
            <w:tcBorders>
              <w:top w:val="double" w:sz="4" w:space="0" w:color="auto"/>
              <w:left w:val="double" w:sz="4" w:space="0" w:color="auto"/>
              <w:bottom w:val="single" w:sz="4" w:space="0" w:color="auto"/>
              <w:right w:val="single" w:sz="4" w:space="0" w:color="auto"/>
            </w:tcBorders>
            <w:shd w:val="clear" w:color="auto" w:fill="008272"/>
            <w:hideMark/>
          </w:tcPr>
          <w:p w:rsidR="00921421" w:rsidRPr="00597338" w:rsidRDefault="00921421" w:rsidP="00727E11">
            <w:pPr>
              <w:ind w:left="0" w:right="1008"/>
              <w:jc w:val="center"/>
              <w:rPr>
                <w:rFonts w:asciiTheme="minorHAnsi" w:eastAsia="Times New Roman" w:hAnsiTheme="minorHAnsi" w:cstheme="minorHAnsi"/>
                <w:b/>
                <w:bCs/>
                <w:color w:val="FFFFFF" w:themeColor="background1"/>
                <w:sz w:val="24"/>
                <w:szCs w:val="24"/>
              </w:rPr>
            </w:pPr>
            <w:r w:rsidRPr="00597338">
              <w:rPr>
                <w:rFonts w:asciiTheme="minorHAnsi" w:eastAsia="Times New Roman" w:hAnsiTheme="minorHAnsi" w:cstheme="minorHAnsi"/>
                <w:b/>
                <w:bCs/>
                <w:color w:val="FFFFFF" w:themeColor="background1"/>
                <w:sz w:val="24"/>
                <w:szCs w:val="24"/>
              </w:rPr>
              <w:t>Document title</w:t>
            </w:r>
          </w:p>
        </w:tc>
        <w:tc>
          <w:tcPr>
            <w:tcW w:w="3276" w:type="dxa"/>
            <w:tcBorders>
              <w:top w:val="double" w:sz="4" w:space="0" w:color="auto"/>
              <w:left w:val="single" w:sz="4" w:space="0" w:color="auto"/>
              <w:bottom w:val="single" w:sz="4" w:space="0" w:color="auto"/>
              <w:right w:val="double" w:sz="4" w:space="0" w:color="auto"/>
            </w:tcBorders>
            <w:shd w:val="clear" w:color="auto" w:fill="008272"/>
            <w:hideMark/>
          </w:tcPr>
          <w:p w:rsidR="00921421" w:rsidRPr="00597338" w:rsidRDefault="00921421" w:rsidP="00727E11">
            <w:pPr>
              <w:ind w:left="0" w:right="1008"/>
              <w:jc w:val="center"/>
              <w:rPr>
                <w:rFonts w:asciiTheme="minorHAnsi" w:eastAsia="Times New Roman" w:hAnsiTheme="minorHAnsi" w:cstheme="minorHAnsi"/>
                <w:b/>
                <w:bCs/>
                <w:color w:val="FFFFFF" w:themeColor="background1"/>
                <w:sz w:val="24"/>
                <w:szCs w:val="24"/>
              </w:rPr>
            </w:pPr>
            <w:r w:rsidRPr="00597338">
              <w:rPr>
                <w:rFonts w:asciiTheme="minorHAnsi" w:eastAsia="Times New Roman" w:hAnsiTheme="minorHAnsi" w:cstheme="minorHAnsi"/>
                <w:b/>
                <w:bCs/>
                <w:color w:val="FFFFFF" w:themeColor="background1"/>
                <w:sz w:val="24"/>
                <w:szCs w:val="24"/>
              </w:rPr>
              <w:t>Document location</w:t>
            </w:r>
          </w:p>
        </w:tc>
      </w:tr>
      <w:tr w:rsidR="00921421" w:rsidRPr="00597338" w:rsidTr="00030F35">
        <w:trPr>
          <w:trHeight w:val="720"/>
        </w:trPr>
        <w:tc>
          <w:tcPr>
            <w:tcW w:w="5940" w:type="dxa"/>
            <w:tcBorders>
              <w:top w:val="single" w:sz="4" w:space="0" w:color="auto"/>
              <w:left w:val="double" w:sz="4" w:space="0" w:color="auto"/>
              <w:bottom w:val="single" w:sz="4" w:space="0" w:color="auto"/>
              <w:right w:val="single" w:sz="4" w:space="0" w:color="auto"/>
            </w:tcBorders>
            <w:hideMark/>
          </w:tcPr>
          <w:p w:rsidR="00921421" w:rsidRPr="00597338" w:rsidRDefault="00921421" w:rsidP="00285113">
            <w:pPr>
              <w:ind w:left="0" w:right="1008"/>
              <w:rPr>
                <w:rFonts w:asciiTheme="minorHAnsi" w:eastAsia="Times New Roman" w:hAnsiTheme="minorHAnsi" w:cstheme="minorHAnsi"/>
                <w:bCs/>
                <w:color w:val="000000" w:themeColor="text1"/>
                <w:sz w:val="24"/>
                <w:szCs w:val="24"/>
              </w:rPr>
            </w:pPr>
            <w:r w:rsidRPr="00597338">
              <w:rPr>
                <w:rFonts w:asciiTheme="minorHAnsi" w:eastAsia="Times New Roman" w:hAnsiTheme="minorHAnsi" w:cstheme="minorHAnsi"/>
                <w:color w:val="000000" w:themeColor="text1"/>
                <w:sz w:val="24"/>
                <w:szCs w:val="24"/>
              </w:rPr>
              <w:t>Applications for registration to the program</w:t>
            </w:r>
          </w:p>
        </w:tc>
        <w:tc>
          <w:tcPr>
            <w:tcW w:w="3276" w:type="dxa"/>
            <w:tcBorders>
              <w:top w:val="single" w:sz="4" w:space="0" w:color="auto"/>
              <w:left w:val="single" w:sz="4" w:space="0" w:color="auto"/>
              <w:bottom w:val="single" w:sz="4" w:space="0" w:color="auto"/>
              <w:right w:val="double" w:sz="4" w:space="0" w:color="auto"/>
            </w:tcBorders>
            <w:hideMark/>
          </w:tcPr>
          <w:p w:rsidR="00921421" w:rsidRPr="00597338" w:rsidRDefault="00921421" w:rsidP="00285113">
            <w:pPr>
              <w:ind w:left="162" w:right="18"/>
              <w:rPr>
                <w:rFonts w:ascii="Times New Roman" w:eastAsia="Times New Roman" w:hAnsi="Times New Roman" w:cs="Times New Roman"/>
                <w:color w:val="000000" w:themeColor="text1"/>
                <w:sz w:val="24"/>
                <w:szCs w:val="24"/>
              </w:rPr>
            </w:pPr>
            <w:r w:rsidRPr="00597338">
              <w:rPr>
                <w:rFonts w:ascii="Times New Roman" w:eastAsia="Times New Roman" w:hAnsi="Times New Roman" w:cs="Times New Roman"/>
                <w:color w:val="000000" w:themeColor="text1"/>
                <w:sz w:val="24"/>
                <w:szCs w:val="24"/>
              </w:rPr>
              <w:t>DEQ headquarters</w:t>
            </w:r>
          </w:p>
          <w:p w:rsidR="00921421" w:rsidRPr="00597338" w:rsidRDefault="00921421" w:rsidP="00285113">
            <w:pPr>
              <w:ind w:left="162" w:right="18"/>
              <w:rPr>
                <w:rFonts w:ascii="Times New Roman" w:eastAsia="Times New Roman" w:hAnsi="Times New Roman" w:cs="Times New Roman"/>
                <w:color w:val="000000" w:themeColor="text1"/>
                <w:sz w:val="24"/>
                <w:szCs w:val="24"/>
              </w:rPr>
            </w:pPr>
            <w:r w:rsidRPr="00597338">
              <w:rPr>
                <w:rFonts w:ascii="Times New Roman" w:eastAsia="Times New Roman" w:hAnsi="Times New Roman" w:cs="Times New Roman"/>
                <w:color w:val="000000" w:themeColor="text1"/>
                <w:sz w:val="24"/>
                <w:szCs w:val="24"/>
              </w:rPr>
              <w:t xml:space="preserve">811 SW </w:t>
            </w:r>
            <w:r w:rsidR="00311CBB" w:rsidRPr="00597338">
              <w:rPr>
                <w:rFonts w:ascii="Times New Roman" w:eastAsia="Times New Roman" w:hAnsi="Times New Roman" w:cs="Times New Roman"/>
                <w:color w:val="000000" w:themeColor="text1"/>
                <w:sz w:val="24"/>
                <w:szCs w:val="24"/>
              </w:rPr>
              <w:t>Sixth</w:t>
            </w:r>
            <w:r w:rsidRPr="00597338">
              <w:rPr>
                <w:rFonts w:ascii="Times New Roman" w:eastAsia="Times New Roman" w:hAnsi="Times New Roman" w:cs="Times New Roman"/>
                <w:color w:val="000000" w:themeColor="text1"/>
                <w:sz w:val="24"/>
                <w:szCs w:val="24"/>
              </w:rPr>
              <w:t xml:space="preserve"> Avenue</w:t>
            </w:r>
          </w:p>
          <w:p w:rsidR="00921421" w:rsidRPr="00597338" w:rsidRDefault="00921421" w:rsidP="00285113">
            <w:pPr>
              <w:ind w:left="162" w:right="18"/>
              <w:rPr>
                <w:rFonts w:asciiTheme="minorHAnsi" w:eastAsia="Times New Roman" w:hAnsiTheme="minorHAnsi" w:cstheme="minorHAnsi"/>
                <w:bCs/>
                <w:color w:val="000000" w:themeColor="text1"/>
                <w:sz w:val="24"/>
                <w:szCs w:val="24"/>
              </w:rPr>
            </w:pPr>
            <w:r w:rsidRPr="00597338">
              <w:rPr>
                <w:rFonts w:ascii="Times New Roman" w:eastAsia="Times New Roman" w:hAnsi="Times New Roman" w:cs="Times New Roman"/>
                <w:color w:val="000000" w:themeColor="text1"/>
                <w:sz w:val="24"/>
                <w:szCs w:val="24"/>
              </w:rPr>
              <w:t>Portland OR 97204</w:t>
            </w:r>
          </w:p>
        </w:tc>
      </w:tr>
      <w:tr w:rsidR="00285113" w:rsidRPr="00597338" w:rsidTr="00030F35">
        <w:trPr>
          <w:trHeight w:val="720"/>
        </w:trPr>
        <w:tc>
          <w:tcPr>
            <w:tcW w:w="5940" w:type="dxa"/>
            <w:tcBorders>
              <w:top w:val="single" w:sz="4" w:space="0" w:color="auto"/>
              <w:left w:val="double" w:sz="4" w:space="0" w:color="auto"/>
              <w:bottom w:val="single" w:sz="4" w:space="0" w:color="auto"/>
              <w:right w:val="single" w:sz="4" w:space="0" w:color="auto"/>
            </w:tcBorders>
            <w:hideMark/>
          </w:tcPr>
          <w:p w:rsidR="00285113" w:rsidRPr="00597338" w:rsidRDefault="00285113" w:rsidP="00285113">
            <w:pPr>
              <w:ind w:left="0" w:right="1008"/>
              <w:rPr>
                <w:rFonts w:asciiTheme="minorHAnsi" w:eastAsia="Times New Roman" w:hAnsiTheme="minorHAnsi" w:cstheme="minorHAnsi"/>
                <w:color w:val="000000" w:themeColor="text1"/>
              </w:rPr>
            </w:pPr>
            <w:r w:rsidRPr="00597338">
              <w:rPr>
                <w:rFonts w:asciiTheme="minorHAnsi" w:eastAsia="Times New Roman" w:hAnsiTheme="minorHAnsi" w:cstheme="minorHAnsi"/>
                <w:color w:val="000000" w:themeColor="text1"/>
                <w:sz w:val="24"/>
                <w:szCs w:val="24"/>
              </w:rPr>
              <w:t>Comments received during informal public review period during the temporary rulemaking</w:t>
            </w:r>
          </w:p>
        </w:tc>
        <w:tc>
          <w:tcPr>
            <w:tcW w:w="3276" w:type="dxa"/>
            <w:tcBorders>
              <w:top w:val="single" w:sz="4" w:space="0" w:color="auto"/>
              <w:left w:val="single" w:sz="4" w:space="0" w:color="auto"/>
              <w:bottom w:val="single" w:sz="4" w:space="0" w:color="auto"/>
              <w:right w:val="double" w:sz="4" w:space="0" w:color="auto"/>
            </w:tcBorders>
            <w:hideMark/>
          </w:tcPr>
          <w:p w:rsidR="00285113" w:rsidRPr="00597338" w:rsidRDefault="00285113" w:rsidP="00285113">
            <w:pPr>
              <w:ind w:left="162" w:right="18"/>
              <w:rPr>
                <w:rFonts w:ascii="Times New Roman" w:eastAsia="Times New Roman" w:hAnsi="Times New Roman" w:cs="Times New Roman"/>
                <w:color w:val="000000" w:themeColor="text1"/>
                <w:sz w:val="24"/>
                <w:szCs w:val="24"/>
              </w:rPr>
            </w:pPr>
            <w:r w:rsidRPr="00597338">
              <w:rPr>
                <w:rFonts w:ascii="Times New Roman" w:eastAsia="Times New Roman" w:hAnsi="Times New Roman" w:cs="Times New Roman"/>
                <w:color w:val="000000" w:themeColor="text1"/>
                <w:sz w:val="24"/>
                <w:szCs w:val="24"/>
              </w:rPr>
              <w:t>DEQ headquarters</w:t>
            </w:r>
          </w:p>
          <w:p w:rsidR="00285113" w:rsidRPr="00597338" w:rsidRDefault="00285113" w:rsidP="00285113">
            <w:pPr>
              <w:ind w:left="162" w:right="18"/>
              <w:rPr>
                <w:rFonts w:ascii="Times New Roman" w:eastAsia="Times New Roman" w:hAnsi="Times New Roman" w:cs="Times New Roman"/>
                <w:color w:val="000000" w:themeColor="text1"/>
              </w:rPr>
            </w:pPr>
          </w:p>
        </w:tc>
      </w:tr>
      <w:tr w:rsidR="00285113" w:rsidRPr="00597338" w:rsidTr="00030F35">
        <w:trPr>
          <w:trHeight w:val="720"/>
        </w:trPr>
        <w:tc>
          <w:tcPr>
            <w:tcW w:w="5940" w:type="dxa"/>
            <w:tcBorders>
              <w:top w:val="single" w:sz="4" w:space="0" w:color="auto"/>
              <w:left w:val="double" w:sz="4" w:space="0" w:color="auto"/>
              <w:bottom w:val="double" w:sz="4" w:space="0" w:color="auto"/>
              <w:right w:val="single" w:sz="4" w:space="0" w:color="auto"/>
            </w:tcBorders>
            <w:hideMark/>
          </w:tcPr>
          <w:p w:rsidR="00285113" w:rsidRDefault="00285113" w:rsidP="00285113">
            <w:pPr>
              <w:ind w:left="0" w:right="72"/>
              <w:rPr>
                <w:rFonts w:asciiTheme="minorHAnsi" w:eastAsia="Times New Roman" w:hAnsiTheme="minorHAnsi" w:cstheme="minorHAnsi"/>
                <w:color w:val="000000" w:themeColor="text1"/>
                <w:sz w:val="24"/>
                <w:szCs w:val="24"/>
              </w:rPr>
            </w:pPr>
            <w:r w:rsidRPr="001D0C4A">
              <w:rPr>
                <w:rFonts w:asciiTheme="minorHAnsi" w:eastAsia="Times New Roman" w:hAnsiTheme="minorHAnsi" w:cstheme="minorHAnsi"/>
                <w:color w:val="000000" w:themeColor="text1"/>
                <w:sz w:val="24"/>
                <w:szCs w:val="24"/>
              </w:rPr>
              <w:t>Oregon Department of Employment</w:t>
            </w:r>
          </w:p>
          <w:p w:rsidR="00285113" w:rsidRPr="00597338" w:rsidRDefault="00285113" w:rsidP="00285113">
            <w:pPr>
              <w:ind w:left="0" w:right="72"/>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sz w:val="24"/>
                <w:szCs w:val="24"/>
              </w:rPr>
              <w:t>F</w:t>
            </w:r>
            <w:r w:rsidRPr="001D0C4A">
              <w:rPr>
                <w:rFonts w:asciiTheme="minorHAnsi" w:eastAsia="Times New Roman" w:hAnsiTheme="minorHAnsi" w:cstheme="minorHAnsi"/>
                <w:color w:val="000000" w:themeColor="text1"/>
                <w:sz w:val="24"/>
                <w:szCs w:val="24"/>
              </w:rPr>
              <w:t>ourth quarter 2013</w:t>
            </w:r>
            <w:r>
              <w:rPr>
                <w:rFonts w:asciiTheme="minorHAnsi" w:eastAsia="Times New Roman" w:hAnsiTheme="minorHAnsi" w:cstheme="minorHAnsi"/>
                <w:color w:val="000000" w:themeColor="text1"/>
                <w:sz w:val="24"/>
                <w:szCs w:val="24"/>
              </w:rPr>
              <w:t xml:space="preserve"> data</w:t>
            </w:r>
          </w:p>
        </w:tc>
        <w:tc>
          <w:tcPr>
            <w:tcW w:w="3276" w:type="dxa"/>
            <w:tcBorders>
              <w:top w:val="single" w:sz="4" w:space="0" w:color="auto"/>
              <w:left w:val="single" w:sz="4" w:space="0" w:color="auto"/>
              <w:bottom w:val="double" w:sz="4" w:space="0" w:color="auto"/>
              <w:right w:val="double" w:sz="4" w:space="0" w:color="auto"/>
            </w:tcBorders>
            <w:vAlign w:val="center"/>
            <w:hideMark/>
          </w:tcPr>
          <w:p w:rsidR="00285113" w:rsidRPr="001D0C4A" w:rsidRDefault="00285113" w:rsidP="00285113">
            <w:pPr>
              <w:ind w:left="162" w:right="18"/>
              <w:rPr>
                <w:rFonts w:ascii="Times New Roman" w:eastAsia="Times New Roman" w:hAnsi="Times New Roman" w:cs="Times New Roman"/>
                <w:color w:val="000000" w:themeColor="text1"/>
                <w:sz w:val="24"/>
                <w:szCs w:val="24"/>
              </w:rPr>
            </w:pPr>
            <w:r w:rsidRPr="001D0C4A">
              <w:rPr>
                <w:rFonts w:ascii="Times New Roman" w:eastAsia="Times New Roman" w:hAnsi="Times New Roman" w:cs="Times New Roman"/>
                <w:color w:val="000000" w:themeColor="text1"/>
                <w:sz w:val="24"/>
                <w:szCs w:val="24"/>
              </w:rPr>
              <w:t>Employment Department</w:t>
            </w:r>
          </w:p>
          <w:p w:rsidR="00285113" w:rsidRPr="001D0C4A" w:rsidRDefault="00285113" w:rsidP="00285113">
            <w:pPr>
              <w:ind w:left="162" w:right="18"/>
              <w:rPr>
                <w:rFonts w:ascii="Times New Roman" w:eastAsia="Times New Roman" w:hAnsi="Times New Roman" w:cs="Times New Roman"/>
                <w:color w:val="000000" w:themeColor="text1"/>
                <w:sz w:val="24"/>
                <w:szCs w:val="24"/>
              </w:rPr>
            </w:pPr>
            <w:r w:rsidRPr="001D0C4A">
              <w:rPr>
                <w:rFonts w:ascii="Times New Roman" w:eastAsia="Times New Roman" w:hAnsi="Times New Roman" w:cs="Times New Roman"/>
                <w:color w:val="000000" w:themeColor="text1"/>
                <w:sz w:val="24"/>
                <w:szCs w:val="24"/>
              </w:rPr>
              <w:t>875 Union Street NE</w:t>
            </w:r>
          </w:p>
          <w:p w:rsidR="00285113" w:rsidRPr="001D0C4A" w:rsidRDefault="00285113" w:rsidP="00285113">
            <w:pPr>
              <w:ind w:left="162" w:right="18"/>
              <w:rPr>
                <w:rFonts w:ascii="Times New Roman" w:eastAsia="Times New Roman" w:hAnsi="Times New Roman" w:cs="Times New Roman"/>
                <w:color w:val="000000" w:themeColor="text1"/>
                <w:sz w:val="24"/>
                <w:szCs w:val="24"/>
              </w:rPr>
            </w:pPr>
            <w:r w:rsidRPr="001D0C4A">
              <w:rPr>
                <w:rFonts w:ascii="Times New Roman" w:eastAsia="Times New Roman" w:hAnsi="Times New Roman" w:cs="Times New Roman"/>
                <w:color w:val="000000" w:themeColor="text1"/>
                <w:sz w:val="24"/>
                <w:szCs w:val="24"/>
              </w:rPr>
              <w:t>Salem</w:t>
            </w:r>
            <w:r w:rsidR="00B22F3A">
              <w:rPr>
                <w:rFonts w:ascii="Times New Roman" w:eastAsia="Times New Roman" w:hAnsi="Times New Roman" w:cs="Times New Roman"/>
                <w:color w:val="000000" w:themeColor="text1"/>
                <w:sz w:val="24"/>
                <w:szCs w:val="24"/>
              </w:rPr>
              <w:t xml:space="preserve"> OR</w:t>
            </w:r>
            <w:r w:rsidRPr="001D0C4A">
              <w:rPr>
                <w:rFonts w:ascii="Times New Roman" w:eastAsia="Times New Roman" w:hAnsi="Times New Roman" w:cs="Times New Roman"/>
                <w:color w:val="000000" w:themeColor="text1"/>
                <w:sz w:val="24"/>
                <w:szCs w:val="24"/>
              </w:rPr>
              <w:t xml:space="preserve"> 973</w:t>
            </w:r>
            <w:r>
              <w:rPr>
                <w:rFonts w:ascii="Times New Roman" w:eastAsia="Times New Roman" w:hAnsi="Times New Roman" w:cs="Times New Roman"/>
                <w:color w:val="000000" w:themeColor="text1"/>
                <w:sz w:val="24"/>
                <w:szCs w:val="24"/>
              </w:rPr>
              <w:t>11</w:t>
            </w:r>
          </w:p>
          <w:p w:rsidR="00285113" w:rsidRPr="00597338" w:rsidRDefault="00285113" w:rsidP="00285113">
            <w:pPr>
              <w:ind w:left="72" w:right="18"/>
              <w:rPr>
                <w:rFonts w:ascii="Times New Roman" w:eastAsia="Times New Roman" w:hAnsi="Times New Roman" w:cs="Times New Roman"/>
                <w:color w:val="000000" w:themeColor="text1"/>
              </w:rPr>
            </w:pPr>
          </w:p>
        </w:tc>
      </w:tr>
      <w:tr w:rsidR="00921421" w:rsidRPr="00597338" w:rsidTr="00030F35">
        <w:tc>
          <w:tcPr>
            <w:tcW w:w="5940" w:type="dxa"/>
            <w:tcBorders>
              <w:top w:val="double" w:sz="4" w:space="0" w:color="auto"/>
              <w:left w:val="double" w:sz="4" w:space="0" w:color="auto"/>
              <w:bottom w:val="double" w:sz="4" w:space="0" w:color="auto"/>
              <w:right w:val="single" w:sz="4" w:space="0" w:color="auto"/>
            </w:tcBorders>
            <w:hideMark/>
          </w:tcPr>
          <w:p w:rsidR="00323D0D" w:rsidRPr="00597338" w:rsidRDefault="00323D0D" w:rsidP="00285113">
            <w:pPr>
              <w:ind w:left="0" w:right="72"/>
              <w:rPr>
                <w:rFonts w:asciiTheme="minorHAnsi" w:eastAsia="Times New Roman" w:hAnsiTheme="minorHAnsi" w:cstheme="minorHAnsi"/>
                <w:color w:val="000000" w:themeColor="text1"/>
                <w:sz w:val="24"/>
                <w:szCs w:val="24"/>
              </w:rPr>
            </w:pPr>
          </w:p>
        </w:tc>
        <w:tc>
          <w:tcPr>
            <w:tcW w:w="3276" w:type="dxa"/>
            <w:tcBorders>
              <w:top w:val="double" w:sz="4" w:space="0" w:color="auto"/>
              <w:left w:val="single" w:sz="4" w:space="0" w:color="auto"/>
              <w:bottom w:val="double" w:sz="4" w:space="0" w:color="auto"/>
              <w:right w:val="double" w:sz="4" w:space="0" w:color="auto"/>
            </w:tcBorders>
            <w:vAlign w:val="center"/>
            <w:hideMark/>
          </w:tcPr>
          <w:p w:rsidR="00921421" w:rsidRPr="00597338" w:rsidRDefault="00921421" w:rsidP="00285113">
            <w:pPr>
              <w:ind w:left="72" w:right="18"/>
              <w:rPr>
                <w:rFonts w:asciiTheme="minorHAnsi" w:eastAsia="Times New Roman" w:hAnsiTheme="minorHAnsi" w:cstheme="minorHAnsi"/>
                <w:color w:val="000000" w:themeColor="text1"/>
                <w:sz w:val="24"/>
                <w:szCs w:val="24"/>
              </w:rPr>
            </w:pPr>
          </w:p>
        </w:tc>
      </w:tr>
    </w:tbl>
    <w:p w:rsidR="00285113" w:rsidRDefault="00285113">
      <w:pPr>
        <w:spacing w:after="120"/>
        <w:ind w:left="360" w:right="378"/>
        <w:outlineLvl w:val="0"/>
        <w:rPr>
          <w:rFonts w:asciiTheme="majorHAnsi" w:eastAsia="Times New Roman" w:hAnsiTheme="majorHAnsi" w:cstheme="majorHAnsi"/>
          <w:bCs/>
          <w:color w:val="000000" w:themeColor="text1"/>
          <w:sz w:val="22"/>
          <w:szCs w:val="22"/>
        </w:rPr>
      </w:pPr>
    </w:p>
    <w:p w:rsidR="00641BDA" w:rsidRDefault="00AD7DB9" w:rsidP="00030F35">
      <w:pPr>
        <w:tabs>
          <w:tab w:val="left" w:pos="4000"/>
          <w:tab w:val="left" w:pos="6159"/>
        </w:tabs>
        <w:spacing w:after="120"/>
        <w:ind w:left="360" w:right="14"/>
        <w:rPr>
          <w:rFonts w:asciiTheme="majorHAnsi" w:eastAsia="Times New Roman" w:hAnsiTheme="majorHAnsi" w:cstheme="majorHAnsi"/>
          <w:bCs/>
          <w:color w:val="000000" w:themeColor="text1"/>
          <w:sz w:val="22"/>
          <w:szCs w:val="22"/>
        </w:rPr>
      </w:pPr>
      <w:r w:rsidRPr="006807BF">
        <w:rPr>
          <w:rFonts w:asciiTheme="majorHAnsi" w:eastAsia="Times New Roman" w:hAnsiTheme="majorHAnsi" w:cstheme="majorHAnsi"/>
          <w:bCs/>
          <w:color w:val="000000" w:themeColor="text1"/>
          <w:sz w:val="22"/>
          <w:szCs w:val="22"/>
        </w:rPr>
        <w:t>Advisory committee</w:t>
      </w:r>
    </w:p>
    <w:p w:rsidR="00830F6B" w:rsidRDefault="00830F6B" w:rsidP="00830F6B">
      <w:pPr>
        <w:ind w:left="720" w:right="378"/>
        <w:rPr>
          <w:rFonts w:asciiTheme="minorHAnsi" w:hAnsiTheme="minorHAnsi" w:cstheme="minorHAnsi"/>
          <w:iCs/>
          <w:color w:val="415B5C" w:themeColor="accent3" w:themeShade="80"/>
        </w:rPr>
      </w:pPr>
      <w:r>
        <w:rPr>
          <w:rFonts w:asciiTheme="minorHAnsi" w:hAnsiTheme="minorHAnsi" w:cstheme="minorHAnsi"/>
          <w:iCs/>
          <w:color w:val="000000" w:themeColor="text1"/>
        </w:rPr>
        <w:t>DEQ did not appoint an advisory committee to discuss the fiscal and economic impact statement because the proposed rules reduce compliance requirements, and therefore should reduce costs to comply.</w:t>
      </w:r>
    </w:p>
    <w:p w:rsidR="00641BDA" w:rsidRDefault="00641BDA">
      <w:pPr>
        <w:ind w:left="360" w:right="378"/>
        <w:outlineLvl w:val="0"/>
        <w:rPr>
          <w:rFonts w:ascii="Times New Roman" w:eastAsia="Times New Roman" w:hAnsi="Times New Roman" w:cs="Times New Roman"/>
        </w:rPr>
      </w:pPr>
    </w:p>
    <w:p w:rsidR="00030F35" w:rsidRDefault="00030F35">
      <w:pPr>
        <w:spacing w:after="120"/>
        <w:ind w:left="360" w:right="378"/>
        <w:outlineLvl w:val="0"/>
        <w:rPr>
          <w:rFonts w:asciiTheme="majorHAnsi" w:eastAsia="Times New Roman" w:hAnsiTheme="majorHAnsi" w:cstheme="majorHAnsi"/>
          <w:bCs/>
          <w:color w:val="000000" w:themeColor="text1"/>
          <w:sz w:val="22"/>
          <w:szCs w:val="22"/>
        </w:rPr>
        <w:sectPr w:rsidR="00030F35" w:rsidSect="00B34CF8">
          <w:pgSz w:w="12240" w:h="15840"/>
          <w:pgMar w:top="1080" w:right="990" w:bottom="1080" w:left="360" w:header="720" w:footer="720" w:gutter="432"/>
          <w:cols w:space="720"/>
          <w:docGrid w:linePitch="360"/>
        </w:sectPr>
      </w:pPr>
    </w:p>
    <w:p w:rsidR="00641BDA" w:rsidRDefault="00AD7DB9" w:rsidP="00030F35">
      <w:pPr>
        <w:tabs>
          <w:tab w:val="left" w:pos="4000"/>
          <w:tab w:val="left" w:pos="6159"/>
        </w:tabs>
        <w:spacing w:after="120"/>
        <w:ind w:left="360" w:right="14"/>
        <w:rPr>
          <w:rFonts w:asciiTheme="majorHAnsi" w:eastAsia="Times New Roman" w:hAnsiTheme="majorHAnsi" w:cstheme="majorHAnsi"/>
          <w:bCs/>
          <w:color w:val="000000" w:themeColor="text1"/>
          <w:sz w:val="22"/>
          <w:szCs w:val="22"/>
        </w:rPr>
      </w:pPr>
      <w:r w:rsidRPr="006807BF">
        <w:rPr>
          <w:rFonts w:asciiTheme="majorHAnsi" w:eastAsia="Times New Roman" w:hAnsiTheme="majorHAnsi" w:cstheme="majorHAnsi"/>
          <w:bCs/>
          <w:color w:val="000000" w:themeColor="text1"/>
          <w:sz w:val="22"/>
          <w:szCs w:val="22"/>
        </w:rPr>
        <w:t xml:space="preserve">Housing cost  </w:t>
      </w:r>
    </w:p>
    <w:p w:rsidR="00030F35" w:rsidRDefault="0003792F">
      <w:pPr>
        <w:ind w:left="720" w:right="37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DEQ determined the proposed rules would have no effect on the development cost of a 6,000-square-foot parcel and construction of a 1,200-square-foot detached, single-family dwelling on that parcel. </w:t>
      </w:r>
    </w:p>
    <w:p w:rsidR="00030F35" w:rsidRDefault="00030F35">
      <w:pPr>
        <w:ind w:left="720" w:right="378"/>
        <w:rPr>
          <w:rFonts w:ascii="Times New Roman" w:eastAsia="Times New Roman" w:hAnsi="Times New Roman" w:cs="Times New Roman"/>
          <w:bCs/>
          <w:color w:val="000000" w:themeColor="text1"/>
        </w:rPr>
      </w:pPr>
    </w:p>
    <w:p w:rsidR="00641BDA" w:rsidRDefault="0003792F">
      <w:pPr>
        <w:ind w:left="720" w:right="37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The proposed </w:t>
      </w:r>
      <w:r w:rsidR="005B23D2">
        <w:rPr>
          <w:rFonts w:ascii="Times New Roman" w:eastAsia="Times New Roman" w:hAnsi="Times New Roman" w:cs="Times New Roman"/>
          <w:bCs/>
          <w:color w:val="000000" w:themeColor="text1"/>
        </w:rPr>
        <w:t>rules only affect</w:t>
      </w:r>
      <w:r>
        <w:rPr>
          <w:rFonts w:ascii="Times New Roman" w:eastAsia="Times New Roman" w:hAnsi="Times New Roman" w:cs="Times New Roman"/>
          <w:bCs/>
          <w:color w:val="000000" w:themeColor="text1"/>
        </w:rPr>
        <w:t xml:space="preserve"> administrative requirements including registration, recordkeeping and reporting </w:t>
      </w:r>
      <w:r w:rsidR="004E1366">
        <w:rPr>
          <w:rFonts w:ascii="Times New Roman" w:eastAsia="Times New Roman" w:hAnsi="Times New Roman" w:cs="Times New Roman"/>
          <w:bCs/>
          <w:color w:val="000000" w:themeColor="text1"/>
        </w:rPr>
        <w:t xml:space="preserve">for </w:t>
      </w:r>
      <w:r w:rsidR="004E1366">
        <w:rPr>
          <w:rFonts w:asciiTheme="minorHAnsi" w:hAnsiTheme="minorHAnsi" w:cstheme="minorHAnsi"/>
          <w:iCs/>
        </w:rPr>
        <w:t>Oregon producers or importers of transportation fuels</w:t>
      </w:r>
      <w:r>
        <w:rPr>
          <w:rFonts w:ascii="Times New Roman" w:eastAsia="Times New Roman" w:hAnsi="Times New Roman" w:cs="Times New Roman"/>
          <w:bCs/>
          <w:color w:val="000000" w:themeColor="text1"/>
        </w:rPr>
        <w:t>.</w:t>
      </w:r>
    </w:p>
    <w:p w:rsidR="00FC6D41" w:rsidRDefault="00FC6D41" w:rsidP="00FC6D41">
      <w:pPr>
        <w:tabs>
          <w:tab w:val="left" w:pos="4000"/>
          <w:tab w:val="left" w:pos="6159"/>
        </w:tabs>
        <w:spacing w:after="120"/>
        <w:ind w:left="360" w:right="14"/>
        <w:rPr>
          <w:rFonts w:asciiTheme="majorHAnsi" w:eastAsia="Times New Roman" w:hAnsiTheme="majorHAnsi" w:cstheme="majorHAnsi"/>
          <w:bCs/>
          <w:color w:val="000000" w:themeColor="text1"/>
          <w:sz w:val="22"/>
          <w:szCs w:val="22"/>
        </w:rPr>
      </w:pPr>
    </w:p>
    <w:p w:rsidR="00FC6D41" w:rsidRDefault="00FC6D41" w:rsidP="00FC6D41">
      <w:pPr>
        <w:tabs>
          <w:tab w:val="left" w:pos="4000"/>
          <w:tab w:val="left" w:pos="6159"/>
        </w:tabs>
        <w:spacing w:after="120"/>
        <w:ind w:left="360" w:right="14"/>
        <w:rPr>
          <w:rFonts w:asciiTheme="majorHAnsi" w:eastAsia="Times New Roman" w:hAnsiTheme="majorHAnsi" w:cstheme="majorHAnsi"/>
          <w:bCs/>
          <w:color w:val="000000" w:themeColor="text1"/>
          <w:sz w:val="22"/>
          <w:szCs w:val="22"/>
        </w:rPr>
      </w:pPr>
      <w:r w:rsidRPr="004403A5">
        <w:rPr>
          <w:rFonts w:asciiTheme="majorHAnsi" w:eastAsia="Times New Roman" w:hAnsiTheme="majorHAnsi" w:cstheme="majorHAnsi"/>
          <w:bCs/>
          <w:color w:val="000000" w:themeColor="text1"/>
          <w:sz w:val="22"/>
          <w:szCs w:val="22"/>
        </w:rPr>
        <w:t>Request for other options</w:t>
      </w:r>
    </w:p>
    <w:p w:rsidR="00FC6D41" w:rsidRDefault="00FC6D41" w:rsidP="00FC6D41">
      <w:pPr>
        <w:ind w:left="720" w:right="37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w:t>
      </w:r>
      <w:r w:rsidR="00030F35">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24A80" w:rsidRDefault="00C24A80">
      <w:pPr>
        <w:ind w:left="720" w:right="378"/>
        <w:rPr>
          <w:rFonts w:ascii="Times New Roman" w:eastAsia="Times New Roman" w:hAnsi="Times New Roman" w:cs="Times New Roman"/>
          <w:bCs/>
          <w:color w:val="000000" w:themeColor="text1"/>
        </w:rPr>
      </w:pPr>
    </w:p>
    <w:p w:rsidR="00030F35" w:rsidRDefault="00030F35" w:rsidP="00255B02">
      <w:pPr>
        <w:ind w:left="0" w:right="18"/>
        <w:outlineLvl w:val="0"/>
        <w:rPr>
          <w:rFonts w:eastAsia="Times New Roman"/>
          <w:bCs/>
          <w:color w:val="32525C"/>
          <w:sz w:val="28"/>
          <w:szCs w:val="28"/>
        </w:rPr>
        <w:sectPr w:rsidR="00030F35"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55B02">
            <w:pPr>
              <w:ind w:left="0" w:right="18"/>
              <w:outlineLvl w:val="0"/>
              <w:rPr>
                <w:rFonts w:eastAsia="Times New Roman"/>
                <w:bCs/>
                <w:color w:val="32525C"/>
                <w:sz w:val="28"/>
                <w:szCs w:val="28"/>
              </w:rPr>
            </w:pPr>
          </w:p>
          <w:p w:rsidR="00255B02" w:rsidRPr="0085122C" w:rsidRDefault="00255B02" w:rsidP="00E02299">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2" w:history="1"/>
          </w:p>
        </w:tc>
      </w:tr>
    </w:tbl>
    <w:p w:rsidR="00255B02" w:rsidRPr="00362542" w:rsidRDefault="00255B02" w:rsidP="00255B02">
      <w:pPr>
        <w:ind w:left="720" w:right="18"/>
        <w:rPr>
          <w:color w:val="702C1C" w:themeColor="accent1" w:themeShade="80"/>
        </w:rPr>
      </w:pPr>
    </w:p>
    <w:p w:rsidR="008F5568" w:rsidRPr="00225AE8" w:rsidRDefault="008F5568" w:rsidP="008F556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rFonts w:ascii="Times New Roman" w:eastAsia="Times New Roman" w:hAnsi="Times New Roman" w:cs="Times New Roman"/>
          <w:i/>
          <w:iCs/>
          <w:color w:val="685C54" w:themeColor="accent4" w:themeShade="BF"/>
          <w:sz w:val="22"/>
          <w:szCs w:val="22"/>
        </w:rPr>
        <w:t xml:space="preserve"> </w:t>
      </w:r>
      <w:hyperlink r:id="rId13" w:history="1">
        <w:r w:rsidRPr="00E02299">
          <w:rPr>
            <w:rStyle w:val="Hyperlink"/>
            <w:rFonts w:ascii="Times New Roman" w:eastAsia="Times New Roman" w:hAnsi="Times New Roman" w:cs="Times New Roman"/>
            <w:iCs/>
            <w:sz w:val="22"/>
            <w:szCs w:val="22"/>
          </w:rPr>
          <w:t>ORS 183.332</w:t>
        </w:r>
      </w:hyperlink>
    </w:p>
    <w:p w:rsidR="008F5568" w:rsidRDefault="008F5568" w:rsidP="00255B02">
      <w:pPr>
        <w:spacing w:after="120"/>
        <w:ind w:left="720" w:right="18"/>
        <w:rPr>
          <w:rFonts w:asciiTheme="majorHAnsi" w:eastAsia="Times New Roman" w:hAnsiTheme="majorHAnsi" w:cstheme="majorHAnsi"/>
          <w:bCs/>
          <w:color w:val="000000" w:themeColor="text1"/>
          <w:sz w:val="22"/>
          <w:szCs w:val="22"/>
        </w:rPr>
      </w:pPr>
    </w:p>
    <w:p w:rsidR="00641BDA" w:rsidRDefault="00255B02">
      <w:pPr>
        <w:spacing w:after="120"/>
        <w:ind w:left="360" w:right="18"/>
        <w:rPr>
          <w:rFonts w:asciiTheme="majorHAnsi" w:eastAsia="Times New Roman" w:hAnsiTheme="majorHAnsi" w:cstheme="majorHAnsi"/>
          <w:bCs/>
          <w:color w:val="000000" w:themeColor="text1"/>
          <w:sz w:val="22"/>
          <w:szCs w:val="22"/>
        </w:rPr>
      </w:pPr>
      <w:r w:rsidRPr="006807BF">
        <w:rPr>
          <w:rFonts w:asciiTheme="majorHAnsi" w:eastAsia="Times New Roman" w:hAnsiTheme="majorHAnsi" w:cstheme="majorHAnsi"/>
          <w:bCs/>
          <w:color w:val="000000" w:themeColor="text1"/>
          <w:sz w:val="22"/>
          <w:szCs w:val="22"/>
        </w:rPr>
        <w:t>Relationship to federal requirements</w:t>
      </w:r>
    </w:p>
    <w:p w:rsidR="00E02299" w:rsidRPr="00323D0D" w:rsidRDefault="00E02299" w:rsidP="00090969">
      <w:pPr>
        <w:ind w:left="720" w:right="14"/>
        <w:rPr>
          <w:rFonts w:asciiTheme="minorHAnsi" w:hAnsiTheme="minorHAnsi" w:cstheme="minorHAnsi"/>
          <w:color w:val="000000"/>
        </w:rPr>
      </w:pPr>
      <w:r w:rsidRPr="00323D0D">
        <w:rPr>
          <w:rFonts w:asciiTheme="minorHAnsi" w:hAnsiTheme="minorHAnsi" w:cstheme="minorHAnsi"/>
          <w:color w:val="000000"/>
        </w:rPr>
        <w:t xml:space="preserve">This section complies with </w:t>
      </w:r>
      <w:hyperlink r:id="rId14" w:history="1">
        <w:r w:rsidR="002B661B" w:rsidRPr="002B661B">
          <w:rPr>
            <w:rStyle w:val="Hyperlink"/>
            <w:rFonts w:asciiTheme="minorHAnsi" w:hAnsiTheme="minorHAnsi" w:cstheme="minorHAnsi"/>
            <w:color w:val="002060"/>
          </w:rPr>
          <w:t>OAR 340-011-0029</w:t>
        </w:r>
      </w:hyperlink>
      <w:r w:rsidRPr="00323D0D">
        <w:rPr>
          <w:rFonts w:asciiTheme="minorHAnsi" w:hAnsiTheme="minorHAnsi" w:cstheme="minorHAnsi"/>
        </w:rPr>
        <w:t xml:space="preserve"> and </w:t>
      </w:r>
      <w:hyperlink r:id="rId15" w:history="1">
        <w:r w:rsidR="002B661B" w:rsidRPr="002B661B">
          <w:rPr>
            <w:rStyle w:val="Hyperlink"/>
            <w:rFonts w:asciiTheme="minorHAnsi" w:hAnsiTheme="minorHAnsi" w:cstheme="minorHAnsi"/>
            <w:color w:val="00194C"/>
          </w:rPr>
          <w:t>ORS 468A.327</w:t>
        </w:r>
      </w:hyperlink>
      <w:r w:rsidRPr="00323D0D">
        <w:rPr>
          <w:rFonts w:asciiTheme="minorHAnsi" w:hAnsiTheme="minorHAnsi" w:cstheme="minorHAnsi"/>
        </w:rPr>
        <w:t xml:space="preserve"> </w:t>
      </w:r>
      <w:r w:rsidRPr="00323D0D">
        <w:rPr>
          <w:rFonts w:asciiTheme="minorHAnsi" w:hAnsiTheme="minorHAnsi" w:cstheme="minorHAnsi"/>
          <w:color w:val="000000"/>
        </w:rPr>
        <w:t>to clearly identify the relationship between the proposed rules and applicable federal requirements</w:t>
      </w:r>
      <w:r w:rsidR="008F5568" w:rsidRPr="00323D0D">
        <w:rPr>
          <w:rFonts w:asciiTheme="minorHAnsi" w:hAnsiTheme="minorHAnsi" w:cstheme="minorHAnsi"/>
          <w:color w:val="000000"/>
        </w:rPr>
        <w:t>.</w:t>
      </w:r>
    </w:p>
    <w:p w:rsidR="008F5568" w:rsidRPr="00221910" w:rsidRDefault="008F5568" w:rsidP="00090969">
      <w:pPr>
        <w:ind w:left="720" w:right="18"/>
        <w:rPr>
          <w:rFonts w:ascii="Times New Roman" w:eastAsia="Times New Roman" w:hAnsi="Times New Roman" w:cs="Times New Roman"/>
          <w:bCs/>
          <w:color w:val="702C1C" w:themeColor="accent1" w:themeShade="80"/>
        </w:rPr>
      </w:pPr>
    </w:p>
    <w:p w:rsidR="008F5568" w:rsidRDefault="00830F6B" w:rsidP="008F5568">
      <w:pPr>
        <w:ind w:left="720" w:right="18"/>
        <w:outlineLvl w:val="0"/>
        <w:rPr>
          <w:rFonts w:ascii="Times New Roman" w:eastAsia="Times New Roman" w:hAnsi="Times New Roman" w:cs="Times New Roman"/>
          <w:bCs/>
          <w:color w:val="000000" w:themeColor="text1"/>
        </w:rPr>
      </w:pPr>
      <w:r>
        <w:rPr>
          <w:rFonts w:asciiTheme="minorHAnsi" w:hAnsiTheme="minorHAnsi" w:cstheme="minorHAnsi"/>
          <w:color w:val="000000" w:themeColor="text1"/>
        </w:rPr>
        <w:t>The proposed rules are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since there are no federal regulations regarding reporting the content of greenhouse gases in transportation fuels.</w:t>
      </w:r>
    </w:p>
    <w:p w:rsidR="00830F6B" w:rsidRDefault="00830F6B">
      <w:pPr>
        <w:spacing w:after="120"/>
        <w:ind w:left="360" w:right="18"/>
        <w:rPr>
          <w:rFonts w:asciiTheme="majorHAnsi" w:eastAsia="Times New Roman" w:hAnsiTheme="majorHAnsi" w:cstheme="majorHAnsi"/>
          <w:bCs/>
          <w:color w:val="000000" w:themeColor="text1"/>
          <w:sz w:val="22"/>
          <w:szCs w:val="22"/>
        </w:rPr>
      </w:pPr>
      <w:bookmarkStart w:id="4" w:name="AlternativesConsidered"/>
      <w:bookmarkStart w:id="5" w:name="RANGE!C35"/>
    </w:p>
    <w:p w:rsidR="0055188B" w:rsidRDefault="008F5568">
      <w:pPr>
        <w:spacing w:after="120"/>
        <w:ind w:left="360" w:right="18"/>
        <w:rPr>
          <w:rFonts w:asciiTheme="majorHAnsi" w:eastAsia="Times New Roman" w:hAnsiTheme="majorHAnsi" w:cstheme="majorHAnsi"/>
          <w:bCs/>
          <w:color w:val="000000" w:themeColor="text1"/>
          <w:sz w:val="22"/>
          <w:szCs w:val="22"/>
        </w:rPr>
      </w:pPr>
      <w:r w:rsidRPr="006807BF">
        <w:rPr>
          <w:rFonts w:asciiTheme="majorHAnsi" w:eastAsia="Times New Roman" w:hAnsiTheme="majorHAnsi" w:cstheme="majorHAnsi"/>
          <w:bCs/>
          <w:color w:val="000000" w:themeColor="text1"/>
          <w:sz w:val="22"/>
          <w:szCs w:val="22"/>
        </w:rPr>
        <w:t>What alternatives did DEQ consider</w:t>
      </w:r>
      <w:bookmarkEnd w:id="4"/>
      <w:r w:rsidRPr="006807BF">
        <w:rPr>
          <w:rFonts w:asciiTheme="majorHAnsi" w:eastAsia="Times New Roman" w:hAnsiTheme="majorHAnsi" w:cstheme="majorHAnsi"/>
          <w:bCs/>
          <w:color w:val="000000" w:themeColor="text1"/>
          <w:sz w:val="22"/>
          <w:szCs w:val="22"/>
        </w:rPr>
        <w:t xml:space="preserve"> if any?</w:t>
      </w:r>
      <w:bookmarkEnd w:id="5"/>
    </w:p>
    <w:p w:rsidR="0055188B" w:rsidRDefault="00830F6B" w:rsidP="00030F35">
      <w:pPr>
        <w:ind w:left="720" w:right="378"/>
      </w:pPr>
      <w:r>
        <w:rPr>
          <w:rFonts w:asciiTheme="minorHAnsi" w:eastAsia="Times New Roman" w:hAnsiTheme="minorHAnsi" w:cstheme="minorHAnsi"/>
          <w:color w:val="000000" w:themeColor="text1"/>
        </w:rPr>
        <w:t xml:space="preserve">One </w:t>
      </w:r>
      <w:r w:rsidR="002D3429">
        <w:rPr>
          <w:rFonts w:asciiTheme="minorHAnsi" w:eastAsia="Times New Roman" w:hAnsiTheme="minorHAnsi" w:cstheme="minorHAnsi"/>
          <w:color w:val="000000" w:themeColor="text1"/>
        </w:rPr>
        <w:t>alternative to th</w:t>
      </w:r>
      <w:r w:rsidR="00FC6D41">
        <w:rPr>
          <w:rFonts w:asciiTheme="minorHAnsi" w:eastAsia="Times New Roman" w:hAnsiTheme="minorHAnsi" w:cstheme="minorHAnsi"/>
          <w:color w:val="000000" w:themeColor="text1"/>
        </w:rPr>
        <w:t>e</w:t>
      </w:r>
      <w:r w:rsidR="002D3429">
        <w:rPr>
          <w:rFonts w:asciiTheme="minorHAnsi" w:eastAsia="Times New Roman" w:hAnsiTheme="minorHAnsi" w:cstheme="minorHAnsi"/>
          <w:color w:val="000000" w:themeColor="text1"/>
        </w:rPr>
        <w:t xml:space="preserve"> proposed rule</w:t>
      </w:r>
      <w:r w:rsidR="00FC6D41">
        <w:rPr>
          <w:rFonts w:asciiTheme="minorHAnsi" w:eastAsia="Times New Roman" w:hAnsiTheme="minorHAnsi" w:cstheme="minorHAnsi"/>
          <w:color w:val="000000" w:themeColor="text1"/>
        </w:rPr>
        <w:t>s</w:t>
      </w:r>
      <w:r w:rsidR="002D3429">
        <w:rPr>
          <w:rFonts w:asciiTheme="minorHAnsi" w:eastAsia="Times New Roman" w:hAnsiTheme="minorHAnsi" w:cstheme="minorHAnsi"/>
          <w:color w:val="000000" w:themeColor="text1"/>
        </w:rPr>
        <w:t xml:space="preserve"> </w:t>
      </w:r>
      <w:r w:rsidR="00FC6D41">
        <w:rPr>
          <w:rFonts w:asciiTheme="minorHAnsi" w:eastAsia="Times New Roman" w:hAnsiTheme="minorHAnsi" w:cstheme="minorHAnsi"/>
          <w:color w:val="000000" w:themeColor="text1"/>
        </w:rPr>
        <w:t>i</w:t>
      </w:r>
      <w:r w:rsidR="002D3429">
        <w:rPr>
          <w:rFonts w:asciiTheme="minorHAnsi" w:eastAsia="Times New Roman" w:hAnsiTheme="minorHAnsi" w:cstheme="minorHAnsi"/>
          <w:color w:val="000000" w:themeColor="text1"/>
        </w:rPr>
        <w:t xml:space="preserve">s to </w:t>
      </w:r>
      <w:r w:rsidR="00323D0D">
        <w:rPr>
          <w:rFonts w:asciiTheme="minorHAnsi" w:eastAsia="Times New Roman" w:hAnsiTheme="minorHAnsi" w:cstheme="minorHAnsi"/>
          <w:color w:val="000000" w:themeColor="text1"/>
        </w:rPr>
        <w:t>let the temporary rule</w:t>
      </w:r>
      <w:r w:rsidR="00FC6D41">
        <w:rPr>
          <w:rFonts w:asciiTheme="minorHAnsi" w:eastAsia="Times New Roman" w:hAnsiTheme="minorHAnsi" w:cstheme="minorHAnsi"/>
          <w:color w:val="000000" w:themeColor="text1"/>
        </w:rPr>
        <w:t>s</w:t>
      </w:r>
      <w:r w:rsidR="00323D0D">
        <w:rPr>
          <w:rFonts w:asciiTheme="minorHAnsi" w:eastAsia="Times New Roman" w:hAnsiTheme="minorHAnsi" w:cstheme="minorHAnsi"/>
          <w:color w:val="000000" w:themeColor="text1"/>
        </w:rPr>
        <w:t xml:space="preserve"> expire June 30, 2014</w:t>
      </w:r>
      <w:r w:rsidR="00B22F3A">
        <w:rPr>
          <w:rFonts w:asciiTheme="minorHAnsi" w:eastAsia="Times New Roman" w:hAnsiTheme="minorHAnsi" w:cstheme="minorHAnsi"/>
          <w:color w:val="000000" w:themeColor="text1"/>
        </w:rPr>
        <w:t>,</w:t>
      </w:r>
      <w:r w:rsidR="00323D0D">
        <w:rPr>
          <w:rFonts w:asciiTheme="minorHAnsi" w:eastAsia="Times New Roman" w:hAnsiTheme="minorHAnsi" w:cstheme="minorHAnsi"/>
          <w:color w:val="000000" w:themeColor="text1"/>
        </w:rPr>
        <w:t xml:space="preserve"> and revert to the </w:t>
      </w:r>
      <w:r w:rsidR="00BB6582">
        <w:rPr>
          <w:rFonts w:asciiTheme="minorHAnsi" w:eastAsia="Times New Roman" w:hAnsiTheme="minorHAnsi" w:cstheme="minorHAnsi"/>
          <w:color w:val="000000" w:themeColor="text1"/>
        </w:rPr>
        <w:t>previous</w:t>
      </w:r>
      <w:r w:rsidR="00323D0D">
        <w:rPr>
          <w:rFonts w:asciiTheme="minorHAnsi" w:eastAsia="Times New Roman" w:hAnsiTheme="minorHAnsi" w:cstheme="minorHAnsi"/>
          <w:color w:val="000000" w:themeColor="text1"/>
        </w:rPr>
        <w:t xml:space="preserve"> rules</w:t>
      </w:r>
      <w:r w:rsidR="002D3429">
        <w:rPr>
          <w:rFonts w:asciiTheme="minorHAnsi" w:eastAsia="Times New Roman" w:hAnsiTheme="minorHAnsi" w:cstheme="minorHAnsi"/>
          <w:color w:val="000000" w:themeColor="text1"/>
        </w:rPr>
        <w:t xml:space="preserve">. </w:t>
      </w:r>
      <w:r w:rsidR="00FC6D41">
        <w:rPr>
          <w:rFonts w:asciiTheme="minorHAnsi" w:eastAsia="Times New Roman" w:hAnsiTheme="minorHAnsi" w:cstheme="minorHAnsi"/>
          <w:color w:val="000000" w:themeColor="text1"/>
        </w:rPr>
        <w:t>However, t</w:t>
      </w:r>
      <w:r w:rsidR="002D3429">
        <w:rPr>
          <w:rFonts w:asciiTheme="minorHAnsi" w:eastAsia="Times New Roman" w:hAnsiTheme="minorHAnsi" w:cstheme="minorHAnsi"/>
          <w:color w:val="000000" w:themeColor="text1"/>
        </w:rPr>
        <w:t>h</w:t>
      </w:r>
      <w:r w:rsidR="00323D0D">
        <w:rPr>
          <w:rFonts w:asciiTheme="minorHAnsi" w:eastAsia="Times New Roman" w:hAnsiTheme="minorHAnsi" w:cstheme="minorHAnsi"/>
          <w:color w:val="000000" w:themeColor="text1"/>
        </w:rPr>
        <w:t>is</w:t>
      </w:r>
      <w:r w:rsidR="002D3429">
        <w:rPr>
          <w:rFonts w:asciiTheme="minorHAnsi" w:eastAsia="Times New Roman" w:hAnsiTheme="minorHAnsi" w:cstheme="minorHAnsi"/>
          <w:color w:val="000000" w:themeColor="text1"/>
        </w:rPr>
        <w:t xml:space="preserve"> alternative would </w:t>
      </w:r>
      <w:r w:rsidR="002D3429" w:rsidRPr="0068707F">
        <w:rPr>
          <w:rFonts w:asciiTheme="minorHAnsi" w:eastAsia="Times New Roman" w:hAnsiTheme="minorHAnsi" w:cstheme="minorHAnsi"/>
          <w:color w:val="000000" w:themeColor="text1"/>
        </w:rPr>
        <w:t>cause potential regulated parties to misinterpret how</w:t>
      </w:r>
      <w:r w:rsidR="002D3429">
        <w:rPr>
          <w:rFonts w:asciiTheme="minorHAnsi" w:eastAsia="Times New Roman" w:hAnsiTheme="minorHAnsi" w:cstheme="minorHAnsi"/>
          <w:color w:val="000000" w:themeColor="text1"/>
        </w:rPr>
        <w:t xml:space="preserve"> and whether</w:t>
      </w:r>
      <w:r w:rsidR="002D3429" w:rsidRPr="0068707F">
        <w:rPr>
          <w:rFonts w:asciiTheme="minorHAnsi" w:eastAsia="Times New Roman" w:hAnsiTheme="minorHAnsi" w:cstheme="minorHAnsi"/>
          <w:color w:val="000000" w:themeColor="text1"/>
        </w:rPr>
        <w:t xml:space="preserve"> the program applies to them, causing </w:t>
      </w:r>
      <w:r w:rsidR="00030F35">
        <w:rPr>
          <w:rFonts w:asciiTheme="minorHAnsi" w:eastAsia="Times New Roman" w:hAnsiTheme="minorHAnsi" w:cstheme="minorHAnsi"/>
          <w:color w:val="000000" w:themeColor="text1"/>
        </w:rPr>
        <w:t xml:space="preserve">the </w:t>
      </w:r>
      <w:r w:rsidR="002D3429" w:rsidRPr="0068707F">
        <w:rPr>
          <w:rFonts w:asciiTheme="minorHAnsi" w:eastAsia="Times New Roman" w:hAnsiTheme="minorHAnsi" w:cstheme="minorHAnsi"/>
          <w:color w:val="000000" w:themeColor="text1"/>
        </w:rPr>
        <w:t xml:space="preserve">continued </w:t>
      </w:r>
      <w:r w:rsidR="00030F35">
        <w:rPr>
          <w:rFonts w:asciiTheme="minorHAnsi" w:eastAsia="Times New Roman" w:hAnsiTheme="minorHAnsi" w:cstheme="minorHAnsi"/>
          <w:color w:val="000000" w:themeColor="text1"/>
        </w:rPr>
        <w:t xml:space="preserve">cost </w:t>
      </w:r>
      <w:r w:rsidR="002D3429" w:rsidRPr="0068707F">
        <w:rPr>
          <w:rFonts w:asciiTheme="minorHAnsi" w:eastAsia="Times New Roman" w:hAnsiTheme="minorHAnsi" w:cstheme="minorHAnsi"/>
          <w:color w:val="000000" w:themeColor="text1"/>
        </w:rPr>
        <w:t xml:space="preserve">of complying with the program. </w:t>
      </w:r>
      <w:r w:rsidR="002D3429">
        <w:rPr>
          <w:rFonts w:asciiTheme="minorHAnsi" w:eastAsia="Times New Roman" w:hAnsiTheme="minorHAnsi" w:cstheme="minorHAnsi"/>
          <w:color w:val="000000" w:themeColor="text1"/>
        </w:rPr>
        <w:t xml:space="preserve">The </w:t>
      </w:r>
      <w:r w:rsidR="00BB6582">
        <w:rPr>
          <w:rFonts w:asciiTheme="minorHAnsi" w:eastAsia="Times New Roman" w:hAnsiTheme="minorHAnsi" w:cstheme="minorHAnsi"/>
          <w:color w:val="000000" w:themeColor="text1"/>
        </w:rPr>
        <w:t>previous</w:t>
      </w:r>
      <w:r w:rsidR="002D3429">
        <w:rPr>
          <w:rFonts w:asciiTheme="minorHAnsi" w:eastAsia="Times New Roman" w:hAnsiTheme="minorHAnsi" w:cstheme="minorHAnsi"/>
          <w:color w:val="000000" w:themeColor="text1"/>
        </w:rPr>
        <w:t xml:space="preserve"> rules also </w:t>
      </w:r>
      <w:r w:rsidR="002D3429" w:rsidRPr="0068707F">
        <w:rPr>
          <w:rFonts w:asciiTheme="minorHAnsi" w:eastAsia="Times New Roman" w:hAnsiTheme="minorHAnsi" w:cstheme="minorHAnsi"/>
          <w:color w:val="000000" w:themeColor="text1"/>
        </w:rPr>
        <w:t>contain requirements for reporting and recordkeeping that are unnecessary for phase one of the Clean Fuels Program and create additional work for affected parties.</w:t>
      </w:r>
    </w:p>
    <w:p w:rsidR="008F5568" w:rsidRDefault="008F5568" w:rsidP="008F5568">
      <w:pPr>
        <w:ind w:left="720" w:right="18"/>
        <w:rPr>
          <w:rFonts w:ascii="Times New Roman" w:eastAsia="Times New Roman" w:hAnsi="Times New Roman" w:cs="Times New Roman"/>
          <w:bCs/>
          <w:color w:val="504938"/>
          <w:sz w:val="20"/>
          <w:u w:val="single"/>
        </w:rPr>
      </w:pPr>
    </w:p>
    <w:p w:rsidR="00030F35" w:rsidRDefault="00030F35" w:rsidP="00B34CF8">
      <w:pPr>
        <w:ind w:left="0" w:right="18"/>
        <w:outlineLvl w:val="0"/>
        <w:rPr>
          <w:rFonts w:eastAsia="Times New Roman"/>
          <w:b/>
          <w:bCs/>
          <w:color w:val="32525C"/>
          <w:sz w:val="28"/>
          <w:szCs w:val="28"/>
        </w:rPr>
        <w:sectPr w:rsidR="00030F35" w:rsidSect="00B34CF8">
          <w:pgSz w:w="12240" w:h="15840"/>
          <w:pgMar w:top="1080" w:right="990" w:bottom="1080" w:left="360" w:header="720" w:footer="720" w:gutter="432"/>
          <w:cols w:space="720"/>
          <w:docGrid w:linePitch="360"/>
        </w:sectPr>
      </w:pPr>
      <w:bookmarkStart w:id="6" w:name="_GoBack"/>
      <w:bookmarkEnd w:id="6"/>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8F5568" w:rsidRPr="00B15DF7" w:rsidRDefault="008F5568" w:rsidP="008F5568">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Pr>
          <w:rFonts w:ascii="Times New Roman" w:eastAsia="Times New Roman" w:hAnsi="Times New Roman" w:cs="Times New Roman"/>
          <w:i/>
          <w:iCs/>
          <w:color w:val="1D1D1D"/>
        </w:rPr>
        <w:t xml:space="preserve"> </w:t>
      </w:r>
      <w:r>
        <w:rPr>
          <w:rFonts w:ascii="Times New Roman" w:eastAsia="Times New Roman" w:hAnsi="Times New Roman" w:cs="Times New Roman"/>
          <w:color w:val="504938"/>
          <w:sz w:val="16"/>
          <w:u w:val="single"/>
        </w:rPr>
        <w:t xml:space="preserve"> </w:t>
      </w:r>
      <w:hyperlink r:id="rId16" w:history="1">
        <w:r w:rsidRPr="00DC74C6">
          <w:rPr>
            <w:rStyle w:val="Hyperlink"/>
            <w:rFonts w:asciiTheme="minorHAnsi" w:eastAsia="Times New Roman" w:hAnsiTheme="minorHAnsi" w:cstheme="minorHAnsi"/>
            <w:sz w:val="20"/>
            <w:szCs w:val="20"/>
          </w:rPr>
          <w:t xml:space="preserve">OAR </w:t>
        </w:r>
        <w:r>
          <w:rPr>
            <w:rStyle w:val="Hyperlink"/>
            <w:rFonts w:asciiTheme="minorHAnsi" w:eastAsia="Times New Roman" w:hAnsiTheme="minorHAnsi" w:cstheme="minorHAnsi"/>
            <w:sz w:val="20"/>
            <w:szCs w:val="20"/>
          </w:rPr>
          <w:t>340-</w:t>
        </w:r>
        <w:r w:rsidRPr="00DC74C6">
          <w:rPr>
            <w:rStyle w:val="Hyperlink"/>
            <w:rFonts w:asciiTheme="minorHAnsi" w:eastAsia="Times New Roman" w:hAnsiTheme="minorHAnsi" w:cstheme="minorHAnsi"/>
            <w:sz w:val="20"/>
            <w:szCs w:val="20"/>
          </w:rPr>
          <w:t>018-0010</w:t>
        </w:r>
      </w:hyperlink>
    </w:p>
    <w:p w:rsidR="008F5568" w:rsidRDefault="008F5568" w:rsidP="00B34CF8">
      <w:pPr>
        <w:spacing w:after="120"/>
        <w:ind w:left="360" w:right="18"/>
        <w:rPr>
          <w:rFonts w:asciiTheme="majorHAnsi" w:eastAsia="Times New Roman" w:hAnsiTheme="majorHAnsi" w:cstheme="majorHAnsi"/>
          <w:bCs/>
          <w:color w:val="000000" w:themeColor="text1"/>
          <w:sz w:val="22"/>
          <w:szCs w:val="22"/>
        </w:rPr>
      </w:pPr>
    </w:p>
    <w:p w:rsidR="00516FBC" w:rsidRPr="006807BF" w:rsidRDefault="000B685A" w:rsidP="00B34CF8">
      <w:pPr>
        <w:spacing w:after="120"/>
        <w:ind w:left="360" w:right="18"/>
        <w:rPr>
          <w:rFonts w:asciiTheme="majorHAnsi" w:eastAsia="Times New Roman" w:hAnsiTheme="majorHAnsi" w:cstheme="majorHAnsi"/>
          <w:bCs/>
          <w:color w:val="000000" w:themeColor="text1"/>
          <w:sz w:val="22"/>
          <w:szCs w:val="22"/>
        </w:rPr>
      </w:pPr>
      <w:r w:rsidRPr="006807BF">
        <w:rPr>
          <w:rFonts w:asciiTheme="majorHAnsi" w:eastAsia="Times New Roman" w:hAnsiTheme="majorHAnsi" w:cstheme="majorHAnsi"/>
          <w:bCs/>
          <w:color w:val="000000" w:themeColor="text1"/>
          <w:sz w:val="22"/>
          <w:szCs w:val="22"/>
        </w:rPr>
        <w:t>Land</w:t>
      </w:r>
      <w:r w:rsidR="006754AA" w:rsidRPr="006807BF">
        <w:rPr>
          <w:rFonts w:asciiTheme="majorHAnsi" w:eastAsia="Times New Roman" w:hAnsiTheme="majorHAnsi" w:cstheme="majorHAnsi"/>
          <w:bCs/>
          <w:color w:val="000000" w:themeColor="text1"/>
          <w:sz w:val="22"/>
          <w:szCs w:val="22"/>
        </w:rPr>
        <w:t>-</w:t>
      </w:r>
      <w:r w:rsidRPr="006807BF">
        <w:rPr>
          <w:rFonts w:asciiTheme="majorHAnsi" w:eastAsia="Times New Roman" w:hAnsiTheme="majorHAnsi" w:cstheme="majorHAnsi"/>
          <w:bCs/>
          <w:color w:val="000000" w:themeColor="text1"/>
          <w:sz w:val="22"/>
          <w:szCs w:val="22"/>
        </w:rPr>
        <w:t>use considerations</w:t>
      </w:r>
    </w:p>
    <w:p w:rsidR="00641BDA" w:rsidRDefault="00705C22">
      <w:pPr>
        <w:spacing w:after="120"/>
        <w:ind w:left="810" w:right="37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641BDA" w:rsidRDefault="006754AA">
      <w:pPr>
        <w:pStyle w:val="ListParagraph"/>
        <w:numPr>
          <w:ilvl w:val="0"/>
          <w:numId w:val="9"/>
        </w:numPr>
        <w:ind w:left="1440" w:right="37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641BDA" w:rsidRDefault="00641BDA">
      <w:pPr>
        <w:ind w:left="450" w:right="378"/>
        <w:rPr>
          <w:rFonts w:ascii="Cambria" w:eastAsia="Times New Roman" w:hAnsi="Cambria" w:cs="Times New Roman"/>
          <w:color w:val="000000" w:themeColor="text1"/>
        </w:rPr>
      </w:pPr>
    </w:p>
    <w:p w:rsidR="00641BDA" w:rsidRDefault="00705C22">
      <w:pPr>
        <w:ind w:left="1440" w:right="37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641BDA" w:rsidRDefault="00705C22">
      <w:pPr>
        <w:ind w:left="1440" w:right="37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641BDA" w:rsidRDefault="002F0C40">
      <w:pPr>
        <w:ind w:left="1440" w:right="37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641BDA" w:rsidRDefault="00705C22">
      <w:pPr>
        <w:ind w:left="1440" w:right="37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641BDA" w:rsidRDefault="00705C22">
      <w:pPr>
        <w:ind w:left="1440" w:right="37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641BDA" w:rsidRDefault="00705C22">
      <w:pPr>
        <w:ind w:left="1440" w:right="37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641BDA" w:rsidRDefault="00641BDA">
      <w:pPr>
        <w:ind w:left="1062" w:right="378"/>
        <w:rPr>
          <w:rFonts w:ascii="Cambria" w:eastAsia="Times New Roman" w:hAnsi="Cambria" w:cs="Times New Roman"/>
          <w:color w:val="000000" w:themeColor="text1"/>
        </w:rPr>
      </w:pPr>
    </w:p>
    <w:p w:rsidR="00641BDA" w:rsidRDefault="006E07D4">
      <w:pPr>
        <w:pStyle w:val="ListParagraph"/>
        <w:numPr>
          <w:ilvl w:val="0"/>
          <w:numId w:val="10"/>
        </w:numPr>
        <w:spacing w:after="120"/>
        <w:ind w:left="1440" w:right="378"/>
        <w:contextualSpacing w:val="0"/>
        <w:outlineLvl w:val="1"/>
        <w:rPr>
          <w:rFonts w:asciiTheme="majorHAnsi" w:eastAsia="Times New Roman" w:hAnsiTheme="majorHAnsi" w:cstheme="majorHAnsi"/>
          <w:bCs/>
          <w:sz w:val="22"/>
          <w:szCs w:val="22"/>
        </w:rPr>
      </w:pPr>
      <w:hyperlink r:id="rId17"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641BDA" w:rsidRDefault="004B692D">
      <w:pPr>
        <w:pStyle w:val="ListParagraph"/>
        <w:numPr>
          <w:ilvl w:val="1"/>
          <w:numId w:val="10"/>
        </w:numPr>
        <w:spacing w:after="120"/>
        <w:ind w:left="2160" w:right="37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w:t>
      </w:r>
    </w:p>
    <w:p w:rsidR="00641BDA" w:rsidRDefault="004B692D">
      <w:pPr>
        <w:pStyle w:val="ListParagraph"/>
        <w:numPr>
          <w:ilvl w:val="1"/>
          <w:numId w:val="10"/>
        </w:numPr>
        <w:spacing w:after="120"/>
        <w:ind w:left="2160" w:right="37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1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C86788">
      <w:pPr>
        <w:pStyle w:val="ListParagraph"/>
        <w:numPr>
          <w:ilvl w:val="0"/>
          <w:numId w:val="10"/>
        </w:numPr>
        <w:spacing w:after="120"/>
        <w:ind w:left="1440" w:right="37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 xml:space="preserve">DEQ’s mandate to protect public </w:t>
      </w:r>
      <w:r w:rsidR="00C86788" w:rsidRPr="004B692D">
        <w:rPr>
          <w:rFonts w:ascii="Times New Roman" w:eastAsia="Times New Roman" w:hAnsi="Times New Roman" w:cs="Times New Roman"/>
          <w:bCs/>
        </w:rPr>
        <w:t>health, safety</w:t>
      </w:r>
      <w:r w:rsidRPr="004B692D">
        <w:rPr>
          <w:rFonts w:ascii="Times New Roman" w:eastAsia="Times New Roman" w:hAnsi="Times New Roman" w:cs="Times New Roman"/>
          <w:bCs/>
        </w:rPr>
        <w:t xml:space="preserve"> and the environment.</w:t>
      </w:r>
    </w:p>
    <w:p w:rsidR="00641BDA" w:rsidRDefault="00FF2CB9">
      <w:pPr>
        <w:pStyle w:val="ListParagraph"/>
        <w:numPr>
          <w:ilvl w:val="0"/>
          <w:numId w:val="10"/>
        </w:numPr>
        <w:spacing w:after="120"/>
        <w:ind w:left="1440" w:right="37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641BDA" w:rsidRDefault="000B685A">
      <w:pPr>
        <w:pStyle w:val="ListParagraph"/>
        <w:numPr>
          <w:ilvl w:val="0"/>
          <w:numId w:val="10"/>
        </w:numPr>
        <w:ind w:left="1440" w:right="378"/>
      </w:pPr>
      <w:r w:rsidRPr="000B685A">
        <w:rPr>
          <w:rFonts w:ascii="Times New Roman" w:eastAsia="Times New Roman" w:hAnsi="Times New Roman" w:cs="Times New Roman"/>
          <w:bCs/>
        </w:rPr>
        <w:t>Present or future land uses identified in acknowledged comprehensive plans.</w:t>
      </w:r>
    </w:p>
    <w:p w:rsidR="00641BDA" w:rsidRDefault="00641BDA">
      <w:pPr>
        <w:spacing w:after="120"/>
        <w:ind w:left="360" w:right="378"/>
        <w:rPr>
          <w:rFonts w:asciiTheme="majorHAnsi" w:eastAsia="Times New Roman" w:hAnsiTheme="majorHAnsi" w:cstheme="majorHAnsi"/>
          <w:bCs/>
          <w:color w:val="504938"/>
          <w:sz w:val="22"/>
          <w:szCs w:val="22"/>
        </w:rPr>
      </w:pPr>
    </w:p>
    <w:p w:rsidR="002E4AA0" w:rsidRPr="006807BF" w:rsidRDefault="006416C7" w:rsidP="00B34CF8">
      <w:pPr>
        <w:spacing w:after="120"/>
        <w:ind w:left="360" w:right="18"/>
        <w:rPr>
          <w:rFonts w:asciiTheme="majorHAnsi" w:eastAsia="Times New Roman" w:hAnsiTheme="majorHAnsi" w:cstheme="majorHAnsi"/>
          <w:bCs/>
          <w:color w:val="000000" w:themeColor="text1"/>
          <w:sz w:val="22"/>
          <w:szCs w:val="22"/>
        </w:rPr>
      </w:pPr>
      <w:r w:rsidRPr="006807BF">
        <w:rPr>
          <w:rFonts w:asciiTheme="majorHAnsi" w:eastAsia="Times New Roman" w:hAnsiTheme="majorHAnsi" w:cstheme="majorHAnsi"/>
          <w:bCs/>
          <w:color w:val="000000" w:themeColor="text1"/>
          <w:sz w:val="22"/>
          <w:szCs w:val="22"/>
        </w:rPr>
        <w:t>Determination</w:t>
      </w:r>
    </w:p>
    <w:p w:rsidR="0055188B" w:rsidRDefault="006416C7">
      <w:pPr>
        <w:spacing w:after="120"/>
        <w:ind w:left="720" w:right="37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 xml:space="preserve">existing rules, programs or activities that </w:t>
      </w:r>
      <w:r w:rsidR="003A40D9">
        <w:rPr>
          <w:rFonts w:ascii="Times New Roman" w:eastAsia="Times New Roman" w:hAnsi="Times New Roman" w:cs="Times New Roman"/>
          <w:color w:val="000000"/>
        </w:rPr>
        <w:t>Oregon considers</w:t>
      </w:r>
      <w:r w:rsidRPr="005857AA">
        <w:rPr>
          <w:rFonts w:ascii="Times New Roman" w:eastAsia="Times New Roman" w:hAnsi="Times New Roman" w:cs="Times New Roman"/>
          <w:color w:val="000000"/>
        </w:rPr>
        <w:t xml:space="preserve">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FF0CBE" w:rsidRDefault="00FF0CBE">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FF648F">
            <w:pPr>
              <w:ind w:left="0"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868A4" w:rsidRDefault="007868A4" w:rsidP="00AC7EE1">
      <w:pPr>
        <w:spacing w:after="120"/>
        <w:ind w:left="360" w:right="18"/>
        <w:outlineLvl w:val="0"/>
        <w:rPr>
          <w:rFonts w:ascii="Times New Roman" w:eastAsia="Times New Roman" w:hAnsi="Times New Roman" w:cs="Times New Roman"/>
          <w:color w:val="000000" w:themeColor="text1"/>
        </w:rPr>
      </w:pPr>
      <w:r>
        <w:rPr>
          <w:rFonts w:asciiTheme="majorHAnsi" w:eastAsia="Times New Roman" w:hAnsiTheme="majorHAnsi" w:cstheme="majorHAnsi"/>
          <w:bCs/>
          <w:color w:val="000000" w:themeColor="text1"/>
        </w:rPr>
        <w:t>Regulated parties</w:t>
      </w:r>
      <w:r w:rsidR="001F2D3C" w:rsidRPr="006807BF">
        <w:rPr>
          <w:rFonts w:ascii="Times New Roman" w:eastAsia="Times New Roman" w:hAnsi="Times New Roman" w:cs="Times New Roman"/>
          <w:color w:val="000000" w:themeColor="text1"/>
        </w:rPr>
        <w:t> </w:t>
      </w:r>
      <w:bookmarkStart w:id="7" w:name="AdvisoryCommittee"/>
    </w:p>
    <w:p w:rsidR="00677842" w:rsidRDefault="00FC6D41">
      <w:pPr>
        <w:ind w:left="720"/>
        <w:rPr>
          <w:rFonts w:asciiTheme="minorHAnsi" w:hAnsiTheme="minorHAnsi" w:cstheme="minorHAnsi"/>
        </w:rPr>
      </w:pPr>
      <w:r w:rsidRPr="00FC6D41">
        <w:rPr>
          <w:rFonts w:asciiTheme="minorHAnsi" w:hAnsiTheme="minorHAnsi" w:cstheme="minorHAnsi"/>
        </w:rPr>
        <w:t xml:space="preserve">DEQ worked directly with each of the 64 businesses subject to the Clean Fuels Program during the initial outreach and registration process in 2013. </w:t>
      </w:r>
      <w:r>
        <w:rPr>
          <w:rFonts w:asciiTheme="minorHAnsi" w:hAnsiTheme="minorHAnsi" w:cstheme="minorHAnsi"/>
        </w:rPr>
        <w:t>T</w:t>
      </w:r>
      <w:r w:rsidRPr="00FC6D41">
        <w:rPr>
          <w:rFonts w:asciiTheme="minorHAnsi" w:hAnsiTheme="minorHAnsi" w:cstheme="minorHAnsi"/>
        </w:rPr>
        <w:t xml:space="preserve">hrough surveys, e-mails, workshops and individual conversations, DEQ worked closely with businesses to identify alternatives to the previous recordkeeping and reporting requirements to reduce costs to regulated parties while still providing DEQ with the information it needs for program development. DEQ shared the </w:t>
      </w:r>
      <w:r w:rsidR="00C42021">
        <w:rPr>
          <w:rFonts w:asciiTheme="minorHAnsi" w:hAnsiTheme="minorHAnsi" w:cstheme="minorHAnsi"/>
        </w:rPr>
        <w:t>proposed rules</w:t>
      </w:r>
      <w:r w:rsidRPr="00FC6D41">
        <w:rPr>
          <w:rFonts w:asciiTheme="minorHAnsi" w:hAnsiTheme="minorHAnsi" w:cstheme="minorHAnsi"/>
        </w:rPr>
        <w:t xml:space="preserve"> with affected businesses and key stakeholders in fall 2013 during temporary rules</w:t>
      </w:r>
      <w:r w:rsidR="003A40D9">
        <w:rPr>
          <w:rFonts w:asciiTheme="minorHAnsi" w:hAnsiTheme="minorHAnsi" w:cstheme="minorHAnsi"/>
        </w:rPr>
        <w:t xml:space="preserve"> development</w:t>
      </w:r>
      <w:r>
        <w:rPr>
          <w:rFonts w:asciiTheme="minorHAnsi" w:hAnsiTheme="minorHAnsi" w:cstheme="minorHAnsi"/>
        </w:rPr>
        <w:t>.</w:t>
      </w:r>
    </w:p>
    <w:p w:rsidR="00677842" w:rsidRDefault="00677842">
      <w:pPr>
        <w:ind w:left="720" w:right="14"/>
        <w:outlineLvl w:val="0"/>
        <w:rPr>
          <w:rFonts w:asciiTheme="majorHAnsi" w:eastAsia="Times New Roman" w:hAnsiTheme="majorHAnsi" w:cstheme="majorHAnsi"/>
          <w:bCs/>
          <w:color w:val="000000" w:themeColor="text1"/>
        </w:rPr>
      </w:pPr>
    </w:p>
    <w:p w:rsidR="00AC7EE1" w:rsidRDefault="00AC7EE1" w:rsidP="00AC7EE1">
      <w:pPr>
        <w:spacing w:after="120"/>
        <w:ind w:left="360" w:right="18"/>
        <w:outlineLvl w:val="0"/>
        <w:rPr>
          <w:rFonts w:asciiTheme="majorHAnsi" w:eastAsia="Times New Roman" w:hAnsiTheme="majorHAnsi" w:cstheme="majorHAnsi"/>
          <w:bCs/>
          <w:color w:val="000000" w:themeColor="text1"/>
        </w:rPr>
      </w:pPr>
      <w:r>
        <w:rPr>
          <w:rFonts w:asciiTheme="majorHAnsi" w:eastAsia="Times New Roman" w:hAnsiTheme="majorHAnsi" w:cstheme="majorHAnsi"/>
          <w:bCs/>
          <w:color w:val="000000" w:themeColor="text1"/>
        </w:rPr>
        <w:t>Advisory committee</w:t>
      </w:r>
    </w:p>
    <w:p w:rsidR="00FC6D41" w:rsidRDefault="00AC7EE1" w:rsidP="00FC6D41">
      <w:pPr>
        <w:ind w:left="720" w:right="378"/>
        <w:rPr>
          <w:rFonts w:asciiTheme="minorHAnsi" w:hAnsiTheme="minorHAnsi" w:cstheme="minorHAnsi"/>
          <w:iCs/>
          <w:color w:val="415B5C" w:themeColor="accent3" w:themeShade="80"/>
        </w:rPr>
      </w:pPr>
      <w:r>
        <w:rPr>
          <w:rFonts w:asciiTheme="minorHAnsi" w:eastAsia="Times New Roman" w:hAnsiTheme="minorHAnsi" w:cstheme="minorHAnsi"/>
          <w:bCs/>
          <w:color w:val="000000" w:themeColor="text1"/>
        </w:rPr>
        <w:t>DEQ did not convene an advisory committee for this proposed rule</w:t>
      </w:r>
      <w:r w:rsidR="00FC6D41" w:rsidRPr="00FC6D41">
        <w:rPr>
          <w:rFonts w:asciiTheme="minorHAnsi" w:hAnsiTheme="minorHAnsi" w:cstheme="minorHAnsi"/>
          <w:iCs/>
          <w:color w:val="000000" w:themeColor="text1"/>
        </w:rPr>
        <w:t xml:space="preserve"> </w:t>
      </w:r>
      <w:r w:rsidR="00FC6D41">
        <w:rPr>
          <w:rFonts w:asciiTheme="minorHAnsi" w:hAnsiTheme="minorHAnsi" w:cstheme="minorHAnsi"/>
          <w:iCs/>
          <w:color w:val="000000" w:themeColor="text1"/>
        </w:rPr>
        <w:t>because the proposed rules reduce compliance requirements and costs to comply.</w:t>
      </w:r>
    </w:p>
    <w:p w:rsidR="00641BDA" w:rsidRDefault="00641BDA" w:rsidP="00641BDA">
      <w:pPr>
        <w:spacing w:after="120"/>
        <w:ind w:left="720" w:right="634"/>
        <w:rPr>
          <w:rFonts w:asciiTheme="minorHAnsi" w:hAnsiTheme="minorHAnsi" w:cstheme="minorHAnsi"/>
          <w:color w:val="000000" w:themeColor="text1"/>
        </w:rPr>
      </w:pPr>
    </w:p>
    <w:p w:rsidR="00AC7EE1" w:rsidRDefault="00AC7EE1" w:rsidP="00AC7EE1">
      <w:pPr>
        <w:spacing w:after="120"/>
        <w:ind w:left="360" w:right="18"/>
        <w:outlineLvl w:val="0"/>
        <w:rPr>
          <w:rFonts w:asciiTheme="majorHAnsi" w:eastAsia="Times New Roman" w:hAnsiTheme="majorHAnsi" w:cstheme="majorHAnsi"/>
          <w:bCs/>
          <w:color w:val="000000" w:themeColor="text1"/>
        </w:rPr>
      </w:pPr>
      <w:r>
        <w:rPr>
          <w:rFonts w:asciiTheme="majorHAnsi" w:eastAsia="Times New Roman" w:hAnsiTheme="majorHAnsi" w:cstheme="majorHAnsi"/>
          <w:bCs/>
          <w:color w:val="000000" w:themeColor="text1"/>
        </w:rPr>
        <w:t>EQC prior involvement</w:t>
      </w:r>
    </w:p>
    <w:p w:rsidR="00F230E9" w:rsidRDefault="00815AF4" w:rsidP="00F230E9">
      <w:pPr>
        <w:ind w:left="720" w:right="18"/>
        <w:outlineLvl w:val="0"/>
        <w:rPr>
          <w:rFonts w:asciiTheme="minorHAnsi" w:eastAsia="Times New Roman" w:hAnsiTheme="minorHAnsi" w:cstheme="minorHAnsi"/>
          <w:color w:val="000000" w:themeColor="text1"/>
        </w:rPr>
      </w:pPr>
      <w:r w:rsidRPr="00815AF4">
        <w:rPr>
          <w:rFonts w:asciiTheme="minorHAnsi" w:eastAsia="Times New Roman" w:hAnsiTheme="minorHAnsi" w:cstheme="minorHAnsi"/>
          <w:color w:val="000000" w:themeColor="text1"/>
        </w:rPr>
        <w:t>DEQ shared information about this rulemaking with EQC in the Director's Dialogue Aug. 22, 2013.</w:t>
      </w:r>
      <w:r w:rsidR="002166F3">
        <w:rPr>
          <w:rFonts w:asciiTheme="minorHAnsi" w:eastAsia="Times New Roman" w:hAnsiTheme="minorHAnsi" w:cstheme="minorHAnsi"/>
          <w:color w:val="000000" w:themeColor="text1"/>
        </w:rPr>
        <w:t xml:space="preserve"> </w:t>
      </w:r>
      <w:r w:rsidR="00F230E9">
        <w:rPr>
          <w:rFonts w:asciiTheme="minorHAnsi" w:eastAsia="Times New Roman" w:hAnsiTheme="minorHAnsi" w:cstheme="minorHAnsi"/>
          <w:color w:val="000000" w:themeColor="text1"/>
        </w:rPr>
        <w:t>On Dec. 11, 2013, EQC adopted temporary rules</w:t>
      </w:r>
      <w:r w:rsidR="00F230E9" w:rsidRPr="005B23D2">
        <w:rPr>
          <w:rFonts w:asciiTheme="minorHAnsi" w:eastAsia="Times New Roman" w:hAnsiTheme="minorHAnsi" w:cstheme="minorHAnsi"/>
          <w:color w:val="000000" w:themeColor="text1"/>
        </w:rPr>
        <w:t xml:space="preserve"> </w:t>
      </w:r>
      <w:r w:rsidR="00F230E9">
        <w:rPr>
          <w:rFonts w:asciiTheme="minorHAnsi" w:eastAsia="Times New Roman" w:hAnsiTheme="minorHAnsi" w:cstheme="minorHAnsi"/>
          <w:color w:val="000000" w:themeColor="text1"/>
        </w:rPr>
        <w:t>that are substantively identical to these proposed permanent rules.</w:t>
      </w:r>
    </w:p>
    <w:p w:rsidR="00AC7EE1" w:rsidRDefault="00AC7EE1" w:rsidP="00641BDA">
      <w:pPr>
        <w:spacing w:after="120"/>
        <w:ind w:left="360" w:right="14"/>
        <w:outlineLvl w:val="0"/>
        <w:rPr>
          <w:rFonts w:asciiTheme="majorHAnsi" w:eastAsia="Times New Roman" w:hAnsiTheme="majorHAnsi" w:cstheme="majorHAnsi"/>
          <w:color w:val="000000" w:themeColor="text1"/>
        </w:rPr>
      </w:pPr>
    </w:p>
    <w:bookmarkEnd w:id="7"/>
    <w:p w:rsidR="00A74227" w:rsidRPr="007868A4" w:rsidRDefault="0068707F" w:rsidP="00B34CF8">
      <w:pPr>
        <w:spacing w:after="120"/>
        <w:ind w:left="360" w:right="18"/>
        <w:outlineLvl w:val="0"/>
        <w:rPr>
          <w:rFonts w:asciiTheme="majorHAnsi" w:eastAsia="Times New Roman" w:hAnsiTheme="majorHAnsi" w:cstheme="majorHAnsi"/>
          <w:bCs/>
          <w:color w:val="000000" w:themeColor="text1"/>
        </w:rPr>
      </w:pPr>
      <w:r w:rsidRPr="0068707F">
        <w:rPr>
          <w:rFonts w:asciiTheme="majorHAnsi" w:eastAsia="Times New Roman" w:hAnsiTheme="majorHAnsi" w:cstheme="majorHAnsi"/>
          <w:bCs/>
          <w:color w:val="000000" w:themeColor="text1"/>
        </w:rPr>
        <w:t>Public notice</w:t>
      </w:r>
    </w:p>
    <w:p w:rsidR="0055188B" w:rsidRDefault="004C40F0">
      <w:pPr>
        <w:spacing w:after="120"/>
        <w:ind w:left="720" w:right="378"/>
        <w:outlineLvl w:val="0"/>
      </w:pPr>
      <w:r>
        <w:rPr>
          <w:rFonts w:asciiTheme="minorHAnsi" w:eastAsia="Times New Roman" w:hAnsiTheme="minorHAnsi" w:cstheme="minorHAnsi"/>
          <w:bCs/>
          <w:color w:val="000000" w:themeColor="text1"/>
        </w:rPr>
        <w:t>DEQ provided notice</w:t>
      </w:r>
      <w:r w:rsidR="00803A21">
        <w:rPr>
          <w:rFonts w:asciiTheme="minorHAnsi" w:eastAsia="Times New Roman" w:hAnsiTheme="minorHAnsi" w:cstheme="minorHAnsi"/>
          <w:bCs/>
          <w:color w:val="000000" w:themeColor="text1"/>
        </w:rPr>
        <w:t xml:space="preserve"> </w:t>
      </w:r>
      <w:r w:rsidR="00233537">
        <w:rPr>
          <w:rFonts w:asciiTheme="minorHAnsi" w:eastAsia="Times New Roman" w:hAnsiTheme="minorHAnsi" w:cstheme="minorHAnsi"/>
          <w:bCs/>
          <w:color w:val="000000" w:themeColor="text1"/>
        </w:rPr>
        <w:t>of</w:t>
      </w:r>
      <w:r w:rsidR="00803A21">
        <w:rPr>
          <w:rFonts w:asciiTheme="minorHAnsi" w:eastAsia="Times New Roman" w:hAnsiTheme="minorHAnsi" w:cstheme="minorHAnsi"/>
          <w:bCs/>
          <w:color w:val="000000" w:themeColor="text1"/>
        </w:rPr>
        <w:t xml:space="preserve"> t</w:t>
      </w:r>
      <w:r w:rsidR="00CB2EED">
        <w:rPr>
          <w:rFonts w:asciiTheme="minorHAnsi" w:eastAsia="Times New Roman" w:hAnsiTheme="minorHAnsi" w:cstheme="minorHAnsi"/>
          <w:bCs/>
          <w:color w:val="000000" w:themeColor="text1"/>
        </w:rPr>
        <w:t>he Notice of Proposed Rulemaking with Hearing for this rulemaking</w:t>
      </w:r>
      <w:r w:rsidR="00842FC1">
        <w:rPr>
          <w:rFonts w:asciiTheme="minorHAnsi" w:eastAsia="Times New Roman" w:hAnsiTheme="minorHAnsi" w:cstheme="minorHAnsi"/>
          <w:bCs/>
          <w:color w:val="000000" w:themeColor="text1"/>
        </w:rPr>
        <w:t xml:space="preserve"> </w:t>
      </w:r>
      <w:r w:rsidR="008F5568">
        <w:rPr>
          <w:rFonts w:asciiTheme="minorHAnsi" w:eastAsia="Times New Roman" w:hAnsiTheme="minorHAnsi" w:cstheme="minorHAnsi"/>
          <w:bCs/>
          <w:color w:val="000000" w:themeColor="text1"/>
        </w:rPr>
        <w:t xml:space="preserve">to </w:t>
      </w:r>
      <w:r w:rsidR="008F5568" w:rsidRPr="008F5568">
        <w:rPr>
          <w:rFonts w:asciiTheme="minorHAnsi" w:eastAsia="Times New Roman" w:hAnsiTheme="minorHAnsi" w:cstheme="minorHAnsi"/>
          <w:bCs/>
          <w:color w:val="000000" w:themeColor="text1"/>
        </w:rPr>
        <w:t>Secretary of State for publication in the April 2014</w:t>
      </w:r>
      <w:r w:rsidR="008F5568" w:rsidRPr="008F5568">
        <w:rPr>
          <w:rFonts w:asciiTheme="minorHAnsi" w:eastAsia="Times New Roman" w:hAnsiTheme="minorHAnsi" w:cstheme="minorHAnsi"/>
          <w:bCs/>
          <w:i/>
          <w:color w:val="000000" w:themeColor="text1"/>
        </w:rPr>
        <w:t xml:space="preserve"> </w:t>
      </w:r>
      <w:hyperlink r:id="rId19" w:history="1">
        <w:r w:rsidR="008F5568" w:rsidRPr="008F5568">
          <w:rPr>
            <w:rStyle w:val="Hyperlink"/>
            <w:rFonts w:asciiTheme="minorHAnsi" w:eastAsia="Times New Roman" w:hAnsiTheme="minorHAnsi" w:cstheme="minorHAnsi"/>
            <w:bCs/>
            <w:i/>
          </w:rPr>
          <w:t>Oregon Bulletin</w:t>
        </w:r>
      </w:hyperlink>
    </w:p>
    <w:p w:rsidR="00641BDA" w:rsidRDefault="004C40F0" w:rsidP="00641BD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On </w:t>
      </w:r>
      <w:r w:rsidR="00AC7EE1">
        <w:rPr>
          <w:rFonts w:asciiTheme="minorHAnsi" w:eastAsia="Times New Roman" w:hAnsiTheme="minorHAnsi" w:cstheme="minorHAnsi"/>
          <w:bCs/>
          <w:color w:val="000000" w:themeColor="text1"/>
        </w:rPr>
        <w:t>March 1</w:t>
      </w:r>
      <w:r w:rsidR="00725CC9">
        <w:rPr>
          <w:rFonts w:asciiTheme="minorHAnsi" w:eastAsia="Times New Roman" w:hAnsiTheme="minorHAnsi" w:cstheme="minorHAnsi"/>
          <w:bCs/>
          <w:color w:val="000000" w:themeColor="text1"/>
        </w:rPr>
        <w:t>9</w:t>
      </w:r>
      <w:r w:rsidR="00AC7EE1">
        <w:rPr>
          <w:rFonts w:asciiTheme="minorHAnsi" w:eastAsia="Times New Roman" w:hAnsiTheme="minorHAnsi" w:cstheme="minorHAnsi"/>
          <w:bCs/>
          <w:color w:val="000000" w:themeColor="text1"/>
        </w:rPr>
        <w:t>, 2014</w:t>
      </w:r>
      <w:r>
        <w:rPr>
          <w:rFonts w:asciiTheme="minorHAnsi" w:eastAsia="Times New Roman" w:hAnsiTheme="minorHAnsi" w:cstheme="minorHAnsi"/>
          <w:bCs/>
          <w:color w:val="000000" w:themeColor="text1"/>
        </w:rPr>
        <w:t>,</w:t>
      </w:r>
      <w:r w:rsidR="0023353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DEQ </w:t>
      </w:r>
      <w:r w:rsidR="008F5568">
        <w:rPr>
          <w:rFonts w:asciiTheme="minorHAnsi" w:eastAsia="Times New Roman" w:hAnsiTheme="minorHAnsi" w:cstheme="minorHAnsi"/>
          <w:bCs/>
          <w:color w:val="000000" w:themeColor="text1"/>
        </w:rPr>
        <w:t xml:space="preserve">provided </w:t>
      </w:r>
      <w:r w:rsidR="00233537">
        <w:rPr>
          <w:rFonts w:asciiTheme="minorHAnsi" w:eastAsia="Times New Roman" w:hAnsiTheme="minorHAnsi" w:cstheme="minorHAnsi"/>
          <w:bCs/>
          <w:color w:val="000000" w:themeColor="text1"/>
        </w:rPr>
        <w:t xml:space="preserve">notice </w:t>
      </w:r>
      <w:r w:rsidR="00842FC1">
        <w:rPr>
          <w:rFonts w:asciiTheme="minorHAnsi" w:eastAsia="Times New Roman" w:hAnsiTheme="minorHAnsi" w:cstheme="minorHAnsi"/>
          <w:bCs/>
          <w:color w:val="000000" w:themeColor="text1"/>
        </w:rPr>
        <w:t xml:space="preserve">of this </w:t>
      </w:r>
      <w:r w:rsidR="005B23D2">
        <w:rPr>
          <w:rFonts w:asciiTheme="minorHAnsi" w:eastAsia="Times New Roman" w:hAnsiTheme="minorHAnsi" w:cstheme="minorHAnsi"/>
          <w:bCs/>
          <w:color w:val="000000" w:themeColor="text1"/>
        </w:rPr>
        <w:t>proposed</w:t>
      </w:r>
      <w:r w:rsidR="00842FC1">
        <w:rPr>
          <w:rFonts w:asciiTheme="minorHAnsi" w:eastAsia="Times New Roman" w:hAnsiTheme="minorHAnsi" w:cstheme="minorHAnsi"/>
          <w:bCs/>
          <w:color w:val="000000" w:themeColor="text1"/>
        </w:rPr>
        <w:t xml:space="preserve"> rulemaking </w:t>
      </w:r>
      <w:r w:rsidR="008F5568">
        <w:rPr>
          <w:rFonts w:asciiTheme="minorHAnsi" w:eastAsia="Times New Roman" w:hAnsiTheme="minorHAnsi" w:cstheme="minorHAnsi"/>
          <w:bCs/>
          <w:color w:val="000000" w:themeColor="text1"/>
        </w:rPr>
        <w:t>by</w:t>
      </w:r>
      <w:r w:rsidR="00233537">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9E5009" w:rsidRPr="009E5009" w:rsidRDefault="008F5568" w:rsidP="003A40D9">
      <w:pPr>
        <w:pStyle w:val="ListParagraph"/>
        <w:numPr>
          <w:ilvl w:val="0"/>
          <w:numId w:val="31"/>
        </w:numPr>
        <w:spacing w:after="120"/>
        <w:ind w:left="1440" w:right="14"/>
        <w:contextualSpacing w:val="0"/>
        <w:outlineLvl w:val="0"/>
        <w:rPr>
          <w:rFonts w:asciiTheme="minorHAnsi" w:eastAsia="Times New Roman" w:hAnsiTheme="minorHAnsi" w:cstheme="minorHAnsi"/>
          <w:bCs/>
          <w:color w:val="000000" w:themeColor="text1"/>
        </w:rPr>
      </w:pPr>
      <w:r w:rsidRPr="009E5009">
        <w:rPr>
          <w:rFonts w:asciiTheme="minorHAnsi" w:eastAsia="Times New Roman" w:hAnsiTheme="minorHAnsi" w:cstheme="minorHAnsi"/>
          <w:color w:val="000000" w:themeColor="text1"/>
        </w:rPr>
        <w:t>DEQ’s</w:t>
      </w:r>
      <w:r w:rsidR="00866F57" w:rsidRPr="009E5009">
        <w:rPr>
          <w:rFonts w:asciiTheme="minorHAnsi" w:eastAsia="Times New Roman" w:hAnsiTheme="minorHAnsi" w:cstheme="minorHAnsi"/>
          <w:color w:val="000000" w:themeColor="text1"/>
        </w:rPr>
        <w:t xml:space="preserve"> </w:t>
      </w:r>
      <w:r w:rsidRPr="009E5009">
        <w:rPr>
          <w:rFonts w:asciiTheme="minorHAnsi" w:eastAsia="Times New Roman" w:hAnsiTheme="minorHAnsi" w:cstheme="minorHAnsi"/>
          <w:color w:val="000000" w:themeColor="text1"/>
        </w:rPr>
        <w:t>r</w:t>
      </w:r>
      <w:r w:rsidR="00233537" w:rsidRPr="009E5009">
        <w:rPr>
          <w:rFonts w:asciiTheme="minorHAnsi" w:eastAsia="Times New Roman" w:hAnsiTheme="minorHAnsi" w:cstheme="minorHAnsi"/>
          <w:color w:val="000000" w:themeColor="text1"/>
        </w:rPr>
        <w:t xml:space="preserve">ulemaking </w:t>
      </w:r>
      <w:r w:rsidRPr="009E5009">
        <w:rPr>
          <w:rFonts w:asciiTheme="minorHAnsi" w:eastAsia="Times New Roman" w:hAnsiTheme="minorHAnsi" w:cstheme="minorHAnsi"/>
          <w:color w:val="000000" w:themeColor="text1"/>
        </w:rPr>
        <w:t>we</w:t>
      </w:r>
      <w:r w:rsidR="00233537" w:rsidRPr="009E5009">
        <w:rPr>
          <w:rFonts w:asciiTheme="minorHAnsi" w:eastAsia="Times New Roman" w:hAnsiTheme="minorHAnsi" w:cstheme="minorHAnsi"/>
          <w:color w:val="000000" w:themeColor="text1"/>
        </w:rPr>
        <w:t xml:space="preserve">b </w:t>
      </w:r>
      <w:r w:rsidR="00EB79B4" w:rsidRPr="009E5009">
        <w:rPr>
          <w:rFonts w:asciiTheme="minorHAnsi" w:eastAsia="Times New Roman" w:hAnsiTheme="minorHAnsi" w:cstheme="minorHAnsi"/>
          <w:color w:val="000000" w:themeColor="text1"/>
        </w:rPr>
        <w:t xml:space="preserve">page </w:t>
      </w:r>
      <w:hyperlink r:id="rId20" w:history="1">
        <w:r w:rsidR="009E5009" w:rsidRPr="009E5009">
          <w:rPr>
            <w:rStyle w:val="Hyperlink"/>
            <w:rFonts w:asciiTheme="minorHAnsi" w:eastAsia="Times New Roman" w:hAnsiTheme="minorHAnsi" w:cstheme="minorHAnsi"/>
          </w:rPr>
          <w:t>http://www.oregon.gov/deq/RulesandRegulations/Pages/2014/CFPPh1.aspx</w:t>
        </w:r>
      </w:hyperlink>
      <w:r w:rsidR="009E5009" w:rsidRPr="009E5009">
        <w:rPr>
          <w:rFonts w:asciiTheme="minorHAnsi" w:eastAsia="Times New Roman" w:hAnsiTheme="minorHAnsi" w:cstheme="minorHAnsi"/>
          <w:color w:val="000000" w:themeColor="text1"/>
        </w:rPr>
        <w:t xml:space="preserve"> </w:t>
      </w:r>
    </w:p>
    <w:p w:rsidR="00AC7EE1" w:rsidRPr="009E5009" w:rsidRDefault="00AC7EE1" w:rsidP="003A40D9">
      <w:pPr>
        <w:pStyle w:val="ListParagraph"/>
        <w:numPr>
          <w:ilvl w:val="0"/>
          <w:numId w:val="31"/>
        </w:numPr>
        <w:spacing w:after="120"/>
        <w:ind w:left="1440" w:right="14"/>
        <w:contextualSpacing w:val="0"/>
        <w:outlineLvl w:val="0"/>
        <w:rPr>
          <w:rFonts w:asciiTheme="minorHAnsi" w:eastAsia="Times New Roman" w:hAnsiTheme="minorHAnsi" w:cstheme="minorHAnsi"/>
          <w:bCs/>
          <w:color w:val="000000" w:themeColor="text1"/>
        </w:rPr>
      </w:pPr>
      <w:r w:rsidRPr="009E5009">
        <w:rPr>
          <w:rFonts w:asciiTheme="minorHAnsi" w:eastAsia="Times New Roman" w:hAnsiTheme="minorHAnsi" w:cstheme="minorHAnsi"/>
          <w:bCs/>
          <w:color w:val="000000" w:themeColor="text1"/>
        </w:rPr>
        <w:t>Email</w:t>
      </w:r>
      <w:r w:rsidR="008F5568" w:rsidRPr="009E5009">
        <w:rPr>
          <w:rFonts w:asciiTheme="minorHAnsi" w:eastAsia="Times New Roman" w:hAnsiTheme="minorHAnsi" w:cstheme="minorHAnsi"/>
          <w:bCs/>
          <w:color w:val="000000" w:themeColor="text1"/>
        </w:rPr>
        <w:t xml:space="preserve"> </w:t>
      </w:r>
      <w:r w:rsidRPr="009E5009">
        <w:rPr>
          <w:rFonts w:asciiTheme="minorHAnsi" w:eastAsia="Times New Roman" w:hAnsiTheme="minorHAnsi" w:cstheme="minorHAnsi"/>
          <w:bCs/>
          <w:color w:val="000000" w:themeColor="text1"/>
        </w:rPr>
        <w:t xml:space="preserve">to </w:t>
      </w:r>
      <w:r w:rsidR="00F230E9" w:rsidRPr="009E5009">
        <w:rPr>
          <w:rFonts w:asciiTheme="minorHAnsi" w:eastAsia="Times New Roman" w:hAnsiTheme="minorHAnsi" w:cstheme="minorHAnsi"/>
          <w:bCs/>
          <w:color w:val="000000" w:themeColor="text1"/>
        </w:rPr>
        <w:t>t</w:t>
      </w:r>
      <w:r w:rsidRPr="009E5009">
        <w:rPr>
          <w:rFonts w:asciiTheme="minorHAnsi" w:eastAsia="Times New Roman" w:hAnsiTheme="minorHAnsi" w:cstheme="minorHAnsi"/>
          <w:bCs/>
          <w:color w:val="000000" w:themeColor="text1"/>
        </w:rPr>
        <w:t>he program’s regulated parties and key stakeholders</w:t>
      </w:r>
    </w:p>
    <w:p w:rsidR="006F1FBD" w:rsidRPr="00AC7EE1" w:rsidRDefault="00AC7EE1" w:rsidP="003A40D9">
      <w:pPr>
        <w:pStyle w:val="ListParagraph"/>
        <w:numPr>
          <w:ilvl w:val="0"/>
          <w:numId w:val="31"/>
        </w:numPr>
        <w:spacing w:after="120"/>
        <w:ind w:left="1440"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 to approximately</w:t>
      </w:r>
      <w:r w:rsidR="00AF3197">
        <w:rPr>
          <w:rFonts w:ascii="Times New Roman" w:eastAsia="Times New Roman" w:hAnsi="Times New Roman" w:cs="Times New Roman"/>
          <w:color w:val="000000" w:themeColor="text1"/>
        </w:rPr>
        <w:t xml:space="preserve"> </w:t>
      </w:r>
      <w:r w:rsidR="00C55083">
        <w:rPr>
          <w:rFonts w:ascii="Times New Roman" w:eastAsia="Times New Roman" w:hAnsi="Times New Roman" w:cs="Times New Roman"/>
          <w:color w:val="000000" w:themeColor="text1"/>
        </w:rPr>
        <w:t>7</w:t>
      </w:r>
      <w:r w:rsidR="00F230E9">
        <w:rPr>
          <w:rFonts w:ascii="Times New Roman" w:eastAsia="Times New Roman" w:hAnsi="Times New Roman" w:cs="Times New Roman"/>
          <w:color w:val="000000" w:themeColor="text1"/>
        </w:rPr>
        <w:t>,0</w:t>
      </w:r>
      <w:r w:rsidR="00C55083">
        <w:rPr>
          <w:rFonts w:ascii="Times New Roman" w:eastAsia="Times New Roman" w:hAnsi="Times New Roman" w:cs="Times New Roman"/>
          <w:color w:val="000000" w:themeColor="text1"/>
        </w:rPr>
        <w:t>24</w:t>
      </w:r>
      <w:r w:rsidR="00F230E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interested parties through GovDelivery</w:t>
      </w:r>
      <w:r w:rsidR="00AF3197">
        <w:rPr>
          <w:rFonts w:ascii="Times New Roman" w:eastAsia="Times New Roman" w:hAnsi="Times New Roman" w:cs="Times New Roman"/>
          <w:color w:val="000000" w:themeColor="text1"/>
        </w:rPr>
        <w:t>,</w:t>
      </w:r>
      <w:r w:rsidR="005F203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includ</w:t>
      </w:r>
      <w:r w:rsidR="00AF3197">
        <w:rPr>
          <w:rFonts w:ascii="Times New Roman" w:eastAsia="Times New Roman" w:hAnsi="Times New Roman" w:cs="Times New Roman"/>
          <w:color w:val="000000" w:themeColor="text1"/>
        </w:rPr>
        <w:t>ing</w:t>
      </w:r>
      <w:r>
        <w:rPr>
          <w:rFonts w:ascii="Times New Roman" w:eastAsia="Times New Roman" w:hAnsi="Times New Roman" w:cs="Times New Roman"/>
          <w:color w:val="000000" w:themeColor="text1"/>
        </w:rPr>
        <w:t xml:space="preserve"> the </w:t>
      </w:r>
      <w:r w:rsidR="00AF3197">
        <w:rPr>
          <w:rFonts w:ascii="Times New Roman" w:eastAsia="Times New Roman" w:hAnsi="Times New Roman" w:cs="Times New Roman"/>
          <w:color w:val="000000" w:themeColor="text1"/>
        </w:rPr>
        <w:t xml:space="preserve">interested </w:t>
      </w:r>
      <w:proofErr w:type="gramStart"/>
      <w:r w:rsidR="00AF3197">
        <w:rPr>
          <w:rFonts w:ascii="Times New Roman" w:eastAsia="Times New Roman" w:hAnsi="Times New Roman" w:cs="Times New Roman"/>
          <w:color w:val="000000" w:themeColor="text1"/>
        </w:rPr>
        <w:t>persons</w:t>
      </w:r>
      <w:proofErr w:type="gramEnd"/>
      <w:r w:rsidR="00AF3197">
        <w:rPr>
          <w:rFonts w:ascii="Times New Roman" w:eastAsia="Times New Roman" w:hAnsi="Times New Roman" w:cs="Times New Roman"/>
          <w:color w:val="000000" w:themeColor="text1"/>
        </w:rPr>
        <w:t xml:space="preserve"> lists for </w:t>
      </w:r>
      <w:r w:rsidR="005F2035">
        <w:rPr>
          <w:rFonts w:ascii="Times New Roman" w:eastAsia="Times New Roman" w:hAnsi="Times New Roman" w:cs="Times New Roman"/>
          <w:color w:val="000000" w:themeColor="text1"/>
        </w:rPr>
        <w:t xml:space="preserve">Agency </w:t>
      </w:r>
      <w:r>
        <w:rPr>
          <w:rFonts w:ascii="Times New Roman" w:eastAsia="Times New Roman" w:hAnsi="Times New Roman" w:cs="Times New Roman"/>
          <w:color w:val="000000" w:themeColor="text1"/>
        </w:rPr>
        <w:t xml:space="preserve">Rulemaking and </w:t>
      </w:r>
      <w:r w:rsidR="00AF3197">
        <w:rPr>
          <w:rFonts w:ascii="Times New Roman" w:eastAsia="Times New Roman" w:hAnsi="Times New Roman" w:cs="Times New Roman"/>
          <w:color w:val="000000" w:themeColor="text1"/>
        </w:rPr>
        <w:t xml:space="preserve">the </w:t>
      </w:r>
      <w:r>
        <w:rPr>
          <w:rFonts w:ascii="Times New Roman" w:eastAsia="Times New Roman" w:hAnsi="Times New Roman" w:cs="Times New Roman"/>
          <w:color w:val="000000" w:themeColor="text1"/>
        </w:rPr>
        <w:t>Oregon Clean Fuels Program.</w:t>
      </w:r>
    </w:p>
    <w:p w:rsidR="001F2D3C" w:rsidRPr="006F1FBD" w:rsidRDefault="008F5568" w:rsidP="003A40D9">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Email to t</w:t>
      </w:r>
      <w:r w:rsidR="00016F5E" w:rsidRPr="006F1FBD">
        <w:rPr>
          <w:rFonts w:asciiTheme="minorHAnsi" w:eastAsia="Times New Roman" w:hAnsiTheme="minorHAnsi" w:cstheme="minorHAnsi"/>
          <w:color w:val="000000" w:themeColor="text1"/>
        </w:rPr>
        <w:t xml:space="preserve">he following </w:t>
      </w:r>
      <w:r w:rsidR="00C22E0C" w:rsidRPr="006F1FBD">
        <w:rPr>
          <w:rFonts w:asciiTheme="minorHAnsi" w:eastAsia="Times New Roman" w:hAnsiTheme="minorHAnsi" w:cstheme="minorHAnsi"/>
          <w:color w:val="000000" w:themeColor="text1"/>
        </w:rPr>
        <w:t xml:space="preserve">key legislators required under </w:t>
      </w:r>
      <w:hyperlink r:id="rId21" w:history="1">
        <w:r w:rsidR="00C22E0C" w:rsidRPr="006F1FBD">
          <w:rPr>
            <w:rFonts w:asciiTheme="minorHAnsi" w:eastAsia="Times New Roman" w:hAnsiTheme="minorHAnsi" w:cstheme="minorHAnsi"/>
            <w:color w:val="000000" w:themeColor="text1"/>
            <w:u w:val="single"/>
          </w:rPr>
          <w:t>ORS 183.335</w:t>
        </w:r>
      </w:hyperlink>
      <w:r w:rsidR="00016F5E">
        <w:t>:</w:t>
      </w:r>
    </w:p>
    <w:p w:rsidR="00B42917" w:rsidRDefault="00B42917" w:rsidP="003A40D9">
      <w:pPr>
        <w:pStyle w:val="NormalWeb"/>
        <w:numPr>
          <w:ilvl w:val="1"/>
          <w:numId w:val="1"/>
        </w:numPr>
        <w:spacing w:before="0" w:beforeAutospacing="0" w:after="120" w:afterAutospacing="0"/>
        <w:ind w:left="1800"/>
        <w:rPr>
          <w:rFonts w:asciiTheme="minorHAnsi" w:hAnsiTheme="minorHAnsi" w:cstheme="minorHAnsi"/>
          <w:color w:val="000000" w:themeColor="text1"/>
        </w:rPr>
      </w:pPr>
      <w:r>
        <w:rPr>
          <w:rFonts w:asciiTheme="minorHAnsi" w:hAnsiTheme="minorHAnsi" w:cstheme="minorHAnsi"/>
          <w:color w:val="000000" w:themeColor="text1"/>
        </w:rPr>
        <w:t>Michael De</w:t>
      </w:r>
      <w:r w:rsidR="00C55083">
        <w:rPr>
          <w:rFonts w:asciiTheme="minorHAnsi" w:hAnsiTheme="minorHAnsi" w:cstheme="minorHAnsi"/>
          <w:color w:val="000000" w:themeColor="text1"/>
        </w:rPr>
        <w:t>m</w:t>
      </w:r>
      <w:r>
        <w:rPr>
          <w:rFonts w:asciiTheme="minorHAnsi" w:hAnsiTheme="minorHAnsi" w:cstheme="minorHAnsi"/>
          <w:color w:val="000000" w:themeColor="text1"/>
        </w:rPr>
        <w:t xml:space="preserve">brow, Chair, Senate Environment and Natural Resources Committee </w:t>
      </w:r>
    </w:p>
    <w:p w:rsidR="00B42917" w:rsidRDefault="00B42917" w:rsidP="003A40D9">
      <w:pPr>
        <w:pStyle w:val="NormalWeb"/>
        <w:numPr>
          <w:ilvl w:val="1"/>
          <w:numId w:val="1"/>
        </w:numPr>
        <w:spacing w:before="0" w:beforeAutospacing="0" w:after="120" w:afterAutospacing="0"/>
        <w:ind w:left="1800"/>
        <w:rPr>
          <w:rFonts w:asciiTheme="minorHAnsi" w:hAnsiTheme="minorHAnsi" w:cstheme="minorHAnsi"/>
          <w:color w:val="000000" w:themeColor="text1"/>
        </w:rPr>
      </w:pPr>
      <w:r>
        <w:rPr>
          <w:rFonts w:asciiTheme="minorHAnsi" w:hAnsiTheme="minorHAnsi" w:cstheme="minorHAnsi"/>
          <w:color w:val="000000" w:themeColor="text1"/>
        </w:rPr>
        <w:t xml:space="preserve">Jules Bailey, Chair, House Energy and Environment Committee </w:t>
      </w:r>
    </w:p>
    <w:p w:rsidR="00641BDA" w:rsidRDefault="00641BDA">
      <w:pPr>
        <w:ind w:left="0" w:right="14"/>
        <w:outlineLvl w:val="0"/>
        <w:rPr>
          <w:rFonts w:asciiTheme="minorHAnsi" w:eastAsia="Times New Roman" w:hAnsiTheme="minorHAnsi" w:cstheme="minorHAnsi"/>
          <w:bCs/>
          <w:color w:val="000000" w:themeColor="text1"/>
        </w:rPr>
      </w:pPr>
    </w:p>
    <w:p w:rsidR="004C40F0" w:rsidRDefault="007B7B80" w:rsidP="00B42917">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DEQ provided legal notice in the following newspapers:</w:t>
      </w:r>
    </w:p>
    <w:p w:rsidR="007B7B80" w:rsidRPr="00842FC1" w:rsidRDefault="002B661B" w:rsidP="007B7B80">
      <w:pPr>
        <w:pStyle w:val="ListParagraph"/>
        <w:numPr>
          <w:ilvl w:val="0"/>
          <w:numId w:val="28"/>
        </w:numPr>
        <w:tabs>
          <w:tab w:val="left" w:pos="6120"/>
        </w:tabs>
        <w:ind w:left="1440"/>
        <w:jc w:val="both"/>
        <w:rPr>
          <w:rFonts w:asciiTheme="minorHAnsi" w:hAnsiTheme="minorHAnsi" w:cstheme="minorHAnsi"/>
          <w:i/>
        </w:rPr>
      </w:pPr>
      <w:r w:rsidRPr="002B661B">
        <w:rPr>
          <w:rFonts w:asciiTheme="minorHAnsi" w:hAnsiTheme="minorHAnsi" w:cstheme="minorHAnsi"/>
          <w:i/>
        </w:rPr>
        <w:t xml:space="preserve">The Oregonian </w:t>
      </w:r>
      <w:r w:rsidRPr="002B661B">
        <w:rPr>
          <w:rFonts w:asciiTheme="minorHAnsi" w:hAnsiTheme="minorHAnsi" w:cstheme="minorHAnsi"/>
          <w:i/>
        </w:rPr>
        <w:tab/>
      </w:r>
      <w:r w:rsidR="007B7B80" w:rsidRPr="00842FC1">
        <w:rPr>
          <w:rFonts w:asciiTheme="minorHAnsi" w:eastAsia="Times New Roman" w:hAnsiTheme="minorHAnsi" w:cstheme="minorHAnsi"/>
          <w:color w:val="000000" w:themeColor="text1"/>
        </w:rPr>
        <w:t xml:space="preserve">publication date - </w:t>
      </w:r>
      <w:r w:rsidR="00B42917" w:rsidRPr="00842FC1">
        <w:rPr>
          <w:rFonts w:asciiTheme="minorHAnsi" w:eastAsia="Times New Roman" w:hAnsiTheme="minorHAnsi" w:cstheme="minorHAnsi"/>
          <w:bCs/>
          <w:color w:val="000000" w:themeColor="text1"/>
        </w:rPr>
        <w:t xml:space="preserve">March </w:t>
      </w:r>
      <w:r w:rsidR="00725CC9">
        <w:rPr>
          <w:rFonts w:asciiTheme="minorHAnsi" w:eastAsia="Times New Roman" w:hAnsiTheme="minorHAnsi" w:cstheme="minorHAnsi"/>
          <w:bCs/>
          <w:color w:val="000000" w:themeColor="text1"/>
        </w:rPr>
        <w:t>19</w:t>
      </w:r>
      <w:r w:rsidR="00B42917" w:rsidRPr="00842FC1">
        <w:rPr>
          <w:rFonts w:asciiTheme="minorHAnsi" w:eastAsia="Times New Roman" w:hAnsiTheme="minorHAnsi" w:cstheme="minorHAnsi"/>
          <w:bCs/>
          <w:color w:val="000000" w:themeColor="text1"/>
        </w:rPr>
        <w:t>, 2014</w:t>
      </w:r>
    </w:p>
    <w:p w:rsidR="007B7B80" w:rsidRPr="00842FC1" w:rsidRDefault="002B661B" w:rsidP="007B7B80">
      <w:pPr>
        <w:pStyle w:val="ListParagraph"/>
        <w:numPr>
          <w:ilvl w:val="0"/>
          <w:numId w:val="28"/>
        </w:numPr>
        <w:tabs>
          <w:tab w:val="left" w:pos="6120"/>
        </w:tabs>
        <w:ind w:left="1440"/>
        <w:jc w:val="both"/>
        <w:rPr>
          <w:rFonts w:asciiTheme="minorHAnsi" w:hAnsiTheme="minorHAnsi" w:cstheme="minorHAnsi"/>
          <w:i/>
        </w:rPr>
      </w:pPr>
      <w:r w:rsidRPr="002B661B">
        <w:rPr>
          <w:rFonts w:asciiTheme="minorHAnsi" w:hAnsiTheme="minorHAnsi" w:cstheme="minorHAnsi"/>
          <w:i/>
        </w:rPr>
        <w:t>East Oregon</w:t>
      </w:r>
      <w:r w:rsidR="00836843">
        <w:rPr>
          <w:rFonts w:asciiTheme="minorHAnsi" w:hAnsiTheme="minorHAnsi" w:cstheme="minorHAnsi"/>
          <w:i/>
        </w:rPr>
        <w:t>ian</w:t>
      </w:r>
      <w:r w:rsidRPr="002B661B">
        <w:rPr>
          <w:rFonts w:asciiTheme="minorHAnsi" w:hAnsiTheme="minorHAnsi" w:cstheme="minorHAnsi"/>
          <w:i/>
        </w:rPr>
        <w:t xml:space="preserve"> (Pendleton)</w:t>
      </w:r>
      <w:r w:rsidRPr="002B661B">
        <w:rPr>
          <w:rFonts w:asciiTheme="minorHAnsi" w:hAnsiTheme="minorHAnsi" w:cstheme="minorHAnsi"/>
          <w:i/>
        </w:rPr>
        <w:tab/>
      </w:r>
      <w:r w:rsidR="007B7B80" w:rsidRPr="00842FC1">
        <w:rPr>
          <w:rFonts w:asciiTheme="minorHAnsi" w:eastAsia="Times New Roman" w:hAnsiTheme="minorHAnsi" w:cstheme="minorHAnsi"/>
          <w:color w:val="000000" w:themeColor="text1"/>
        </w:rPr>
        <w:t xml:space="preserve">publication date - </w:t>
      </w:r>
      <w:r w:rsidR="00B42917" w:rsidRPr="00842FC1">
        <w:rPr>
          <w:rFonts w:asciiTheme="minorHAnsi" w:eastAsia="Times New Roman" w:hAnsiTheme="minorHAnsi" w:cstheme="minorHAnsi"/>
          <w:bCs/>
          <w:color w:val="000000" w:themeColor="text1"/>
        </w:rPr>
        <w:t>March 1</w:t>
      </w:r>
      <w:r w:rsidR="00725CC9">
        <w:rPr>
          <w:rFonts w:asciiTheme="minorHAnsi" w:eastAsia="Times New Roman" w:hAnsiTheme="minorHAnsi" w:cstheme="minorHAnsi"/>
          <w:bCs/>
          <w:color w:val="000000" w:themeColor="text1"/>
        </w:rPr>
        <w:t>9</w:t>
      </w:r>
      <w:r w:rsidR="00B42917" w:rsidRPr="00842FC1">
        <w:rPr>
          <w:rFonts w:asciiTheme="minorHAnsi" w:eastAsia="Times New Roman" w:hAnsiTheme="minorHAnsi" w:cstheme="minorHAnsi"/>
          <w:bCs/>
          <w:color w:val="000000" w:themeColor="text1"/>
        </w:rPr>
        <w:t>, 2014</w:t>
      </w:r>
    </w:p>
    <w:p w:rsidR="007B7B80" w:rsidRDefault="007B7B80" w:rsidP="00641BDA">
      <w:pPr>
        <w:shd w:val="clear" w:color="auto" w:fill="FFFFFF"/>
        <w:spacing w:after="120"/>
        <w:rPr>
          <w:rFonts w:eastAsia="Times New Roman"/>
          <w:color w:val="000000"/>
          <w:sz w:val="18"/>
          <w:szCs w:val="18"/>
        </w:rPr>
      </w:pPr>
    </w:p>
    <w:p w:rsidR="009E5009" w:rsidRDefault="009E5009">
      <w:pPr>
        <w:spacing w:after="120"/>
        <w:rPr>
          <w:rFonts w:asciiTheme="majorHAnsi" w:eastAsia="Times New Roman" w:hAnsiTheme="majorHAnsi" w:cstheme="majorHAnsi"/>
          <w:bCs/>
          <w:color w:val="000000" w:themeColor="text1"/>
          <w:sz w:val="22"/>
          <w:szCs w:val="22"/>
        </w:rPr>
      </w:pPr>
      <w:r>
        <w:rPr>
          <w:rFonts w:asciiTheme="majorHAnsi" w:eastAsia="Times New Roman" w:hAnsiTheme="majorHAnsi" w:cstheme="majorHAnsi"/>
          <w:bCs/>
          <w:color w:val="000000" w:themeColor="text1"/>
          <w:sz w:val="22"/>
          <w:szCs w:val="22"/>
        </w:rPr>
        <w:br w:type="page"/>
      </w:r>
    </w:p>
    <w:p w:rsidR="00866F57" w:rsidRPr="006807BF" w:rsidRDefault="00866F57" w:rsidP="00B34CF8">
      <w:pPr>
        <w:spacing w:after="120"/>
        <w:ind w:left="360" w:right="18"/>
        <w:outlineLvl w:val="0"/>
        <w:rPr>
          <w:rFonts w:asciiTheme="minorHAnsi" w:eastAsia="Times New Roman" w:hAnsiTheme="minorHAnsi" w:cstheme="minorHAnsi"/>
          <w:bCs/>
          <w:color w:val="000000" w:themeColor="text1"/>
        </w:rPr>
      </w:pPr>
      <w:r w:rsidRPr="006807BF">
        <w:rPr>
          <w:rFonts w:asciiTheme="majorHAnsi" w:eastAsia="Times New Roman" w:hAnsiTheme="majorHAnsi" w:cstheme="majorHAnsi"/>
          <w:bCs/>
          <w:color w:val="000000" w:themeColor="text1"/>
          <w:sz w:val="22"/>
          <w:szCs w:val="22"/>
        </w:rPr>
        <w:t>Public hearings</w:t>
      </w:r>
    </w:p>
    <w:p w:rsidR="002166F3" w:rsidRDefault="006911BB" w:rsidP="00AF3197">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8E759B">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2166F3">
        <w:rPr>
          <w:rFonts w:asciiTheme="minorHAnsi" w:eastAsia="Times New Roman" w:hAnsiTheme="minorHAnsi" w:cstheme="minorHAnsi"/>
          <w:bCs/>
          <w:color w:val="000000" w:themeColor="text1"/>
        </w:rPr>
        <w:t xml:space="preserve">. The table below includes information about how to participate in the public hearings. </w:t>
      </w:r>
    </w:p>
    <w:p w:rsidR="00B22F3A" w:rsidRPr="00AF3197" w:rsidRDefault="00B22F3A" w:rsidP="00AF3197">
      <w:pPr>
        <w:ind w:left="720" w:right="18"/>
        <w:outlineLvl w:val="0"/>
        <w:rPr>
          <w:rFonts w:asciiTheme="minorHAnsi" w:eastAsia="Times New Roman" w:hAnsiTheme="minorHAnsi" w:cstheme="minorHAnsi"/>
          <w:bCs/>
          <w:color w:val="000000" w:themeColor="text1"/>
        </w:rPr>
      </w:pPr>
    </w:p>
    <w:p w:rsidR="0055188B" w:rsidRDefault="00AF3197">
      <w:pPr>
        <w:ind w:left="720" w:right="288"/>
        <w:outlineLvl w:val="0"/>
        <w:rPr>
          <w:rFonts w:ascii="Times New Roman" w:hAnsi="Times New Roman" w:cs="Times New Roman"/>
        </w:rPr>
      </w:pPr>
      <w:r w:rsidDel="00121787">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2"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5F2035">
        <w:rPr>
          <w:rFonts w:ascii="Times New Roman" w:hAnsi="Times New Roman" w:cs="Times New Roman"/>
        </w:rPr>
        <w:t xml:space="preserve">the </w:t>
      </w:r>
      <w:r w:rsidR="00C32274">
        <w:rPr>
          <w:rFonts w:ascii="Times New Roman" w:hAnsi="Times New Roman" w:cs="Times New Roman"/>
        </w:rPr>
        <w:t>staff presenter</w:t>
      </w:r>
      <w:r w:rsidR="008E759B">
        <w:rPr>
          <w:rFonts w:ascii="Times New Roman" w:hAnsi="Times New Roman" w:cs="Times New Roman"/>
        </w:rPr>
        <w:t xml:space="preserve"> </w:t>
      </w:r>
      <w:r w:rsidR="00C32274">
        <w:rPr>
          <w:rFonts w:ascii="Times New Roman" w:hAnsi="Times New Roman" w:cs="Times New Roman"/>
        </w:rPr>
        <w:t>will s</w:t>
      </w:r>
      <w:r w:rsidR="00C32274" w:rsidRPr="008B7C03">
        <w:rPr>
          <w:rFonts w:ascii="Times New Roman" w:hAnsi="Times New Roman" w:cs="Times New Roman"/>
        </w:rPr>
        <w:t xml:space="preserve">ummarize the content of the notice given under </w:t>
      </w:r>
      <w:hyperlink r:id="rId23"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55188B" w:rsidRDefault="0055188B">
      <w:pPr>
        <w:tabs>
          <w:tab w:val="left" w:pos="-1440"/>
          <w:tab w:val="left" w:pos="-720"/>
        </w:tabs>
        <w:suppressAutoHyphens/>
        <w:ind w:left="720" w:right="288"/>
        <w:rPr>
          <w:rFonts w:ascii="Times New Roman" w:hAnsi="Times New Roman" w:cs="Times New Roman"/>
        </w:rPr>
      </w:pPr>
    </w:p>
    <w:p w:rsidR="0055188B" w:rsidRDefault="00C32274">
      <w:pPr>
        <w:tabs>
          <w:tab w:val="left" w:pos="-1440"/>
          <w:tab w:val="left" w:pos="-720"/>
        </w:tabs>
        <w:suppressAutoHyphens/>
        <w:ind w:left="720" w:right="28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 xml:space="preserve">to the interested parties list for this </w:t>
      </w:r>
      <w:r w:rsidR="005F2035">
        <w:rPr>
          <w:rFonts w:ascii="Times New Roman" w:hAnsi="Times New Roman" w:cs="Times New Roman"/>
        </w:rPr>
        <w:t xml:space="preserve">proposed </w:t>
      </w:r>
      <w:r>
        <w:rPr>
          <w:rFonts w:ascii="Times New Roman" w:hAnsi="Times New Roman" w:cs="Times New Roman"/>
        </w:rPr>
        <w:t>rule</w:t>
      </w:r>
      <w:r w:rsidR="005F2035">
        <w:rPr>
          <w:rFonts w:ascii="Times New Roman" w:hAnsi="Times New Roman" w:cs="Times New Roman"/>
        </w:rPr>
        <w:t>making</w:t>
      </w:r>
      <w:r>
        <w:rPr>
          <w:rFonts w:ascii="Times New Roman" w:hAnsi="Times New Roman" w:cs="Times New Roman"/>
        </w:rPr>
        <w:t xml:space="preserve"> if provided on a registration form or the attendee list</w:t>
      </w:r>
      <w:r w:rsidR="004E1366">
        <w:rPr>
          <w:rFonts w:ascii="Times New Roman" w:hAnsi="Times New Roman" w:cs="Times New Roman"/>
        </w:rPr>
        <w:t xml:space="preserve">. </w:t>
      </w:r>
      <w:r>
        <w:rPr>
          <w:rFonts w:ascii="Times New Roman" w:hAnsi="Times New Roman" w:cs="Times New Roman"/>
        </w:rPr>
        <w:t xml:space="preserve">DEQ will consider </w:t>
      </w:r>
      <w:r w:rsidR="005B23D2">
        <w:rPr>
          <w:rFonts w:ascii="Times New Roman" w:hAnsi="Times New Roman" w:cs="Times New Roman"/>
        </w:rPr>
        <w:t>oral</w:t>
      </w:r>
      <w:r>
        <w:rPr>
          <w:rFonts w:ascii="Times New Roman" w:hAnsi="Times New Roman" w:cs="Times New Roman"/>
        </w:rPr>
        <w:t xml:space="preserve"> and written comments received at the hearing </w:t>
      </w:r>
      <w:r w:rsidR="005B23D2">
        <w:rPr>
          <w:rFonts w:ascii="Times New Roman" w:hAnsi="Times New Roman" w:cs="Times New Roman"/>
        </w:rPr>
        <w:t xml:space="preserve">and throughout the public comment period </w:t>
      </w:r>
      <w:r>
        <w:rPr>
          <w:rFonts w:ascii="Times New Roman" w:hAnsi="Times New Roman" w:cs="Times New Roman"/>
        </w:rPr>
        <w:t xml:space="preserve">before </w:t>
      </w:r>
      <w:r w:rsidR="00064299">
        <w:rPr>
          <w:rFonts w:ascii="Times New Roman" w:hAnsi="Times New Roman" w:cs="Times New Roman"/>
        </w:rPr>
        <w:t>completing the draft rules</w:t>
      </w:r>
      <w:r w:rsidR="004E1366">
        <w:rPr>
          <w:rFonts w:ascii="Times New Roman" w:hAnsi="Times New Roman" w:cs="Times New Roman"/>
        </w:rPr>
        <w:t xml:space="preserve">. </w:t>
      </w:r>
      <w:r w:rsidR="004D195E">
        <w:rPr>
          <w:rFonts w:ascii="Times New Roman" w:hAnsi="Times New Roman" w:cs="Times New Roman"/>
        </w:rPr>
        <w:t>DEQ will summarize a</w:t>
      </w:r>
      <w:r w:rsidR="00D74378">
        <w:rPr>
          <w:rFonts w:ascii="Times New Roman" w:hAnsi="Times New Roman" w:cs="Times New Roman"/>
        </w:rPr>
        <w:t>ll comments and respond to comments on the Environmental Quality Commission staff report.</w:t>
      </w:r>
    </w:p>
    <w:p w:rsidR="00121787" w:rsidRDefault="00121787">
      <w:pPr>
        <w:tabs>
          <w:tab w:val="left" w:pos="-1440"/>
          <w:tab w:val="left" w:pos="-720"/>
        </w:tabs>
        <w:suppressAutoHyphens/>
        <w:ind w:left="720" w:right="288"/>
        <w:rPr>
          <w:rFonts w:ascii="Times New Roman" w:hAnsi="Times New Roman" w:cs="Times New Roman"/>
        </w:rPr>
      </w:pPr>
    </w:p>
    <w:tbl>
      <w:tblPr>
        <w:tblStyle w:val="Rulemaking"/>
        <w:tblpPr w:leftFromText="180" w:rightFromText="180" w:vertAnchor="text" w:horzAnchor="margin" w:tblpXSpec="center" w:tblpY="146"/>
        <w:tblW w:w="0" w:type="auto"/>
        <w:tblLook w:val="04A0"/>
      </w:tblPr>
      <w:tblGrid>
        <w:gridCol w:w="2340"/>
        <w:gridCol w:w="3771"/>
      </w:tblGrid>
      <w:tr w:rsidR="002166F3" w:rsidRPr="003A40D9" w:rsidTr="003A40D9">
        <w:trPr>
          <w:cnfStyle w:val="100000000000"/>
        </w:trPr>
        <w:tc>
          <w:tcPr>
            <w:tcW w:w="6111" w:type="dxa"/>
            <w:gridSpan w:val="2"/>
            <w:tcBorders>
              <w:top w:val="double" w:sz="6" w:space="0" w:color="auto"/>
            </w:tcBorders>
          </w:tcPr>
          <w:p w:rsidR="002166F3" w:rsidRPr="003A40D9" w:rsidRDefault="002166F3" w:rsidP="002166F3">
            <w:pPr>
              <w:ind w:right="18"/>
              <w:jc w:val="center"/>
              <w:outlineLvl w:val="0"/>
              <w:rPr>
                <w:rFonts w:asciiTheme="minorHAnsi" w:eastAsia="Times New Roman" w:hAnsiTheme="minorHAnsi" w:cstheme="minorHAnsi"/>
                <w:b/>
                <w:bCs/>
              </w:rPr>
            </w:pPr>
            <w:r w:rsidRPr="003A40D9">
              <w:rPr>
                <w:rFonts w:asciiTheme="minorHAnsi" w:eastAsia="Times New Roman" w:hAnsiTheme="minorHAnsi" w:cstheme="minorHAnsi"/>
                <w:b/>
                <w:bCs/>
              </w:rPr>
              <w:t>Hearing</w:t>
            </w:r>
          </w:p>
        </w:tc>
      </w:tr>
      <w:tr w:rsidR="002166F3" w:rsidTr="003A40D9">
        <w:trPr>
          <w:cnfStyle w:val="000000100000"/>
          <w:trHeight w:val="375"/>
        </w:trPr>
        <w:tc>
          <w:tcPr>
            <w:tcW w:w="2340" w:type="dxa"/>
            <w:tcBorders>
              <w:right w:val="single" w:sz="4" w:space="0" w:color="auto"/>
            </w:tcBorders>
            <w:vAlign w:val="center"/>
          </w:tcPr>
          <w:p w:rsidR="002166F3" w:rsidRPr="003A40D9" w:rsidRDefault="002166F3" w:rsidP="003A40D9">
            <w:pPr>
              <w:ind w:right="18"/>
              <w:outlineLvl w:val="0"/>
              <w:rPr>
                <w:rFonts w:asciiTheme="minorHAnsi" w:eastAsia="Times New Roman" w:hAnsiTheme="minorHAnsi" w:cstheme="minorHAnsi"/>
                <w:bCs/>
                <w:color w:val="auto"/>
              </w:rPr>
            </w:pPr>
            <w:r w:rsidRPr="003A40D9">
              <w:rPr>
                <w:rFonts w:asciiTheme="minorHAnsi" w:eastAsia="Times New Roman" w:hAnsiTheme="minorHAnsi" w:cstheme="minorHAnsi"/>
                <w:bCs/>
              </w:rPr>
              <w:t>Date</w:t>
            </w:r>
          </w:p>
        </w:tc>
        <w:tc>
          <w:tcPr>
            <w:tcW w:w="3771" w:type="dxa"/>
            <w:tcBorders>
              <w:left w:val="single" w:sz="4" w:space="0" w:color="auto"/>
            </w:tcBorders>
            <w:vAlign w:val="center"/>
          </w:tcPr>
          <w:p w:rsidR="002166F3" w:rsidRPr="003A40D9" w:rsidRDefault="002166F3" w:rsidP="003A40D9">
            <w:pPr>
              <w:ind w:right="18"/>
              <w:outlineLvl w:val="0"/>
              <w:rPr>
                <w:rFonts w:asciiTheme="minorHAnsi" w:eastAsia="Times New Roman" w:hAnsiTheme="minorHAnsi" w:cstheme="minorHAnsi"/>
                <w:bCs/>
                <w:color w:val="auto"/>
              </w:rPr>
            </w:pPr>
            <w:r w:rsidRPr="003A40D9">
              <w:rPr>
                <w:rFonts w:asciiTheme="minorHAnsi" w:eastAsia="Times New Roman" w:hAnsiTheme="minorHAnsi" w:cstheme="minorHAnsi"/>
                <w:bCs/>
              </w:rPr>
              <w:t>April 16, 2014</w:t>
            </w:r>
          </w:p>
        </w:tc>
      </w:tr>
      <w:tr w:rsidR="002166F3" w:rsidTr="003A40D9">
        <w:trPr>
          <w:cnfStyle w:val="000000010000"/>
          <w:trHeight w:val="357"/>
        </w:trPr>
        <w:tc>
          <w:tcPr>
            <w:tcW w:w="2340" w:type="dxa"/>
            <w:tcBorders>
              <w:right w:val="single" w:sz="4" w:space="0" w:color="auto"/>
            </w:tcBorders>
            <w:vAlign w:val="center"/>
          </w:tcPr>
          <w:p w:rsidR="002166F3" w:rsidRPr="003A40D9" w:rsidRDefault="002166F3" w:rsidP="003A40D9">
            <w:pPr>
              <w:ind w:right="18"/>
              <w:outlineLvl w:val="0"/>
              <w:rPr>
                <w:rFonts w:asciiTheme="minorHAnsi" w:eastAsia="Times New Roman" w:hAnsiTheme="minorHAnsi" w:cstheme="minorHAnsi"/>
                <w:bCs/>
                <w:color w:val="000000" w:themeColor="text1"/>
              </w:rPr>
            </w:pPr>
            <w:r w:rsidRPr="003A40D9">
              <w:rPr>
                <w:rFonts w:asciiTheme="minorHAnsi" w:eastAsia="Times New Roman" w:hAnsiTheme="minorHAnsi" w:cstheme="minorHAnsi"/>
                <w:bCs/>
                <w:color w:val="000000" w:themeColor="text1"/>
              </w:rPr>
              <w:t>Time</w:t>
            </w:r>
          </w:p>
        </w:tc>
        <w:tc>
          <w:tcPr>
            <w:tcW w:w="3771" w:type="dxa"/>
            <w:tcBorders>
              <w:left w:val="single" w:sz="4" w:space="0" w:color="auto"/>
            </w:tcBorders>
          </w:tcPr>
          <w:p w:rsidR="002166F3" w:rsidRPr="003A40D9" w:rsidRDefault="002166F3" w:rsidP="003A40D9">
            <w:pPr>
              <w:ind w:right="18"/>
              <w:outlineLvl w:val="0"/>
              <w:rPr>
                <w:rFonts w:asciiTheme="minorHAnsi" w:eastAsia="Times New Roman" w:hAnsiTheme="minorHAnsi" w:cstheme="minorHAnsi"/>
                <w:bCs/>
                <w:color w:val="000000" w:themeColor="text1"/>
              </w:rPr>
            </w:pPr>
            <w:r w:rsidRPr="003A40D9">
              <w:rPr>
                <w:rFonts w:asciiTheme="minorHAnsi" w:eastAsia="Times New Roman" w:hAnsiTheme="minorHAnsi" w:cstheme="minorHAnsi"/>
                <w:bCs/>
                <w:color w:val="000000" w:themeColor="text1"/>
              </w:rPr>
              <w:t>6 p</w:t>
            </w:r>
            <w:r w:rsidR="003A40D9" w:rsidRPr="003A40D9">
              <w:rPr>
                <w:rFonts w:asciiTheme="minorHAnsi" w:eastAsia="Times New Roman" w:hAnsiTheme="minorHAnsi" w:cstheme="minorHAnsi"/>
                <w:bCs/>
                <w:color w:val="000000" w:themeColor="text1"/>
              </w:rPr>
              <w:t>.</w:t>
            </w:r>
            <w:r w:rsidRPr="003A40D9">
              <w:rPr>
                <w:rFonts w:asciiTheme="minorHAnsi" w:eastAsia="Times New Roman" w:hAnsiTheme="minorHAnsi" w:cstheme="minorHAnsi"/>
                <w:bCs/>
                <w:color w:val="000000" w:themeColor="text1"/>
              </w:rPr>
              <w:t>m</w:t>
            </w:r>
            <w:r w:rsidR="003A40D9" w:rsidRPr="003A40D9">
              <w:rPr>
                <w:rFonts w:asciiTheme="minorHAnsi" w:eastAsia="Times New Roman" w:hAnsiTheme="minorHAnsi" w:cstheme="minorHAnsi"/>
                <w:bCs/>
                <w:color w:val="000000" w:themeColor="text1"/>
              </w:rPr>
              <w:t>.</w:t>
            </w:r>
          </w:p>
        </w:tc>
      </w:tr>
      <w:tr w:rsidR="002166F3" w:rsidTr="003A40D9">
        <w:trPr>
          <w:cnfStyle w:val="000000100000"/>
          <w:trHeight w:val="1077"/>
        </w:trPr>
        <w:tc>
          <w:tcPr>
            <w:tcW w:w="2340" w:type="dxa"/>
            <w:tcBorders>
              <w:right w:val="single" w:sz="4" w:space="0" w:color="auto"/>
            </w:tcBorders>
          </w:tcPr>
          <w:p w:rsidR="002166F3" w:rsidRPr="003A40D9" w:rsidRDefault="002166F3" w:rsidP="003A40D9">
            <w:pPr>
              <w:ind w:right="18"/>
              <w:outlineLvl w:val="0"/>
              <w:rPr>
                <w:rFonts w:asciiTheme="minorHAnsi" w:eastAsia="Times New Roman" w:hAnsiTheme="minorHAnsi" w:cstheme="minorHAnsi"/>
                <w:bCs/>
                <w:color w:val="auto"/>
              </w:rPr>
            </w:pPr>
            <w:r w:rsidRPr="003A40D9">
              <w:rPr>
                <w:rFonts w:asciiTheme="minorHAnsi" w:eastAsia="Times New Roman" w:hAnsiTheme="minorHAnsi" w:cstheme="minorHAnsi"/>
                <w:bCs/>
              </w:rPr>
              <w:t>Address</w:t>
            </w:r>
          </w:p>
        </w:tc>
        <w:tc>
          <w:tcPr>
            <w:tcW w:w="3771" w:type="dxa"/>
            <w:tcBorders>
              <w:left w:val="single" w:sz="4" w:space="0" w:color="auto"/>
            </w:tcBorders>
          </w:tcPr>
          <w:p w:rsidR="002166F3" w:rsidRPr="003A40D9" w:rsidRDefault="002166F3" w:rsidP="003A40D9">
            <w:pPr>
              <w:ind w:right="18"/>
              <w:outlineLvl w:val="0"/>
              <w:rPr>
                <w:rFonts w:asciiTheme="minorHAnsi" w:eastAsia="Times New Roman" w:hAnsiTheme="minorHAnsi" w:cstheme="minorHAnsi"/>
                <w:bCs/>
              </w:rPr>
            </w:pPr>
            <w:r w:rsidRPr="003A40D9">
              <w:rPr>
                <w:rFonts w:asciiTheme="minorHAnsi" w:eastAsia="Times New Roman" w:hAnsiTheme="minorHAnsi" w:cstheme="minorHAnsi"/>
                <w:bCs/>
              </w:rPr>
              <w:t>DEQ Headquarters Office</w:t>
            </w:r>
          </w:p>
          <w:p w:rsidR="002166F3" w:rsidRPr="003A40D9" w:rsidRDefault="002166F3" w:rsidP="003A40D9">
            <w:pPr>
              <w:ind w:right="18"/>
              <w:outlineLvl w:val="0"/>
              <w:rPr>
                <w:rFonts w:asciiTheme="minorHAnsi" w:eastAsia="Times New Roman" w:hAnsiTheme="minorHAnsi" w:cstheme="minorHAnsi"/>
                <w:bCs/>
                <w:color w:val="auto"/>
              </w:rPr>
            </w:pPr>
            <w:r w:rsidRPr="003A40D9">
              <w:rPr>
                <w:rFonts w:asciiTheme="minorHAnsi" w:eastAsia="Times New Roman" w:hAnsiTheme="minorHAnsi" w:cstheme="minorHAnsi"/>
                <w:bCs/>
              </w:rPr>
              <w:t>Tenth Floor, Conference Room EQC A</w:t>
            </w:r>
          </w:p>
          <w:p w:rsidR="002166F3" w:rsidRPr="003A40D9" w:rsidRDefault="002166F3" w:rsidP="003A40D9">
            <w:pPr>
              <w:ind w:right="18"/>
              <w:outlineLvl w:val="0"/>
              <w:rPr>
                <w:rFonts w:asciiTheme="minorHAnsi" w:eastAsia="Times New Roman" w:hAnsiTheme="minorHAnsi" w:cstheme="minorHAnsi"/>
                <w:bCs/>
              </w:rPr>
            </w:pPr>
            <w:r w:rsidRPr="003A40D9">
              <w:rPr>
                <w:rFonts w:asciiTheme="minorHAnsi" w:eastAsia="Times New Roman" w:hAnsiTheme="minorHAnsi" w:cstheme="minorHAnsi"/>
                <w:bCs/>
              </w:rPr>
              <w:t>811 SW Sixth Avenue</w:t>
            </w:r>
          </w:p>
          <w:p w:rsidR="002166F3" w:rsidRPr="003A40D9" w:rsidRDefault="002166F3" w:rsidP="003A40D9">
            <w:pPr>
              <w:ind w:right="18"/>
              <w:outlineLvl w:val="0"/>
              <w:rPr>
                <w:rFonts w:asciiTheme="minorHAnsi" w:eastAsia="Times New Roman" w:hAnsiTheme="minorHAnsi" w:cstheme="minorHAnsi"/>
                <w:bCs/>
                <w:color w:val="auto"/>
              </w:rPr>
            </w:pPr>
            <w:r w:rsidRPr="003A40D9">
              <w:rPr>
                <w:rFonts w:asciiTheme="minorHAnsi" w:eastAsia="Times New Roman" w:hAnsiTheme="minorHAnsi" w:cstheme="minorHAnsi"/>
                <w:bCs/>
              </w:rPr>
              <w:t>Portland OR 97204</w:t>
            </w:r>
          </w:p>
        </w:tc>
      </w:tr>
      <w:tr w:rsidR="002166F3" w:rsidTr="003A40D9">
        <w:trPr>
          <w:cnfStyle w:val="000000010000"/>
          <w:trHeight w:val="456"/>
        </w:trPr>
        <w:tc>
          <w:tcPr>
            <w:tcW w:w="2340" w:type="dxa"/>
            <w:tcBorders>
              <w:right w:val="single" w:sz="4" w:space="0" w:color="auto"/>
            </w:tcBorders>
            <w:vAlign w:val="center"/>
          </w:tcPr>
          <w:p w:rsidR="002166F3" w:rsidRPr="003A40D9" w:rsidRDefault="002166F3" w:rsidP="003A40D9">
            <w:pPr>
              <w:ind w:right="18"/>
              <w:outlineLvl w:val="0"/>
              <w:rPr>
                <w:rFonts w:asciiTheme="minorHAnsi" w:eastAsia="Times New Roman" w:hAnsiTheme="minorHAnsi" w:cstheme="minorHAnsi"/>
                <w:bCs/>
              </w:rPr>
            </w:pPr>
            <w:r w:rsidRPr="003A40D9">
              <w:rPr>
                <w:rFonts w:asciiTheme="minorHAnsi" w:eastAsia="Times New Roman" w:hAnsiTheme="minorHAnsi" w:cstheme="minorHAnsi"/>
                <w:bCs/>
              </w:rPr>
              <w:t>Presiding Officer</w:t>
            </w:r>
          </w:p>
        </w:tc>
        <w:tc>
          <w:tcPr>
            <w:tcW w:w="3771" w:type="dxa"/>
            <w:tcBorders>
              <w:left w:val="single" w:sz="4" w:space="0" w:color="auto"/>
            </w:tcBorders>
            <w:vAlign w:val="center"/>
          </w:tcPr>
          <w:p w:rsidR="002166F3" w:rsidRPr="003A40D9" w:rsidRDefault="002166F3" w:rsidP="003A40D9">
            <w:pPr>
              <w:ind w:right="18"/>
              <w:outlineLvl w:val="0"/>
              <w:rPr>
                <w:rFonts w:asciiTheme="minorHAnsi" w:eastAsia="Times New Roman" w:hAnsiTheme="minorHAnsi" w:cstheme="minorHAnsi"/>
                <w:bCs/>
              </w:rPr>
            </w:pPr>
            <w:r w:rsidRPr="003A40D9">
              <w:rPr>
                <w:rFonts w:asciiTheme="minorHAnsi" w:eastAsia="Times New Roman" w:hAnsiTheme="minorHAnsi" w:cstheme="minorHAnsi"/>
                <w:bCs/>
              </w:rPr>
              <w:t>DEQ Staff</w:t>
            </w:r>
          </w:p>
        </w:tc>
      </w:tr>
      <w:tr w:rsidR="002166F3" w:rsidTr="003A40D9">
        <w:trPr>
          <w:cnfStyle w:val="000000100000"/>
          <w:trHeight w:val="456"/>
        </w:trPr>
        <w:tc>
          <w:tcPr>
            <w:tcW w:w="2340" w:type="dxa"/>
            <w:tcBorders>
              <w:bottom w:val="double" w:sz="6" w:space="0" w:color="auto"/>
              <w:right w:val="single" w:sz="4" w:space="0" w:color="auto"/>
            </w:tcBorders>
            <w:vAlign w:val="center"/>
          </w:tcPr>
          <w:p w:rsidR="002166F3" w:rsidRPr="003A40D9" w:rsidRDefault="002166F3" w:rsidP="003A40D9">
            <w:pPr>
              <w:ind w:right="18"/>
              <w:outlineLvl w:val="0"/>
              <w:rPr>
                <w:rFonts w:asciiTheme="minorHAnsi" w:eastAsia="Times New Roman" w:hAnsiTheme="minorHAnsi" w:cstheme="minorHAnsi"/>
                <w:bCs/>
              </w:rPr>
            </w:pPr>
            <w:r w:rsidRPr="003A40D9">
              <w:rPr>
                <w:rFonts w:asciiTheme="minorHAnsi" w:eastAsia="Times New Roman" w:hAnsiTheme="minorHAnsi" w:cstheme="minorHAnsi"/>
                <w:bCs/>
              </w:rPr>
              <w:t>Staff Presenter</w:t>
            </w:r>
          </w:p>
        </w:tc>
        <w:tc>
          <w:tcPr>
            <w:tcW w:w="3771" w:type="dxa"/>
            <w:tcBorders>
              <w:left w:val="single" w:sz="4" w:space="0" w:color="auto"/>
            </w:tcBorders>
            <w:vAlign w:val="center"/>
          </w:tcPr>
          <w:p w:rsidR="002166F3" w:rsidRPr="003A40D9" w:rsidRDefault="002166F3" w:rsidP="003A40D9">
            <w:pPr>
              <w:ind w:right="18"/>
              <w:outlineLvl w:val="0"/>
              <w:rPr>
                <w:rFonts w:asciiTheme="minorHAnsi" w:eastAsia="Times New Roman" w:hAnsiTheme="minorHAnsi" w:cstheme="minorHAnsi"/>
                <w:bCs/>
              </w:rPr>
            </w:pPr>
            <w:r w:rsidRPr="003A40D9">
              <w:rPr>
                <w:rFonts w:asciiTheme="minorHAnsi" w:eastAsia="Times New Roman" w:hAnsiTheme="minorHAnsi" w:cstheme="minorHAnsi"/>
                <w:bCs/>
              </w:rPr>
              <w:t>Cory-Ann Wind, AQ Planner</w:t>
            </w:r>
          </w:p>
        </w:tc>
      </w:tr>
    </w:tbl>
    <w:p w:rsidR="00C32274" w:rsidRDefault="00C32274" w:rsidP="00641BDA">
      <w:pPr>
        <w:spacing w:after="120"/>
        <w:ind w:left="720" w:right="14"/>
        <w:outlineLvl w:val="0"/>
        <w:rPr>
          <w:rFonts w:asciiTheme="minorHAnsi" w:eastAsia="Times New Roman" w:hAnsiTheme="minorHAnsi" w:cstheme="minorHAnsi"/>
          <w:bCs/>
          <w:color w:val="000000" w:themeColor="text1"/>
        </w:rPr>
      </w:pPr>
    </w:p>
    <w:p w:rsidR="002166F3" w:rsidRDefault="002166F3" w:rsidP="00B34CF8">
      <w:pPr>
        <w:spacing w:after="120"/>
        <w:ind w:left="360" w:right="18"/>
        <w:outlineLvl w:val="0"/>
        <w:rPr>
          <w:rFonts w:asciiTheme="majorHAnsi" w:eastAsia="Times New Roman" w:hAnsiTheme="majorHAnsi" w:cstheme="majorHAnsi"/>
          <w:bCs/>
          <w:color w:val="000000" w:themeColor="text1"/>
          <w:sz w:val="22"/>
          <w:szCs w:val="22"/>
        </w:rPr>
      </w:pPr>
    </w:p>
    <w:p w:rsidR="002166F3" w:rsidRDefault="002166F3" w:rsidP="00B34CF8">
      <w:pPr>
        <w:spacing w:after="120"/>
        <w:ind w:left="360" w:right="18"/>
        <w:outlineLvl w:val="0"/>
        <w:rPr>
          <w:rFonts w:asciiTheme="majorHAnsi" w:eastAsia="Times New Roman" w:hAnsiTheme="majorHAnsi" w:cstheme="majorHAnsi"/>
          <w:bCs/>
          <w:color w:val="000000" w:themeColor="text1"/>
          <w:sz w:val="22"/>
          <w:szCs w:val="22"/>
        </w:rPr>
      </w:pPr>
    </w:p>
    <w:p w:rsidR="002166F3" w:rsidRDefault="002166F3" w:rsidP="00B34CF8">
      <w:pPr>
        <w:spacing w:after="120"/>
        <w:ind w:left="360" w:right="18"/>
        <w:outlineLvl w:val="0"/>
        <w:rPr>
          <w:rFonts w:asciiTheme="majorHAnsi" w:eastAsia="Times New Roman" w:hAnsiTheme="majorHAnsi" w:cstheme="majorHAnsi"/>
          <w:bCs/>
          <w:color w:val="000000" w:themeColor="text1"/>
          <w:sz w:val="22"/>
          <w:szCs w:val="22"/>
        </w:rPr>
      </w:pPr>
    </w:p>
    <w:p w:rsidR="002166F3" w:rsidRDefault="002166F3" w:rsidP="00B34CF8">
      <w:pPr>
        <w:spacing w:after="120"/>
        <w:ind w:left="360" w:right="18"/>
        <w:outlineLvl w:val="0"/>
        <w:rPr>
          <w:rFonts w:asciiTheme="majorHAnsi" w:eastAsia="Times New Roman" w:hAnsiTheme="majorHAnsi" w:cstheme="majorHAnsi"/>
          <w:bCs/>
          <w:color w:val="000000" w:themeColor="text1"/>
          <w:sz w:val="22"/>
          <w:szCs w:val="22"/>
        </w:rPr>
      </w:pPr>
    </w:p>
    <w:p w:rsidR="002166F3" w:rsidRDefault="002166F3" w:rsidP="00B34CF8">
      <w:pPr>
        <w:spacing w:after="120"/>
        <w:ind w:left="360" w:right="18"/>
        <w:outlineLvl w:val="0"/>
        <w:rPr>
          <w:rFonts w:asciiTheme="majorHAnsi" w:eastAsia="Times New Roman" w:hAnsiTheme="majorHAnsi" w:cstheme="majorHAnsi"/>
          <w:bCs/>
          <w:color w:val="000000" w:themeColor="text1"/>
          <w:sz w:val="22"/>
          <w:szCs w:val="22"/>
        </w:rPr>
      </w:pPr>
    </w:p>
    <w:p w:rsidR="002166F3" w:rsidRDefault="002166F3" w:rsidP="00B34CF8">
      <w:pPr>
        <w:spacing w:after="120"/>
        <w:ind w:left="360" w:right="18"/>
        <w:outlineLvl w:val="0"/>
        <w:rPr>
          <w:rFonts w:asciiTheme="majorHAnsi" w:eastAsia="Times New Roman" w:hAnsiTheme="majorHAnsi" w:cstheme="majorHAnsi"/>
          <w:bCs/>
          <w:color w:val="000000" w:themeColor="text1"/>
          <w:sz w:val="22"/>
          <w:szCs w:val="22"/>
        </w:rPr>
      </w:pPr>
    </w:p>
    <w:p w:rsidR="002166F3" w:rsidRDefault="002166F3" w:rsidP="00B34CF8">
      <w:pPr>
        <w:spacing w:after="120"/>
        <w:ind w:left="360" w:right="18"/>
        <w:outlineLvl w:val="0"/>
        <w:rPr>
          <w:rFonts w:asciiTheme="majorHAnsi" w:eastAsia="Times New Roman" w:hAnsiTheme="majorHAnsi" w:cstheme="majorHAnsi"/>
          <w:bCs/>
          <w:color w:val="000000" w:themeColor="text1"/>
          <w:sz w:val="22"/>
          <w:szCs w:val="22"/>
        </w:rPr>
      </w:pPr>
    </w:p>
    <w:p w:rsidR="003A40D9" w:rsidRDefault="003A40D9" w:rsidP="00B34CF8">
      <w:pPr>
        <w:spacing w:after="120"/>
        <w:ind w:left="360" w:right="18"/>
        <w:outlineLvl w:val="0"/>
        <w:rPr>
          <w:rFonts w:asciiTheme="majorHAnsi" w:eastAsia="Times New Roman" w:hAnsiTheme="majorHAnsi" w:cstheme="majorHAnsi"/>
          <w:bCs/>
          <w:color w:val="000000" w:themeColor="text1"/>
          <w:sz w:val="22"/>
          <w:szCs w:val="22"/>
        </w:rPr>
      </w:pPr>
    </w:p>
    <w:p w:rsidR="003A40D9" w:rsidRDefault="003A40D9" w:rsidP="00B34CF8">
      <w:pPr>
        <w:spacing w:after="120"/>
        <w:ind w:left="360" w:right="18"/>
        <w:outlineLvl w:val="0"/>
        <w:rPr>
          <w:rFonts w:asciiTheme="majorHAnsi" w:eastAsia="Times New Roman" w:hAnsiTheme="majorHAnsi" w:cstheme="majorHAnsi"/>
          <w:bCs/>
          <w:color w:val="000000" w:themeColor="text1"/>
          <w:sz w:val="22"/>
          <w:szCs w:val="22"/>
        </w:rPr>
      </w:pPr>
    </w:p>
    <w:p w:rsidR="009B4ACA" w:rsidRPr="006807BF" w:rsidRDefault="009B4ACA" w:rsidP="00B34CF8">
      <w:pPr>
        <w:spacing w:after="120"/>
        <w:ind w:left="360" w:right="18"/>
        <w:outlineLvl w:val="0"/>
        <w:rPr>
          <w:rFonts w:asciiTheme="minorHAnsi" w:eastAsia="Times New Roman" w:hAnsiTheme="minorHAnsi" w:cstheme="minorHAnsi"/>
          <w:bCs/>
          <w:color w:val="000000" w:themeColor="text1"/>
        </w:rPr>
      </w:pPr>
      <w:r w:rsidRPr="006807BF">
        <w:rPr>
          <w:rFonts w:asciiTheme="majorHAnsi" w:eastAsia="Times New Roman" w:hAnsiTheme="majorHAnsi" w:cstheme="majorHAnsi"/>
          <w:bCs/>
          <w:color w:val="000000" w:themeColor="text1"/>
          <w:sz w:val="22"/>
          <w:szCs w:val="22"/>
        </w:rPr>
        <w:t>Close of public comment period</w:t>
      </w:r>
    </w:p>
    <w:p w:rsidR="00641BDA" w:rsidRDefault="009B4ACA">
      <w:pPr>
        <w:ind w:left="720" w:right="18"/>
        <w:rPr>
          <w:rFonts w:ascii="Times New Roman" w:eastAsia="Times New Roman" w:hAnsi="Times New Roman" w:cs="Times New Roman"/>
          <w:color w:val="32525C"/>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F7BF0">
        <w:rPr>
          <w:rFonts w:asciiTheme="minorHAnsi" w:eastAsia="Times New Roman" w:hAnsiTheme="minorHAnsi" w:cstheme="minorHAnsi"/>
          <w:bCs/>
          <w:color w:val="000000" w:themeColor="text1"/>
        </w:rPr>
        <w:t xml:space="preserve">April </w:t>
      </w:r>
      <w:r w:rsidR="00EF5333">
        <w:rPr>
          <w:rFonts w:asciiTheme="minorHAnsi" w:eastAsia="Times New Roman" w:hAnsiTheme="minorHAnsi" w:cstheme="minorHAnsi"/>
          <w:bCs/>
          <w:color w:val="000000" w:themeColor="text1"/>
        </w:rPr>
        <w:t>21</w:t>
      </w:r>
      <w:r w:rsidR="009F7BF0">
        <w:rPr>
          <w:rFonts w:asciiTheme="minorHAnsi" w:eastAsia="Times New Roman" w:hAnsiTheme="minorHAnsi" w:cstheme="minorHAnsi"/>
          <w:bCs/>
          <w:color w:val="000000" w:themeColor="text1"/>
        </w:rPr>
        <w:t>, 2014</w:t>
      </w:r>
      <w:r w:rsidR="00B22F3A">
        <w:rPr>
          <w:rFonts w:asciiTheme="minorHAnsi" w:eastAsia="Times New Roman" w:hAnsiTheme="minorHAnsi" w:cstheme="minorHAnsi"/>
          <w:bCs/>
          <w:color w:val="000000" w:themeColor="text1"/>
        </w:rPr>
        <w:t>,</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9F7BF0">
        <w:rPr>
          <w:rFonts w:asciiTheme="minorHAnsi" w:eastAsia="Times New Roman" w:hAnsiTheme="minorHAnsi" w:cstheme="minorHAnsi"/>
          <w:bCs/>
          <w:color w:val="000000" w:themeColor="text1"/>
        </w:rPr>
        <w:t>5</w:t>
      </w:r>
      <w:r w:rsidR="00D61DA4">
        <w:rPr>
          <w:rFonts w:asciiTheme="minorHAnsi" w:eastAsia="Times New Roman" w:hAnsiTheme="minorHAnsi" w:cstheme="minorHAnsi"/>
          <w:bCs/>
          <w:color w:val="000000" w:themeColor="text1"/>
        </w:rPr>
        <w:t xml:space="preserve"> p.m</w:t>
      </w:r>
      <w:r w:rsidR="00AC6521">
        <w:rPr>
          <w:rFonts w:asciiTheme="minorHAnsi" w:eastAsia="Times New Roman" w:hAnsiTheme="minorHAnsi" w:cstheme="minorHAnsi"/>
          <w:bCs/>
          <w:color w:val="000000" w:themeColor="text1"/>
        </w:rPr>
        <w:t>.</w:t>
      </w:r>
      <w:r w:rsidR="001F2D3C" w:rsidRPr="00B15DF7">
        <w:rPr>
          <w:rFonts w:ascii="Times New Roman" w:eastAsia="Times New Roman" w:hAnsi="Times New Roman" w:cs="Times New Roman"/>
          <w:color w:val="32525C"/>
        </w:rPr>
        <w:t> </w:t>
      </w:r>
    </w:p>
    <w:p w:rsidR="005F2035" w:rsidRDefault="005F2035">
      <w:pPr>
        <w:ind w:left="720" w:right="18"/>
        <w:rPr>
          <w:rFonts w:asciiTheme="minorHAnsi" w:eastAsia="Times New Roman" w:hAnsiTheme="minorHAnsi" w:cstheme="minorHAnsi"/>
          <w:bCs/>
          <w:color w:val="000000" w:themeColor="text1"/>
        </w:rPr>
      </w:pPr>
    </w:p>
    <w:sectPr w:rsidR="005F2035"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DF087E"/>
    <w:multiLevelType w:val="hybridMultilevel"/>
    <w:tmpl w:val="6908C3FA"/>
    <w:lvl w:ilvl="0" w:tplc="41F60BD6">
      <w:start w:val="1"/>
      <w:numFmt w:val="decimal"/>
      <w:lvlText w:val="%1."/>
      <w:lvlJc w:val="left"/>
      <w:pPr>
        <w:ind w:left="720" w:hanging="360"/>
      </w:pPr>
      <w:rPr>
        <w:rFonts w:eastAsiaTheme="minorHAnsi"/>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94975C0"/>
    <w:multiLevelType w:val="hybridMultilevel"/>
    <w:tmpl w:val="40ECE8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5A4C76"/>
    <w:multiLevelType w:val="hybridMultilevel"/>
    <w:tmpl w:val="0FC683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4231532"/>
    <w:multiLevelType w:val="hybridMultilevel"/>
    <w:tmpl w:val="BC5EF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AF544C"/>
    <w:multiLevelType w:val="hybridMultilevel"/>
    <w:tmpl w:val="6EE0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D3B509B"/>
    <w:multiLevelType w:val="hybridMultilevel"/>
    <w:tmpl w:val="1DA83D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E9C2CC9"/>
    <w:multiLevelType w:val="hybridMultilevel"/>
    <w:tmpl w:val="53C4FA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A24093E"/>
    <w:multiLevelType w:val="hybridMultilevel"/>
    <w:tmpl w:val="880A53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CF2122F"/>
    <w:multiLevelType w:val="hybridMultilevel"/>
    <w:tmpl w:val="CCC086B8"/>
    <w:lvl w:ilvl="0" w:tplc="CFCC3FD8">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9">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19E4FAB"/>
    <w:multiLevelType w:val="hybridMultilevel"/>
    <w:tmpl w:val="196CC5C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B3D720C"/>
    <w:multiLevelType w:val="hybridMultilevel"/>
    <w:tmpl w:val="2C6E0350"/>
    <w:lvl w:ilvl="0" w:tplc="4C408F66">
      <w:start w:val="1"/>
      <w:numFmt w:val="decimal"/>
      <w:lvlText w:val="%1)"/>
      <w:lvlJc w:val="left"/>
      <w:pPr>
        <w:ind w:left="1062" w:hanging="360"/>
      </w:pPr>
      <w:rPr>
        <w:rFonts w:hint="default"/>
        <w:color w:val="00000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7">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A92796"/>
    <w:multiLevelType w:val="hybridMultilevel"/>
    <w:tmpl w:val="26DAF1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5"/>
  </w:num>
  <w:num w:numId="4">
    <w:abstractNumId w:val="15"/>
  </w:num>
  <w:num w:numId="5">
    <w:abstractNumId w:val="10"/>
  </w:num>
  <w:num w:numId="6">
    <w:abstractNumId w:val="37"/>
  </w:num>
  <w:num w:numId="7">
    <w:abstractNumId w:val="5"/>
  </w:num>
  <w:num w:numId="8">
    <w:abstractNumId w:val="40"/>
  </w:num>
  <w:num w:numId="9">
    <w:abstractNumId w:val="24"/>
  </w:num>
  <w:num w:numId="10">
    <w:abstractNumId w:val="7"/>
  </w:num>
  <w:num w:numId="11">
    <w:abstractNumId w:val="39"/>
  </w:num>
  <w:num w:numId="12">
    <w:abstractNumId w:val="3"/>
  </w:num>
  <w:num w:numId="13">
    <w:abstractNumId w:val="29"/>
  </w:num>
  <w:num w:numId="14">
    <w:abstractNumId w:val="20"/>
  </w:num>
  <w:num w:numId="15">
    <w:abstractNumId w:val="16"/>
  </w:num>
  <w:num w:numId="16">
    <w:abstractNumId w:val="27"/>
  </w:num>
  <w:num w:numId="17">
    <w:abstractNumId w:val="12"/>
  </w:num>
  <w:num w:numId="18">
    <w:abstractNumId w:val="22"/>
  </w:num>
  <w:num w:numId="19">
    <w:abstractNumId w:val="11"/>
  </w:num>
  <w:num w:numId="20">
    <w:abstractNumId w:val="31"/>
  </w:num>
  <w:num w:numId="21">
    <w:abstractNumId w:val="33"/>
  </w:num>
  <w:num w:numId="22">
    <w:abstractNumId w:val="17"/>
  </w:num>
  <w:num w:numId="23">
    <w:abstractNumId w:val="13"/>
  </w:num>
  <w:num w:numId="24">
    <w:abstractNumId w:val="34"/>
  </w:num>
  <w:num w:numId="25">
    <w:abstractNumId w:val="23"/>
  </w:num>
  <w:num w:numId="26">
    <w:abstractNumId w:val="4"/>
  </w:num>
  <w:num w:numId="27">
    <w:abstractNumId w:val="36"/>
  </w:num>
  <w:num w:numId="28">
    <w:abstractNumId w:val="2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0"/>
  </w:num>
  <w:num w:numId="35">
    <w:abstractNumId w:val="14"/>
  </w:num>
  <w:num w:numId="36">
    <w:abstractNumId w:val="1"/>
  </w:num>
  <w:num w:numId="37">
    <w:abstractNumId w:val="18"/>
  </w:num>
  <w:num w:numId="38">
    <w:abstractNumId w:val="2"/>
  </w:num>
  <w:num w:numId="39">
    <w:abstractNumId w:val="28"/>
  </w:num>
  <w:num w:numId="40">
    <w:abstractNumId w:val="21"/>
  </w:num>
  <w:num w:numId="41">
    <w:abstractNumId w:val="38"/>
  </w:num>
  <w:num w:numId="42">
    <w:abstractNumId w:val="25"/>
  </w:num>
  <w:num w:numId="43">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compat/>
  <w:rsids>
    <w:rsidRoot w:val="00C74D58"/>
    <w:rsid w:val="00000077"/>
    <w:rsid w:val="000012BE"/>
    <w:rsid w:val="00005CF7"/>
    <w:rsid w:val="000110AF"/>
    <w:rsid w:val="00016F5E"/>
    <w:rsid w:val="000217EC"/>
    <w:rsid w:val="00021CEF"/>
    <w:rsid w:val="00025EC3"/>
    <w:rsid w:val="00026313"/>
    <w:rsid w:val="00026A45"/>
    <w:rsid w:val="0002731A"/>
    <w:rsid w:val="00030F35"/>
    <w:rsid w:val="000319E1"/>
    <w:rsid w:val="00035352"/>
    <w:rsid w:val="0003792F"/>
    <w:rsid w:val="000405B3"/>
    <w:rsid w:val="000418FA"/>
    <w:rsid w:val="00043601"/>
    <w:rsid w:val="000453E0"/>
    <w:rsid w:val="000469FD"/>
    <w:rsid w:val="00047F5B"/>
    <w:rsid w:val="00051DA8"/>
    <w:rsid w:val="0005564A"/>
    <w:rsid w:val="00055C22"/>
    <w:rsid w:val="000576EF"/>
    <w:rsid w:val="00061C88"/>
    <w:rsid w:val="00062456"/>
    <w:rsid w:val="00064299"/>
    <w:rsid w:val="0006798B"/>
    <w:rsid w:val="00071D04"/>
    <w:rsid w:val="00081F93"/>
    <w:rsid w:val="00083F6F"/>
    <w:rsid w:val="000904FA"/>
    <w:rsid w:val="00090969"/>
    <w:rsid w:val="0009279B"/>
    <w:rsid w:val="00092CB8"/>
    <w:rsid w:val="00092F0F"/>
    <w:rsid w:val="00093659"/>
    <w:rsid w:val="0009416B"/>
    <w:rsid w:val="0009694C"/>
    <w:rsid w:val="00096DC5"/>
    <w:rsid w:val="000A5E92"/>
    <w:rsid w:val="000A759C"/>
    <w:rsid w:val="000A7682"/>
    <w:rsid w:val="000A7DC1"/>
    <w:rsid w:val="000B13CE"/>
    <w:rsid w:val="000B2D67"/>
    <w:rsid w:val="000B411D"/>
    <w:rsid w:val="000B4D80"/>
    <w:rsid w:val="000B685A"/>
    <w:rsid w:val="000B6AA9"/>
    <w:rsid w:val="000B6D90"/>
    <w:rsid w:val="000B783F"/>
    <w:rsid w:val="000B7D38"/>
    <w:rsid w:val="000C3C54"/>
    <w:rsid w:val="000D07CA"/>
    <w:rsid w:val="000D3F8F"/>
    <w:rsid w:val="000E0C74"/>
    <w:rsid w:val="000E2AA4"/>
    <w:rsid w:val="000E5208"/>
    <w:rsid w:val="000E5ECC"/>
    <w:rsid w:val="000E60A5"/>
    <w:rsid w:val="000F2916"/>
    <w:rsid w:val="00105EC1"/>
    <w:rsid w:val="00106B3F"/>
    <w:rsid w:val="0010702B"/>
    <w:rsid w:val="00107189"/>
    <w:rsid w:val="00107B12"/>
    <w:rsid w:val="00110856"/>
    <w:rsid w:val="0011396A"/>
    <w:rsid w:val="00121787"/>
    <w:rsid w:val="0012491C"/>
    <w:rsid w:val="001329E5"/>
    <w:rsid w:val="00135BBC"/>
    <w:rsid w:val="001432BB"/>
    <w:rsid w:val="0014434D"/>
    <w:rsid w:val="001474B5"/>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A585A"/>
    <w:rsid w:val="001C0BC0"/>
    <w:rsid w:val="001C3C72"/>
    <w:rsid w:val="001C7274"/>
    <w:rsid w:val="001C7C84"/>
    <w:rsid w:val="001D0C4A"/>
    <w:rsid w:val="001D0E11"/>
    <w:rsid w:val="001D28B2"/>
    <w:rsid w:val="001D6608"/>
    <w:rsid w:val="001E1BD3"/>
    <w:rsid w:val="001E2BD3"/>
    <w:rsid w:val="001E5431"/>
    <w:rsid w:val="001E6DCA"/>
    <w:rsid w:val="001F04FD"/>
    <w:rsid w:val="001F088B"/>
    <w:rsid w:val="001F178C"/>
    <w:rsid w:val="001F2D3C"/>
    <w:rsid w:val="001F439B"/>
    <w:rsid w:val="001F544C"/>
    <w:rsid w:val="002023EE"/>
    <w:rsid w:val="002069EC"/>
    <w:rsid w:val="00207FF1"/>
    <w:rsid w:val="002118BD"/>
    <w:rsid w:val="00212A60"/>
    <w:rsid w:val="002166F3"/>
    <w:rsid w:val="00216917"/>
    <w:rsid w:val="00221910"/>
    <w:rsid w:val="00221F6C"/>
    <w:rsid w:val="00225AE8"/>
    <w:rsid w:val="00231134"/>
    <w:rsid w:val="00232062"/>
    <w:rsid w:val="00233537"/>
    <w:rsid w:val="00235585"/>
    <w:rsid w:val="00236519"/>
    <w:rsid w:val="002405F8"/>
    <w:rsid w:val="0024501F"/>
    <w:rsid w:val="0024580A"/>
    <w:rsid w:val="00247509"/>
    <w:rsid w:val="00250E7E"/>
    <w:rsid w:val="00255B02"/>
    <w:rsid w:val="00257D81"/>
    <w:rsid w:val="00260C2F"/>
    <w:rsid w:val="00262AC3"/>
    <w:rsid w:val="00264FDD"/>
    <w:rsid w:val="0026655A"/>
    <w:rsid w:val="0026763E"/>
    <w:rsid w:val="0027111E"/>
    <w:rsid w:val="002749E4"/>
    <w:rsid w:val="00277295"/>
    <w:rsid w:val="00285113"/>
    <w:rsid w:val="002874CA"/>
    <w:rsid w:val="00292BA6"/>
    <w:rsid w:val="00293058"/>
    <w:rsid w:val="002963A5"/>
    <w:rsid w:val="002A5ACA"/>
    <w:rsid w:val="002B0C9C"/>
    <w:rsid w:val="002B661B"/>
    <w:rsid w:val="002B6D58"/>
    <w:rsid w:val="002C3A6B"/>
    <w:rsid w:val="002C7A23"/>
    <w:rsid w:val="002D1FBB"/>
    <w:rsid w:val="002D3429"/>
    <w:rsid w:val="002D661F"/>
    <w:rsid w:val="002D74CA"/>
    <w:rsid w:val="002E27EF"/>
    <w:rsid w:val="002E283F"/>
    <w:rsid w:val="002E4AA0"/>
    <w:rsid w:val="002E4B0F"/>
    <w:rsid w:val="002E5DC6"/>
    <w:rsid w:val="002E5F1C"/>
    <w:rsid w:val="002F0C40"/>
    <w:rsid w:val="002F18FE"/>
    <w:rsid w:val="002F204B"/>
    <w:rsid w:val="002F412E"/>
    <w:rsid w:val="002F4ACF"/>
    <w:rsid w:val="002F5550"/>
    <w:rsid w:val="002F6853"/>
    <w:rsid w:val="003015B8"/>
    <w:rsid w:val="0030348C"/>
    <w:rsid w:val="00304756"/>
    <w:rsid w:val="00304A23"/>
    <w:rsid w:val="00305328"/>
    <w:rsid w:val="0031008D"/>
    <w:rsid w:val="00311CBB"/>
    <w:rsid w:val="003229BC"/>
    <w:rsid w:val="00323D0D"/>
    <w:rsid w:val="00324289"/>
    <w:rsid w:val="003248CA"/>
    <w:rsid w:val="00325D41"/>
    <w:rsid w:val="0033593C"/>
    <w:rsid w:val="003359FB"/>
    <w:rsid w:val="00343477"/>
    <w:rsid w:val="00351CC0"/>
    <w:rsid w:val="00356F31"/>
    <w:rsid w:val="00362542"/>
    <w:rsid w:val="00365C19"/>
    <w:rsid w:val="00370B6C"/>
    <w:rsid w:val="00373B13"/>
    <w:rsid w:val="003754A6"/>
    <w:rsid w:val="00376B3E"/>
    <w:rsid w:val="003778F2"/>
    <w:rsid w:val="00380545"/>
    <w:rsid w:val="00380AAD"/>
    <w:rsid w:val="00381C3C"/>
    <w:rsid w:val="003867A8"/>
    <w:rsid w:val="003868A0"/>
    <w:rsid w:val="00386A84"/>
    <w:rsid w:val="00386D72"/>
    <w:rsid w:val="003918FF"/>
    <w:rsid w:val="00394372"/>
    <w:rsid w:val="003970AB"/>
    <w:rsid w:val="00397D49"/>
    <w:rsid w:val="003A039C"/>
    <w:rsid w:val="003A2B92"/>
    <w:rsid w:val="003A2F55"/>
    <w:rsid w:val="003A40D9"/>
    <w:rsid w:val="003B28BE"/>
    <w:rsid w:val="003B467D"/>
    <w:rsid w:val="003B4CD7"/>
    <w:rsid w:val="003B628A"/>
    <w:rsid w:val="003C12DB"/>
    <w:rsid w:val="003C325E"/>
    <w:rsid w:val="003C60B9"/>
    <w:rsid w:val="003C6965"/>
    <w:rsid w:val="003C6C7E"/>
    <w:rsid w:val="003D35E5"/>
    <w:rsid w:val="003D3B3C"/>
    <w:rsid w:val="003D50EE"/>
    <w:rsid w:val="003D61F8"/>
    <w:rsid w:val="003D6D98"/>
    <w:rsid w:val="003E0361"/>
    <w:rsid w:val="003E1C82"/>
    <w:rsid w:val="003F0606"/>
    <w:rsid w:val="003F413E"/>
    <w:rsid w:val="003F45CC"/>
    <w:rsid w:val="003F7283"/>
    <w:rsid w:val="004009BC"/>
    <w:rsid w:val="00401019"/>
    <w:rsid w:val="00401B39"/>
    <w:rsid w:val="00417482"/>
    <w:rsid w:val="0042225B"/>
    <w:rsid w:val="004229AB"/>
    <w:rsid w:val="00425B45"/>
    <w:rsid w:val="00427862"/>
    <w:rsid w:val="004365BA"/>
    <w:rsid w:val="004369FF"/>
    <w:rsid w:val="004403A5"/>
    <w:rsid w:val="004428C3"/>
    <w:rsid w:val="00446FF4"/>
    <w:rsid w:val="00447281"/>
    <w:rsid w:val="0045366E"/>
    <w:rsid w:val="004536FD"/>
    <w:rsid w:val="004577C0"/>
    <w:rsid w:val="00457B9D"/>
    <w:rsid w:val="004669DF"/>
    <w:rsid w:val="00470AD8"/>
    <w:rsid w:val="004905F1"/>
    <w:rsid w:val="00496A70"/>
    <w:rsid w:val="00497709"/>
    <w:rsid w:val="004A5282"/>
    <w:rsid w:val="004A5AB9"/>
    <w:rsid w:val="004B020E"/>
    <w:rsid w:val="004B18D2"/>
    <w:rsid w:val="004B22BC"/>
    <w:rsid w:val="004B692D"/>
    <w:rsid w:val="004C1BAD"/>
    <w:rsid w:val="004C40F0"/>
    <w:rsid w:val="004C5246"/>
    <w:rsid w:val="004C5782"/>
    <w:rsid w:val="004C5F43"/>
    <w:rsid w:val="004C6F60"/>
    <w:rsid w:val="004D195E"/>
    <w:rsid w:val="004D5553"/>
    <w:rsid w:val="004E1366"/>
    <w:rsid w:val="004F02CF"/>
    <w:rsid w:val="004F4B6D"/>
    <w:rsid w:val="004F673A"/>
    <w:rsid w:val="00504F15"/>
    <w:rsid w:val="005102CA"/>
    <w:rsid w:val="005115F8"/>
    <w:rsid w:val="0051405A"/>
    <w:rsid w:val="00515BAE"/>
    <w:rsid w:val="00516FBC"/>
    <w:rsid w:val="0052145B"/>
    <w:rsid w:val="0052233E"/>
    <w:rsid w:val="00526006"/>
    <w:rsid w:val="00526E3C"/>
    <w:rsid w:val="005365B3"/>
    <w:rsid w:val="005409B2"/>
    <w:rsid w:val="00540AFE"/>
    <w:rsid w:val="00542DD8"/>
    <w:rsid w:val="00545A38"/>
    <w:rsid w:val="0055188B"/>
    <w:rsid w:val="0055208D"/>
    <w:rsid w:val="005537F7"/>
    <w:rsid w:val="0055604D"/>
    <w:rsid w:val="00565AEE"/>
    <w:rsid w:val="00571C4C"/>
    <w:rsid w:val="00572FA9"/>
    <w:rsid w:val="00584C7D"/>
    <w:rsid w:val="00584D87"/>
    <w:rsid w:val="005856D1"/>
    <w:rsid w:val="005857AA"/>
    <w:rsid w:val="00592199"/>
    <w:rsid w:val="00593446"/>
    <w:rsid w:val="00596D65"/>
    <w:rsid w:val="00597338"/>
    <w:rsid w:val="00597624"/>
    <w:rsid w:val="005A2EBE"/>
    <w:rsid w:val="005A3C33"/>
    <w:rsid w:val="005A424D"/>
    <w:rsid w:val="005A6BAB"/>
    <w:rsid w:val="005B23D2"/>
    <w:rsid w:val="005B4944"/>
    <w:rsid w:val="005B6EA3"/>
    <w:rsid w:val="005C1EB1"/>
    <w:rsid w:val="005C304F"/>
    <w:rsid w:val="005C30D8"/>
    <w:rsid w:val="005D428C"/>
    <w:rsid w:val="005D7E79"/>
    <w:rsid w:val="005E0C47"/>
    <w:rsid w:val="005E374E"/>
    <w:rsid w:val="005F0119"/>
    <w:rsid w:val="005F2035"/>
    <w:rsid w:val="005F2796"/>
    <w:rsid w:val="005F2FD4"/>
    <w:rsid w:val="005F52BE"/>
    <w:rsid w:val="005F5C23"/>
    <w:rsid w:val="005F7C73"/>
    <w:rsid w:val="00602EF0"/>
    <w:rsid w:val="0060685A"/>
    <w:rsid w:val="00610286"/>
    <w:rsid w:val="0061029F"/>
    <w:rsid w:val="0061169A"/>
    <w:rsid w:val="00613BC7"/>
    <w:rsid w:val="006204A2"/>
    <w:rsid w:val="006206D3"/>
    <w:rsid w:val="00624BAA"/>
    <w:rsid w:val="006403F1"/>
    <w:rsid w:val="006416C7"/>
    <w:rsid w:val="00641BDA"/>
    <w:rsid w:val="00643871"/>
    <w:rsid w:val="00644DE0"/>
    <w:rsid w:val="00646664"/>
    <w:rsid w:val="006479C5"/>
    <w:rsid w:val="00650BA0"/>
    <w:rsid w:val="00651920"/>
    <w:rsid w:val="006544E2"/>
    <w:rsid w:val="00660658"/>
    <w:rsid w:val="00663ABA"/>
    <w:rsid w:val="00671070"/>
    <w:rsid w:val="006751BA"/>
    <w:rsid w:val="006754AA"/>
    <w:rsid w:val="00677842"/>
    <w:rsid w:val="00677B8A"/>
    <w:rsid w:val="006807BF"/>
    <w:rsid w:val="00680EF2"/>
    <w:rsid w:val="0068173F"/>
    <w:rsid w:val="006818DE"/>
    <w:rsid w:val="00682518"/>
    <w:rsid w:val="0068707F"/>
    <w:rsid w:val="006911BB"/>
    <w:rsid w:val="00693196"/>
    <w:rsid w:val="0069603F"/>
    <w:rsid w:val="00696716"/>
    <w:rsid w:val="00697C07"/>
    <w:rsid w:val="006A0E65"/>
    <w:rsid w:val="006A139F"/>
    <w:rsid w:val="006A2188"/>
    <w:rsid w:val="006A6058"/>
    <w:rsid w:val="006A63AB"/>
    <w:rsid w:val="006B481C"/>
    <w:rsid w:val="006C0AFF"/>
    <w:rsid w:val="006D34D0"/>
    <w:rsid w:val="006D6F9D"/>
    <w:rsid w:val="006D7243"/>
    <w:rsid w:val="006E07D4"/>
    <w:rsid w:val="006E68F8"/>
    <w:rsid w:val="006F02EB"/>
    <w:rsid w:val="006F0D97"/>
    <w:rsid w:val="006F1BB2"/>
    <w:rsid w:val="006F1FBD"/>
    <w:rsid w:val="006F3A8D"/>
    <w:rsid w:val="006F7F10"/>
    <w:rsid w:val="00700417"/>
    <w:rsid w:val="0070048A"/>
    <w:rsid w:val="0070228F"/>
    <w:rsid w:val="0070371A"/>
    <w:rsid w:val="00705C22"/>
    <w:rsid w:val="007145F7"/>
    <w:rsid w:val="0072191D"/>
    <w:rsid w:val="00721D94"/>
    <w:rsid w:val="00723DD6"/>
    <w:rsid w:val="00724CF1"/>
    <w:rsid w:val="00725CC9"/>
    <w:rsid w:val="00727622"/>
    <w:rsid w:val="00727E11"/>
    <w:rsid w:val="00730121"/>
    <w:rsid w:val="00732601"/>
    <w:rsid w:val="00733A49"/>
    <w:rsid w:val="00734E10"/>
    <w:rsid w:val="00735D9D"/>
    <w:rsid w:val="007365A2"/>
    <w:rsid w:val="007450D6"/>
    <w:rsid w:val="00761C1E"/>
    <w:rsid w:val="007636A3"/>
    <w:rsid w:val="00764239"/>
    <w:rsid w:val="007667BF"/>
    <w:rsid w:val="007677D5"/>
    <w:rsid w:val="00767C53"/>
    <w:rsid w:val="00772447"/>
    <w:rsid w:val="00772D5F"/>
    <w:rsid w:val="00773083"/>
    <w:rsid w:val="00773184"/>
    <w:rsid w:val="00775068"/>
    <w:rsid w:val="0078154A"/>
    <w:rsid w:val="0078370D"/>
    <w:rsid w:val="0078443E"/>
    <w:rsid w:val="007868A4"/>
    <w:rsid w:val="0079043C"/>
    <w:rsid w:val="00791CF1"/>
    <w:rsid w:val="00797FC9"/>
    <w:rsid w:val="007A1F12"/>
    <w:rsid w:val="007A24BE"/>
    <w:rsid w:val="007A4666"/>
    <w:rsid w:val="007B080C"/>
    <w:rsid w:val="007B3FB4"/>
    <w:rsid w:val="007B7B80"/>
    <w:rsid w:val="007C0ACD"/>
    <w:rsid w:val="007C1C2D"/>
    <w:rsid w:val="007C1C74"/>
    <w:rsid w:val="007C39DB"/>
    <w:rsid w:val="007C4AAD"/>
    <w:rsid w:val="007C77AA"/>
    <w:rsid w:val="007D1A36"/>
    <w:rsid w:val="007D388B"/>
    <w:rsid w:val="007D3B78"/>
    <w:rsid w:val="007D3EB6"/>
    <w:rsid w:val="007D572C"/>
    <w:rsid w:val="007D6004"/>
    <w:rsid w:val="007D60EA"/>
    <w:rsid w:val="007D6C06"/>
    <w:rsid w:val="007D703C"/>
    <w:rsid w:val="007D74B2"/>
    <w:rsid w:val="007E2602"/>
    <w:rsid w:val="007E5070"/>
    <w:rsid w:val="007E7028"/>
    <w:rsid w:val="007F0CC6"/>
    <w:rsid w:val="007F0ED4"/>
    <w:rsid w:val="007F3EB1"/>
    <w:rsid w:val="007F4318"/>
    <w:rsid w:val="007F4633"/>
    <w:rsid w:val="007F6FB0"/>
    <w:rsid w:val="008013F0"/>
    <w:rsid w:val="00803A21"/>
    <w:rsid w:val="00805C3F"/>
    <w:rsid w:val="00810753"/>
    <w:rsid w:val="00811EE1"/>
    <w:rsid w:val="008141CD"/>
    <w:rsid w:val="00815AF4"/>
    <w:rsid w:val="00815E0F"/>
    <w:rsid w:val="00816134"/>
    <w:rsid w:val="0082074B"/>
    <w:rsid w:val="00823C9D"/>
    <w:rsid w:val="00830C32"/>
    <w:rsid w:val="00830F6B"/>
    <w:rsid w:val="0083323F"/>
    <w:rsid w:val="00835038"/>
    <w:rsid w:val="00835839"/>
    <w:rsid w:val="00835C99"/>
    <w:rsid w:val="00836843"/>
    <w:rsid w:val="00842FC1"/>
    <w:rsid w:val="00847C58"/>
    <w:rsid w:val="0085122C"/>
    <w:rsid w:val="008520FC"/>
    <w:rsid w:val="00854517"/>
    <w:rsid w:val="00865C59"/>
    <w:rsid w:val="00866F57"/>
    <w:rsid w:val="00872A8C"/>
    <w:rsid w:val="00880883"/>
    <w:rsid w:val="00882392"/>
    <w:rsid w:val="00884683"/>
    <w:rsid w:val="00891910"/>
    <w:rsid w:val="00894ACE"/>
    <w:rsid w:val="008971A4"/>
    <w:rsid w:val="008A154D"/>
    <w:rsid w:val="008A4E47"/>
    <w:rsid w:val="008A4FB1"/>
    <w:rsid w:val="008A5343"/>
    <w:rsid w:val="008A5348"/>
    <w:rsid w:val="008A5C06"/>
    <w:rsid w:val="008A6893"/>
    <w:rsid w:val="008A7A06"/>
    <w:rsid w:val="008B0B0B"/>
    <w:rsid w:val="008B2468"/>
    <w:rsid w:val="008B302E"/>
    <w:rsid w:val="008B3034"/>
    <w:rsid w:val="008B471D"/>
    <w:rsid w:val="008B4D87"/>
    <w:rsid w:val="008C0ADC"/>
    <w:rsid w:val="008C240C"/>
    <w:rsid w:val="008C2AEB"/>
    <w:rsid w:val="008C744F"/>
    <w:rsid w:val="008C7798"/>
    <w:rsid w:val="008D52B1"/>
    <w:rsid w:val="008E759B"/>
    <w:rsid w:val="008F2AA3"/>
    <w:rsid w:val="008F5048"/>
    <w:rsid w:val="008F5568"/>
    <w:rsid w:val="008F5CB1"/>
    <w:rsid w:val="00902DAC"/>
    <w:rsid w:val="0090574E"/>
    <w:rsid w:val="00906139"/>
    <w:rsid w:val="009139A5"/>
    <w:rsid w:val="0091792B"/>
    <w:rsid w:val="00921421"/>
    <w:rsid w:val="009229D9"/>
    <w:rsid w:val="009300CE"/>
    <w:rsid w:val="00930372"/>
    <w:rsid w:val="00931772"/>
    <w:rsid w:val="0093182A"/>
    <w:rsid w:val="009322D3"/>
    <w:rsid w:val="0094060F"/>
    <w:rsid w:val="0094309D"/>
    <w:rsid w:val="0095365D"/>
    <w:rsid w:val="009572DD"/>
    <w:rsid w:val="00957A9E"/>
    <w:rsid w:val="00957B62"/>
    <w:rsid w:val="0096185D"/>
    <w:rsid w:val="00962F6A"/>
    <w:rsid w:val="0096369D"/>
    <w:rsid w:val="009648CA"/>
    <w:rsid w:val="00973916"/>
    <w:rsid w:val="00973BB5"/>
    <w:rsid w:val="0097528D"/>
    <w:rsid w:val="00976DDA"/>
    <w:rsid w:val="009778BC"/>
    <w:rsid w:val="00977FA1"/>
    <w:rsid w:val="00982C6B"/>
    <w:rsid w:val="0098522D"/>
    <w:rsid w:val="00985718"/>
    <w:rsid w:val="0098579E"/>
    <w:rsid w:val="00990089"/>
    <w:rsid w:val="00990248"/>
    <w:rsid w:val="00990674"/>
    <w:rsid w:val="00994D7D"/>
    <w:rsid w:val="009963AF"/>
    <w:rsid w:val="009A049C"/>
    <w:rsid w:val="009A15E3"/>
    <w:rsid w:val="009A4672"/>
    <w:rsid w:val="009A7D5B"/>
    <w:rsid w:val="009B0585"/>
    <w:rsid w:val="009B4ACA"/>
    <w:rsid w:val="009C111C"/>
    <w:rsid w:val="009C16C1"/>
    <w:rsid w:val="009C1B9E"/>
    <w:rsid w:val="009C2F8C"/>
    <w:rsid w:val="009C6788"/>
    <w:rsid w:val="009C6844"/>
    <w:rsid w:val="009D0E3B"/>
    <w:rsid w:val="009D3EBB"/>
    <w:rsid w:val="009D4F89"/>
    <w:rsid w:val="009D5EB5"/>
    <w:rsid w:val="009D6003"/>
    <w:rsid w:val="009E0E6A"/>
    <w:rsid w:val="009E148C"/>
    <w:rsid w:val="009E1691"/>
    <w:rsid w:val="009E5009"/>
    <w:rsid w:val="009F03FE"/>
    <w:rsid w:val="009F669D"/>
    <w:rsid w:val="009F69DD"/>
    <w:rsid w:val="009F7BF0"/>
    <w:rsid w:val="00A00404"/>
    <w:rsid w:val="00A019B4"/>
    <w:rsid w:val="00A02ADB"/>
    <w:rsid w:val="00A04151"/>
    <w:rsid w:val="00A04AFA"/>
    <w:rsid w:val="00A10355"/>
    <w:rsid w:val="00A11BF4"/>
    <w:rsid w:val="00A1268D"/>
    <w:rsid w:val="00A14A5A"/>
    <w:rsid w:val="00A16894"/>
    <w:rsid w:val="00A17802"/>
    <w:rsid w:val="00A23B90"/>
    <w:rsid w:val="00A32043"/>
    <w:rsid w:val="00A3244F"/>
    <w:rsid w:val="00A401AA"/>
    <w:rsid w:val="00A408A0"/>
    <w:rsid w:val="00A46142"/>
    <w:rsid w:val="00A46F33"/>
    <w:rsid w:val="00A47FD8"/>
    <w:rsid w:val="00A50464"/>
    <w:rsid w:val="00A53440"/>
    <w:rsid w:val="00A57632"/>
    <w:rsid w:val="00A61B18"/>
    <w:rsid w:val="00A66C7E"/>
    <w:rsid w:val="00A67416"/>
    <w:rsid w:val="00A70D48"/>
    <w:rsid w:val="00A74227"/>
    <w:rsid w:val="00A75BE2"/>
    <w:rsid w:val="00A77657"/>
    <w:rsid w:val="00A8014C"/>
    <w:rsid w:val="00A80639"/>
    <w:rsid w:val="00A812D7"/>
    <w:rsid w:val="00A85BB7"/>
    <w:rsid w:val="00A9276C"/>
    <w:rsid w:val="00AA26D5"/>
    <w:rsid w:val="00AA4C43"/>
    <w:rsid w:val="00AB1B3E"/>
    <w:rsid w:val="00AB34D8"/>
    <w:rsid w:val="00AB46AA"/>
    <w:rsid w:val="00AB49B1"/>
    <w:rsid w:val="00AB4B49"/>
    <w:rsid w:val="00AB65D0"/>
    <w:rsid w:val="00AC1660"/>
    <w:rsid w:val="00AC265C"/>
    <w:rsid w:val="00AC6521"/>
    <w:rsid w:val="00AC7EE1"/>
    <w:rsid w:val="00AD0243"/>
    <w:rsid w:val="00AD0461"/>
    <w:rsid w:val="00AD1BBA"/>
    <w:rsid w:val="00AD33B5"/>
    <w:rsid w:val="00AD357E"/>
    <w:rsid w:val="00AD7DB9"/>
    <w:rsid w:val="00AE3390"/>
    <w:rsid w:val="00AE3FCF"/>
    <w:rsid w:val="00AF15AD"/>
    <w:rsid w:val="00AF3197"/>
    <w:rsid w:val="00AF509A"/>
    <w:rsid w:val="00B0210D"/>
    <w:rsid w:val="00B041EC"/>
    <w:rsid w:val="00B1210C"/>
    <w:rsid w:val="00B15DF7"/>
    <w:rsid w:val="00B22430"/>
    <w:rsid w:val="00B22F3A"/>
    <w:rsid w:val="00B2394E"/>
    <w:rsid w:val="00B26F16"/>
    <w:rsid w:val="00B26F3D"/>
    <w:rsid w:val="00B31975"/>
    <w:rsid w:val="00B33923"/>
    <w:rsid w:val="00B33CBF"/>
    <w:rsid w:val="00B34CF8"/>
    <w:rsid w:val="00B356CF"/>
    <w:rsid w:val="00B35715"/>
    <w:rsid w:val="00B3653B"/>
    <w:rsid w:val="00B378D1"/>
    <w:rsid w:val="00B42917"/>
    <w:rsid w:val="00B43045"/>
    <w:rsid w:val="00B454BB"/>
    <w:rsid w:val="00B4779D"/>
    <w:rsid w:val="00B5058A"/>
    <w:rsid w:val="00B51723"/>
    <w:rsid w:val="00B52430"/>
    <w:rsid w:val="00B54125"/>
    <w:rsid w:val="00B57AB0"/>
    <w:rsid w:val="00B60B1B"/>
    <w:rsid w:val="00B659B6"/>
    <w:rsid w:val="00B65D30"/>
    <w:rsid w:val="00B70E85"/>
    <w:rsid w:val="00B73AE9"/>
    <w:rsid w:val="00B82764"/>
    <w:rsid w:val="00B838E2"/>
    <w:rsid w:val="00B84EF5"/>
    <w:rsid w:val="00B8766D"/>
    <w:rsid w:val="00B91E32"/>
    <w:rsid w:val="00B92C6F"/>
    <w:rsid w:val="00BA466F"/>
    <w:rsid w:val="00BB4D27"/>
    <w:rsid w:val="00BB6582"/>
    <w:rsid w:val="00BB6CA4"/>
    <w:rsid w:val="00BC19AB"/>
    <w:rsid w:val="00BC1B76"/>
    <w:rsid w:val="00BC5F50"/>
    <w:rsid w:val="00BC6D4E"/>
    <w:rsid w:val="00BC76B3"/>
    <w:rsid w:val="00BD0DC2"/>
    <w:rsid w:val="00BD3CBE"/>
    <w:rsid w:val="00BD464F"/>
    <w:rsid w:val="00BD6173"/>
    <w:rsid w:val="00BE0559"/>
    <w:rsid w:val="00BE12A5"/>
    <w:rsid w:val="00BE1814"/>
    <w:rsid w:val="00BE7983"/>
    <w:rsid w:val="00BF0572"/>
    <w:rsid w:val="00BF347E"/>
    <w:rsid w:val="00C02811"/>
    <w:rsid w:val="00C046A4"/>
    <w:rsid w:val="00C06CBA"/>
    <w:rsid w:val="00C14F6B"/>
    <w:rsid w:val="00C157A7"/>
    <w:rsid w:val="00C15DD4"/>
    <w:rsid w:val="00C163B2"/>
    <w:rsid w:val="00C175C0"/>
    <w:rsid w:val="00C22995"/>
    <w:rsid w:val="00C22E0C"/>
    <w:rsid w:val="00C22F4F"/>
    <w:rsid w:val="00C2450E"/>
    <w:rsid w:val="00C24A80"/>
    <w:rsid w:val="00C257E0"/>
    <w:rsid w:val="00C32274"/>
    <w:rsid w:val="00C348B1"/>
    <w:rsid w:val="00C35520"/>
    <w:rsid w:val="00C363DB"/>
    <w:rsid w:val="00C36C07"/>
    <w:rsid w:val="00C4013F"/>
    <w:rsid w:val="00C4078D"/>
    <w:rsid w:val="00C42021"/>
    <w:rsid w:val="00C51FAE"/>
    <w:rsid w:val="00C531D0"/>
    <w:rsid w:val="00C53F0F"/>
    <w:rsid w:val="00C53F75"/>
    <w:rsid w:val="00C54DE2"/>
    <w:rsid w:val="00C55083"/>
    <w:rsid w:val="00C5699E"/>
    <w:rsid w:val="00C603D7"/>
    <w:rsid w:val="00C6192D"/>
    <w:rsid w:val="00C62ECC"/>
    <w:rsid w:val="00C65D06"/>
    <w:rsid w:val="00C708DA"/>
    <w:rsid w:val="00C716DD"/>
    <w:rsid w:val="00C7432A"/>
    <w:rsid w:val="00C74D58"/>
    <w:rsid w:val="00C76B21"/>
    <w:rsid w:val="00C76F50"/>
    <w:rsid w:val="00C86788"/>
    <w:rsid w:val="00C9239E"/>
    <w:rsid w:val="00C933AC"/>
    <w:rsid w:val="00C944E5"/>
    <w:rsid w:val="00C9690C"/>
    <w:rsid w:val="00C96CC3"/>
    <w:rsid w:val="00CA42E0"/>
    <w:rsid w:val="00CA45A4"/>
    <w:rsid w:val="00CA4696"/>
    <w:rsid w:val="00CB06BC"/>
    <w:rsid w:val="00CB188A"/>
    <w:rsid w:val="00CB2EED"/>
    <w:rsid w:val="00CB4B61"/>
    <w:rsid w:val="00CB4C68"/>
    <w:rsid w:val="00CB5339"/>
    <w:rsid w:val="00CB54E6"/>
    <w:rsid w:val="00CB7D27"/>
    <w:rsid w:val="00CC74F4"/>
    <w:rsid w:val="00CD2E4D"/>
    <w:rsid w:val="00CD5BFF"/>
    <w:rsid w:val="00CD7BA4"/>
    <w:rsid w:val="00CD7E0C"/>
    <w:rsid w:val="00CE241E"/>
    <w:rsid w:val="00CE2F50"/>
    <w:rsid w:val="00CE4DBB"/>
    <w:rsid w:val="00CE6EA0"/>
    <w:rsid w:val="00D005D1"/>
    <w:rsid w:val="00D0263E"/>
    <w:rsid w:val="00D03AC4"/>
    <w:rsid w:val="00D07AAD"/>
    <w:rsid w:val="00D109F3"/>
    <w:rsid w:val="00D128BB"/>
    <w:rsid w:val="00D164B2"/>
    <w:rsid w:val="00D17CDB"/>
    <w:rsid w:val="00D210BC"/>
    <w:rsid w:val="00D21F24"/>
    <w:rsid w:val="00D27525"/>
    <w:rsid w:val="00D3083F"/>
    <w:rsid w:val="00D30BCF"/>
    <w:rsid w:val="00D34D18"/>
    <w:rsid w:val="00D35488"/>
    <w:rsid w:val="00D47FDF"/>
    <w:rsid w:val="00D50A2C"/>
    <w:rsid w:val="00D51ADC"/>
    <w:rsid w:val="00D5308F"/>
    <w:rsid w:val="00D537F4"/>
    <w:rsid w:val="00D574D7"/>
    <w:rsid w:val="00D57C32"/>
    <w:rsid w:val="00D612BD"/>
    <w:rsid w:val="00D61DA4"/>
    <w:rsid w:val="00D71277"/>
    <w:rsid w:val="00D74378"/>
    <w:rsid w:val="00D90062"/>
    <w:rsid w:val="00D9108B"/>
    <w:rsid w:val="00DA2E8B"/>
    <w:rsid w:val="00DB3FA3"/>
    <w:rsid w:val="00DB6D3B"/>
    <w:rsid w:val="00DC04D1"/>
    <w:rsid w:val="00DC357D"/>
    <w:rsid w:val="00DC74C6"/>
    <w:rsid w:val="00DD11D4"/>
    <w:rsid w:val="00DD35C1"/>
    <w:rsid w:val="00DD419A"/>
    <w:rsid w:val="00DD4819"/>
    <w:rsid w:val="00DD5959"/>
    <w:rsid w:val="00DD5F39"/>
    <w:rsid w:val="00DE5C2C"/>
    <w:rsid w:val="00DF1CED"/>
    <w:rsid w:val="00DF543F"/>
    <w:rsid w:val="00E02299"/>
    <w:rsid w:val="00E046C6"/>
    <w:rsid w:val="00E07FE1"/>
    <w:rsid w:val="00E11474"/>
    <w:rsid w:val="00E13C70"/>
    <w:rsid w:val="00E17DC5"/>
    <w:rsid w:val="00E221D5"/>
    <w:rsid w:val="00E23CBC"/>
    <w:rsid w:val="00E25965"/>
    <w:rsid w:val="00E278B9"/>
    <w:rsid w:val="00E33649"/>
    <w:rsid w:val="00E34247"/>
    <w:rsid w:val="00E364BC"/>
    <w:rsid w:val="00E368CA"/>
    <w:rsid w:val="00E46D41"/>
    <w:rsid w:val="00E51F15"/>
    <w:rsid w:val="00E5240E"/>
    <w:rsid w:val="00E53CF7"/>
    <w:rsid w:val="00E53EDC"/>
    <w:rsid w:val="00E541B5"/>
    <w:rsid w:val="00E54670"/>
    <w:rsid w:val="00E55F16"/>
    <w:rsid w:val="00E6175F"/>
    <w:rsid w:val="00E61A63"/>
    <w:rsid w:val="00E61C21"/>
    <w:rsid w:val="00E71C3C"/>
    <w:rsid w:val="00E7412E"/>
    <w:rsid w:val="00E76EA0"/>
    <w:rsid w:val="00E77F18"/>
    <w:rsid w:val="00E82718"/>
    <w:rsid w:val="00E82D32"/>
    <w:rsid w:val="00E82FA7"/>
    <w:rsid w:val="00E8584B"/>
    <w:rsid w:val="00E90978"/>
    <w:rsid w:val="00E97B98"/>
    <w:rsid w:val="00EA4362"/>
    <w:rsid w:val="00EA4AC5"/>
    <w:rsid w:val="00EA4AE2"/>
    <w:rsid w:val="00EA7ABC"/>
    <w:rsid w:val="00EB2CFC"/>
    <w:rsid w:val="00EB4B21"/>
    <w:rsid w:val="00EB6A1D"/>
    <w:rsid w:val="00EB79B4"/>
    <w:rsid w:val="00EC1212"/>
    <w:rsid w:val="00EC2D21"/>
    <w:rsid w:val="00ED49D2"/>
    <w:rsid w:val="00ED7195"/>
    <w:rsid w:val="00ED72B2"/>
    <w:rsid w:val="00EE0B71"/>
    <w:rsid w:val="00EE6743"/>
    <w:rsid w:val="00EF0526"/>
    <w:rsid w:val="00EF5333"/>
    <w:rsid w:val="00EF7D3A"/>
    <w:rsid w:val="00F00F86"/>
    <w:rsid w:val="00F01B9B"/>
    <w:rsid w:val="00F02631"/>
    <w:rsid w:val="00F03115"/>
    <w:rsid w:val="00F043A2"/>
    <w:rsid w:val="00F07710"/>
    <w:rsid w:val="00F1103E"/>
    <w:rsid w:val="00F11240"/>
    <w:rsid w:val="00F129EB"/>
    <w:rsid w:val="00F135FF"/>
    <w:rsid w:val="00F138BD"/>
    <w:rsid w:val="00F16229"/>
    <w:rsid w:val="00F200A0"/>
    <w:rsid w:val="00F230E9"/>
    <w:rsid w:val="00F305DD"/>
    <w:rsid w:val="00F32478"/>
    <w:rsid w:val="00F3457A"/>
    <w:rsid w:val="00F35879"/>
    <w:rsid w:val="00F42724"/>
    <w:rsid w:val="00F44E4D"/>
    <w:rsid w:val="00F516F6"/>
    <w:rsid w:val="00F52FB2"/>
    <w:rsid w:val="00F60A10"/>
    <w:rsid w:val="00F650B7"/>
    <w:rsid w:val="00F66EDE"/>
    <w:rsid w:val="00F70A18"/>
    <w:rsid w:val="00F72368"/>
    <w:rsid w:val="00F73500"/>
    <w:rsid w:val="00F74AFF"/>
    <w:rsid w:val="00F76387"/>
    <w:rsid w:val="00F770CF"/>
    <w:rsid w:val="00F810EA"/>
    <w:rsid w:val="00F8126E"/>
    <w:rsid w:val="00F824B8"/>
    <w:rsid w:val="00F860BE"/>
    <w:rsid w:val="00F867C6"/>
    <w:rsid w:val="00F91414"/>
    <w:rsid w:val="00F918D4"/>
    <w:rsid w:val="00F93C79"/>
    <w:rsid w:val="00F951B2"/>
    <w:rsid w:val="00F9767B"/>
    <w:rsid w:val="00F97D7C"/>
    <w:rsid w:val="00FA3C76"/>
    <w:rsid w:val="00FB02D6"/>
    <w:rsid w:val="00FB2799"/>
    <w:rsid w:val="00FB3480"/>
    <w:rsid w:val="00FB6A86"/>
    <w:rsid w:val="00FC1B0B"/>
    <w:rsid w:val="00FC2369"/>
    <w:rsid w:val="00FC28B7"/>
    <w:rsid w:val="00FC5C08"/>
    <w:rsid w:val="00FC6D41"/>
    <w:rsid w:val="00FD1928"/>
    <w:rsid w:val="00FD324F"/>
    <w:rsid w:val="00FD7A2B"/>
    <w:rsid w:val="00FE1A2B"/>
    <w:rsid w:val="00FE235D"/>
    <w:rsid w:val="00FE3932"/>
    <w:rsid w:val="00FE52C2"/>
    <w:rsid w:val="00FE555A"/>
    <w:rsid w:val="00FF0CBE"/>
    <w:rsid w:val="00FF128D"/>
    <w:rsid w:val="00FF2CB9"/>
    <w:rsid w:val="00FF3CF9"/>
    <w:rsid w:val="00FF64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CB4B61"/>
    <w:pPr>
      <w:ind w:left="0"/>
    </w:pPr>
    <w:rPr>
      <w:rFonts w:ascii="Times" w:eastAsia="Times" w:hAnsi="Times" w:cs="Times New Roman"/>
      <w:sz w:val="20"/>
      <w:szCs w:val="20"/>
    </w:rPr>
  </w:style>
  <w:style w:type="paragraph" w:customStyle="1" w:styleId="DEQSMALLHEADLINES">
    <w:name w:val="(DEQ)SMALL HEADLINES"/>
    <w:basedOn w:val="Normal"/>
    <w:rsid w:val="00CB4B61"/>
    <w:pPr>
      <w:ind w:left="0"/>
    </w:pPr>
    <w:rPr>
      <w:rFonts w:eastAsia="Times" w:cs="Times New Roman"/>
      <w:b/>
      <w:sz w:val="20"/>
      <w:szCs w:val="20"/>
    </w:rPr>
  </w:style>
  <w:style w:type="table" w:styleId="MediumGrid1-Accent3">
    <w:name w:val="Medium Grid 1 Accent 3"/>
    <w:basedOn w:val="TableNormal"/>
    <w:uiPriority w:val="67"/>
    <w:rsid w:val="00AC7EE1"/>
    <w:pPr>
      <w:spacing w:after="0"/>
    </w:pPr>
    <w:tblPr>
      <w:tblStyleRowBandSize w:val="1"/>
      <w:tblStyleColBandSize w:val="1"/>
      <w:tblInd w:w="0" w:type="dxa"/>
      <w:tblBorders>
        <w:top w:val="single" w:sz="8" w:space="0" w:color="A8C1C2" w:themeColor="accent3" w:themeTint="BF"/>
        <w:left w:val="single" w:sz="8" w:space="0" w:color="A8C1C2" w:themeColor="accent3" w:themeTint="BF"/>
        <w:bottom w:val="single" w:sz="8" w:space="0" w:color="A8C1C2" w:themeColor="accent3" w:themeTint="BF"/>
        <w:right w:val="single" w:sz="8" w:space="0" w:color="A8C1C2" w:themeColor="accent3" w:themeTint="BF"/>
        <w:insideH w:val="single" w:sz="8" w:space="0" w:color="A8C1C2" w:themeColor="accent3" w:themeTint="BF"/>
        <w:insideV w:val="single" w:sz="8" w:space="0" w:color="A8C1C2" w:themeColor="accent3" w:themeTint="BF"/>
      </w:tblBorders>
      <w:tblCellMar>
        <w:top w:w="0" w:type="dxa"/>
        <w:left w:w="108" w:type="dxa"/>
        <w:bottom w:w="0" w:type="dxa"/>
        <w:right w:w="108" w:type="dxa"/>
      </w:tblCellMar>
    </w:tblPr>
    <w:tcPr>
      <w:shd w:val="clear" w:color="auto" w:fill="E2EAEB" w:themeFill="accent3" w:themeFillTint="3F"/>
    </w:tcPr>
    <w:tblStylePr w:type="firstRow">
      <w:rPr>
        <w:b/>
        <w:bCs/>
      </w:rPr>
    </w:tblStylePr>
    <w:tblStylePr w:type="lastRow">
      <w:rPr>
        <w:b/>
        <w:bCs/>
      </w:rPr>
      <w:tblPr/>
      <w:tcPr>
        <w:tcBorders>
          <w:top w:val="single" w:sz="18" w:space="0" w:color="A8C1C2" w:themeColor="accent3" w:themeTint="BF"/>
        </w:tcBorders>
      </w:tcPr>
    </w:tblStylePr>
    <w:tblStylePr w:type="firstCol">
      <w:rPr>
        <w:b/>
        <w:bCs/>
      </w:rPr>
    </w:tblStylePr>
    <w:tblStylePr w:type="lastCol">
      <w:rPr>
        <w:b/>
        <w:bCs/>
      </w:rPr>
    </w:tblStylePr>
    <w:tblStylePr w:type="band1Vert">
      <w:tblPr/>
      <w:tcPr>
        <w:shd w:val="clear" w:color="auto" w:fill="C5D6D6" w:themeFill="accent3" w:themeFillTint="7F"/>
      </w:tcPr>
    </w:tblStylePr>
    <w:tblStylePr w:type="band1Horz">
      <w:tblPr/>
      <w:tcPr>
        <w:shd w:val="clear" w:color="auto" w:fill="C5D6D6" w:themeFill="accent3" w:themeFillTint="7F"/>
      </w:tcPr>
    </w:tblStylePr>
  </w:style>
  <w:style w:type="character" w:customStyle="1" w:styleId="DEQTEXTforFACTSHEETChar">
    <w:name w:val="(DEQ)TEXT for FACT SHEET Char"/>
    <w:basedOn w:val="DefaultParagraphFont"/>
    <w:link w:val="DEQTEXTforFACTSHEET"/>
    <w:rsid w:val="00727E11"/>
    <w:rPr>
      <w:rFonts w:ascii="Times" w:eastAsia="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CB4B61"/>
    <w:pPr>
      <w:ind w:left="0"/>
    </w:pPr>
    <w:rPr>
      <w:rFonts w:ascii="Times" w:eastAsia="Times" w:hAnsi="Times" w:cs="Times New Roman"/>
      <w:sz w:val="20"/>
      <w:szCs w:val="20"/>
    </w:rPr>
  </w:style>
  <w:style w:type="paragraph" w:customStyle="1" w:styleId="DEQSMALLHEADLINES">
    <w:name w:val="(DEQ)SMALL HEADLINES"/>
    <w:basedOn w:val="Normal"/>
    <w:rsid w:val="00CB4B61"/>
    <w:pPr>
      <w:ind w:left="0"/>
    </w:pPr>
    <w:rPr>
      <w:rFonts w:eastAsia="Times" w:cs="Times New Roman"/>
      <w:b/>
      <w:sz w:val="20"/>
      <w:szCs w:val="20"/>
    </w:rPr>
  </w:style>
  <w:style w:type="table" w:styleId="MediumGrid1-Accent3">
    <w:name w:val="Medium Grid 1 Accent 3"/>
    <w:basedOn w:val="TableNormal"/>
    <w:uiPriority w:val="67"/>
    <w:rsid w:val="00AC7EE1"/>
    <w:pPr>
      <w:spacing w:after="0"/>
    </w:pPr>
    <w:tblPr>
      <w:tblStyleRowBandSize w:val="1"/>
      <w:tblStyleColBandSize w:val="1"/>
      <w:tblInd w:w="0" w:type="dxa"/>
      <w:tblBorders>
        <w:top w:val="single" w:sz="8" w:space="0" w:color="A8C1C2" w:themeColor="accent3" w:themeTint="BF"/>
        <w:left w:val="single" w:sz="8" w:space="0" w:color="A8C1C2" w:themeColor="accent3" w:themeTint="BF"/>
        <w:bottom w:val="single" w:sz="8" w:space="0" w:color="A8C1C2" w:themeColor="accent3" w:themeTint="BF"/>
        <w:right w:val="single" w:sz="8" w:space="0" w:color="A8C1C2" w:themeColor="accent3" w:themeTint="BF"/>
        <w:insideH w:val="single" w:sz="8" w:space="0" w:color="A8C1C2" w:themeColor="accent3" w:themeTint="BF"/>
        <w:insideV w:val="single" w:sz="8" w:space="0" w:color="A8C1C2" w:themeColor="accent3" w:themeTint="BF"/>
      </w:tblBorders>
      <w:tblCellMar>
        <w:top w:w="0" w:type="dxa"/>
        <w:left w:w="108" w:type="dxa"/>
        <w:bottom w:w="0" w:type="dxa"/>
        <w:right w:w="108" w:type="dxa"/>
      </w:tblCellMar>
    </w:tblPr>
    <w:tcPr>
      <w:shd w:val="clear" w:color="auto" w:fill="E2EAEB" w:themeFill="accent3" w:themeFillTint="3F"/>
    </w:tcPr>
    <w:tblStylePr w:type="firstRow">
      <w:rPr>
        <w:b/>
        <w:bCs/>
      </w:rPr>
    </w:tblStylePr>
    <w:tblStylePr w:type="lastRow">
      <w:rPr>
        <w:b/>
        <w:bCs/>
      </w:rPr>
      <w:tblPr/>
      <w:tcPr>
        <w:tcBorders>
          <w:top w:val="single" w:sz="18" w:space="0" w:color="A8C1C2" w:themeColor="accent3" w:themeTint="BF"/>
        </w:tcBorders>
      </w:tcPr>
    </w:tblStylePr>
    <w:tblStylePr w:type="firstCol">
      <w:rPr>
        <w:b/>
        <w:bCs/>
      </w:rPr>
    </w:tblStylePr>
    <w:tblStylePr w:type="lastCol">
      <w:rPr>
        <w:b/>
        <w:bCs/>
      </w:rPr>
    </w:tblStylePr>
    <w:tblStylePr w:type="band1Vert">
      <w:tblPr/>
      <w:tcPr>
        <w:shd w:val="clear" w:color="auto" w:fill="C5D6D6" w:themeFill="accent3" w:themeFillTint="7F"/>
      </w:tcPr>
    </w:tblStylePr>
    <w:tblStylePr w:type="band1Horz">
      <w:tblPr/>
      <w:tcPr>
        <w:shd w:val="clear" w:color="auto" w:fill="C5D6D6" w:themeFill="accent3" w:themeFillTint="7F"/>
      </w:tcPr>
    </w:tblStylePr>
  </w:style>
  <w:style w:type="character" w:customStyle="1" w:styleId="DEQTEXTforFACTSHEETChar">
    <w:name w:val="(DEQ)TEXT for FACT SHEET Char"/>
    <w:basedOn w:val="DefaultParagraphFont"/>
    <w:link w:val="DEQTEXTforFACTSHEET"/>
    <w:rsid w:val="00727E11"/>
    <w:rPr>
      <w:rFonts w:ascii="Times" w:eastAsia="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675145">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74545246">
      <w:bodyDiv w:val="1"/>
      <w:marLeft w:val="0"/>
      <w:marRight w:val="0"/>
      <w:marTop w:val="0"/>
      <w:marBottom w:val="0"/>
      <w:divBdr>
        <w:top w:val="none" w:sz="0" w:space="0" w:color="auto"/>
        <w:left w:val="none" w:sz="0" w:space="0" w:color="auto"/>
        <w:bottom w:val="none" w:sz="0" w:space="0" w:color="auto"/>
        <w:right w:val="none" w:sz="0" w:space="0" w:color="auto"/>
      </w:divBdr>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76918565">
      <w:bodyDiv w:val="1"/>
      <w:marLeft w:val="0"/>
      <w:marRight w:val="0"/>
      <w:marTop w:val="0"/>
      <w:marBottom w:val="0"/>
      <w:divBdr>
        <w:top w:val="none" w:sz="0" w:space="0" w:color="auto"/>
        <w:left w:val="none" w:sz="0" w:space="0" w:color="auto"/>
        <w:bottom w:val="none" w:sz="0" w:space="0" w:color="auto"/>
        <w:right w:val="none" w:sz="0" w:space="0" w:color="auto"/>
      </w:divBdr>
    </w:div>
    <w:div w:id="54409931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0137390">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70545771">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9313570">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157994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61331246">
      <w:bodyDiv w:val="1"/>
      <w:marLeft w:val="0"/>
      <w:marRight w:val="0"/>
      <w:marTop w:val="0"/>
      <w:marBottom w:val="0"/>
      <w:divBdr>
        <w:top w:val="none" w:sz="0" w:space="0" w:color="auto"/>
        <w:left w:val="none" w:sz="0" w:space="0" w:color="auto"/>
        <w:bottom w:val="none" w:sz="0" w:space="0" w:color="auto"/>
        <w:right w:val="none" w:sz="0" w:space="0" w:color="auto"/>
      </w:divBdr>
    </w:div>
    <w:div w:id="1643923005">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98664422">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9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laws.org/ors/183.332" TargetMode="External"/><Relationship Id="rId18"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eg.state.or.us/ors/468a.html" TargetMode="External"/><Relationship Id="rId17" Type="http://schemas.openxmlformats.org/officeDocument/2006/relationships/hyperlink" Target="http://arcweb.sos.state.or.us/pages/rules/oars_300/oar_340/340_018.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rcweb.sos.state.or.us/pages/rules/oars_300/oar_340/340_018.html" TargetMode="External"/><Relationship Id="rId20" Type="http://schemas.openxmlformats.org/officeDocument/2006/relationships/hyperlink" Target="http://www.oregon.gov/deq/RulesandRegulations/Pages/2014/CFPPh1.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egonlaws.org/ors/183.336"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regonlaws.org/ors/468A.327" TargetMode="External"/><Relationship Id="rId23" Type="http://schemas.openxmlformats.org/officeDocument/2006/relationships/hyperlink" Target="http://www.leg.state.or.us/ors/183.html" TargetMode="External"/><Relationship Id="rId10" Type="http://schemas.openxmlformats.org/officeDocument/2006/relationships/hyperlink" Target="http://www.oregonlaws.org/ors/183.335" TargetMode="External"/><Relationship Id="rId19" Type="http://schemas.openxmlformats.org/officeDocument/2006/relationships/hyperlink" Target="http://arcweb.sos.state.or.us/pages/rules/bulletin/past.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arcweb.sos.state.or.us/pages/rules/oars_300/oar_340/340_011.html" TargetMode="External"/><Relationship Id="rId22" Type="http://schemas.openxmlformats.org/officeDocument/2006/relationships/hyperlink" Target="http://arcweb.sos.state.or.us/pages/rules/oars_100/oar_137/137_001.html" TargetMode="External"/><Relationship Id="rId27"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C9818763C4F4D8EF99952153BA6DA" ma:contentTypeVersion="" ma:contentTypeDescription="Create a new document." ma:contentTypeScope="" ma:versionID="c124a24dadee6b40ad43a8f5b744cd0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Publish</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BE894-A68C-4949-BCF3-69E0226BC265}"/>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AE7F134B-C5E3-4BD1-9171-71AEE962801E}"/>
</file>

<file path=docProps/app.xml><?xml version="1.0" encoding="utf-8"?>
<Properties xmlns="http://schemas.openxmlformats.org/officeDocument/2006/extended-properties" xmlns:vt="http://schemas.openxmlformats.org/officeDocument/2006/docPropsVTypes">
  <Template>Normal</Template>
  <TotalTime>0</TotalTime>
  <Pages>12</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2014-03-13T20:12:00Z</cp:lastPrinted>
  <dcterms:created xsi:type="dcterms:W3CDTF">2014-03-14T17:05:00Z</dcterms:created>
  <dcterms:modified xsi:type="dcterms:W3CDTF">2014-03-14T17:05:00Z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0x010100045C9818763C4F4D8EF99952153BA6DA</vt:lpwstr>
  </property>
</Properties>
</file>