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B486F" w:rsidP="00B34CF8">
      <w:pPr>
        <w:spacing w:after="120"/>
        <w:ind w:left="0" w:right="18"/>
        <w:outlineLvl w:val="0"/>
        <w:rPr>
          <w:rFonts w:ascii="Times New Roman" w:eastAsia="Times New Roman" w:hAnsi="Times New Roman" w:cs="Times New Roman"/>
          <w:color w:val="000000"/>
        </w:rPr>
      </w:pPr>
      <w:r w:rsidRPr="008B486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DF2AA7" w:rsidRPr="00C74D58" w:rsidRDefault="00DF2AA7" w:rsidP="006751BA">
                  <w:pPr>
                    <w:tabs>
                      <w:tab w:val="left" w:pos="16582"/>
                    </w:tabs>
                    <w:ind w:left="0"/>
                    <w:jc w:val="center"/>
                    <w:rPr>
                      <w:rFonts w:ascii="Times New Roman" w:eastAsia="Times New Roman" w:hAnsi="Times New Roman" w:cs="Times New Roman"/>
                      <w:b/>
                      <w:color w:val="000000"/>
                    </w:rPr>
                  </w:pPr>
                </w:p>
                <w:p w:rsidR="00DF2AA7" w:rsidRPr="00C74D58" w:rsidRDefault="00DF2AA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F2AA7" w:rsidRPr="00C74D58" w:rsidRDefault="00DF2AA7" w:rsidP="006751BA">
                  <w:pPr>
                    <w:tabs>
                      <w:tab w:val="left" w:pos="908"/>
                      <w:tab w:val="left" w:pos="16582"/>
                    </w:tabs>
                    <w:ind w:left="108"/>
                    <w:jc w:val="center"/>
                    <w:rPr>
                      <w:rFonts w:ascii="Times New Roman" w:eastAsia="Times New Roman" w:hAnsi="Times New Roman" w:cs="Times New Roman"/>
                      <w:b/>
                      <w:color w:val="000000"/>
                    </w:rPr>
                  </w:pPr>
                </w:p>
                <w:p w:rsidR="00DF2AA7" w:rsidRPr="00A019B4" w:rsidRDefault="00DF2AA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DF2AA7" w:rsidRPr="00A019B4" w:rsidRDefault="00DF2AA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BD429C" w:rsidRDefault="00D164B2" w:rsidP="006851AB">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851AB" w:rsidRPr="000E56C7">
        <w:rPr>
          <w:rFonts w:asciiTheme="majorHAnsi" w:eastAsia="Times New Roman" w:hAnsiTheme="majorHAnsi" w:cstheme="majorHAnsi"/>
          <w:b/>
          <w:bCs/>
          <w:i/>
          <w:color w:val="000000" w:themeColor="text1"/>
        </w:rPr>
        <w:t xml:space="preserve">Incorporate </w:t>
      </w:r>
      <w:r w:rsidR="006851AB" w:rsidRPr="000E56C7">
        <w:rPr>
          <w:rFonts w:asciiTheme="majorHAnsi" w:eastAsia="Times New Roman" w:hAnsiTheme="majorHAnsi" w:cstheme="majorHAnsi"/>
          <w:b/>
          <w:i/>
          <w:color w:val="000000" w:themeColor="text1"/>
          <w:sz w:val="22"/>
          <w:szCs w:val="22"/>
        </w:rPr>
        <w:t>Lane Regional A</w:t>
      </w:r>
      <w:r w:rsidR="006851AB" w:rsidRPr="000E56C7">
        <w:rPr>
          <w:rFonts w:asciiTheme="majorHAnsi" w:eastAsia="Times New Roman" w:hAnsiTheme="majorHAnsi" w:cstheme="majorHAnsi"/>
          <w:b/>
          <w:i/>
          <w:color w:val="000000"/>
          <w:sz w:val="22"/>
          <w:szCs w:val="22"/>
        </w:rPr>
        <w:t xml:space="preserve">ir </w:t>
      </w:r>
      <w:r w:rsidR="00054837">
        <w:rPr>
          <w:rFonts w:asciiTheme="majorHAnsi" w:eastAsia="Times New Roman" w:hAnsiTheme="majorHAnsi" w:cstheme="majorHAnsi"/>
          <w:b/>
          <w:i/>
          <w:color w:val="000000"/>
          <w:sz w:val="22"/>
          <w:szCs w:val="22"/>
        </w:rPr>
        <w:t>Protection Agency</w:t>
      </w:r>
      <w:r w:rsidR="006851AB" w:rsidRPr="000E56C7">
        <w:rPr>
          <w:rFonts w:asciiTheme="majorHAnsi" w:eastAsia="Times New Roman" w:hAnsiTheme="majorHAnsi" w:cstheme="majorHAnsi"/>
          <w:b/>
          <w:i/>
          <w:color w:val="000000"/>
          <w:sz w:val="22"/>
          <w:szCs w:val="22"/>
        </w:rPr>
        <w:t xml:space="preserve"> Rules</w:t>
      </w:r>
    </w:p>
    <w:p w:rsidR="006851AB" w:rsidRPr="00BD429C" w:rsidRDefault="006851AB" w:rsidP="006851AB">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Permit Streamlining</w:t>
      </w:r>
      <w:r w:rsidRPr="000E56C7">
        <w:rPr>
          <w:rFonts w:asciiTheme="majorHAnsi" w:eastAsia="Times New Roman" w:hAnsiTheme="majorHAnsi" w:cstheme="majorHAnsi"/>
          <w:b/>
          <w:i/>
          <w:color w:val="000000"/>
          <w:sz w:val="22"/>
          <w:szCs w:val="22"/>
        </w:rPr>
        <w:t xml:space="preserve"> </w:t>
      </w:r>
      <w:r>
        <w:rPr>
          <w:rFonts w:asciiTheme="majorHAnsi" w:eastAsia="Times New Roman" w:hAnsiTheme="majorHAnsi" w:cstheme="majorHAnsi"/>
          <w:b/>
          <w:i/>
          <w:color w:val="000000"/>
          <w:sz w:val="22"/>
          <w:szCs w:val="22"/>
        </w:rPr>
        <w:t>I</w:t>
      </w:r>
      <w:r w:rsidRPr="000E56C7">
        <w:rPr>
          <w:rFonts w:asciiTheme="majorHAnsi" w:eastAsia="Times New Roman" w:hAnsiTheme="majorHAnsi" w:cstheme="majorHAnsi"/>
          <w:b/>
          <w:i/>
          <w:color w:val="000000"/>
          <w:sz w:val="22"/>
          <w:szCs w:val="22"/>
        </w:rPr>
        <w:t xml:space="preserve">nto </w:t>
      </w:r>
    </w:p>
    <w:p w:rsidR="006851AB" w:rsidRPr="00BD429C" w:rsidRDefault="006851AB" w:rsidP="006851AB">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3E12F6" w:rsidRPr="003E12F6" w:rsidRDefault="003E12F6" w:rsidP="003E12F6">
      <w:pPr>
        <w:ind w:left="1080" w:right="18"/>
        <w:outlineLvl w:val="0"/>
        <w:rPr>
          <w:rFonts w:asciiTheme="minorHAnsi" w:hAnsiTheme="minorHAnsi" w:cstheme="minorHAnsi"/>
        </w:rPr>
      </w:pPr>
      <w:r w:rsidRPr="003E12F6">
        <w:rPr>
          <w:rFonts w:ascii="Times New Roman" w:hAnsi="Times New Roman" w:cs="Times New Roman"/>
        </w:rPr>
        <w:t xml:space="preserve">DEQ proposes amendments to Oregon Administrative Rule 340-200-0040 and Oregon’s State Implementation Plan to incorporate Lane Regional Air Protection Agency regulations for </w:t>
      </w:r>
      <w:r>
        <w:rPr>
          <w:rFonts w:ascii="Times New Roman" w:hAnsi="Times New Roman" w:cs="Times New Roman"/>
        </w:rPr>
        <w:t>permit streamlining</w:t>
      </w:r>
      <w:r w:rsidRPr="003E12F6">
        <w:rPr>
          <w:rFonts w:ascii="Times New Roman" w:hAnsi="Times New Roman" w:cs="Times New Roman"/>
        </w:rPr>
        <w:t xml:space="preserve">. </w:t>
      </w:r>
      <w:r w:rsidRPr="003E12F6">
        <w:rPr>
          <w:rFonts w:ascii="Times New Roman" w:eastAsia="Times New Roman" w:hAnsi="Times New Roman" w:cs="Times New Roman"/>
          <w:color w:val="000000"/>
        </w:rPr>
        <w:t xml:space="preserve">The rule changes have been adopted by the LRAPA Board of Directors.  </w:t>
      </w:r>
      <w:r w:rsidRPr="003E12F6">
        <w:rPr>
          <w:rFonts w:ascii="Times New Roman" w:hAnsi="Times New Roman" w:cs="Times New Roman"/>
        </w:rPr>
        <w:t xml:space="preserve">LRAPA’s board amended LRAPA </w:t>
      </w:r>
      <w:r w:rsidRPr="003E12F6">
        <w:rPr>
          <w:rFonts w:asciiTheme="minorHAnsi" w:hAnsiTheme="minorHAnsi" w:cstheme="minorHAnsi"/>
          <w:spacing w:val="-3"/>
        </w:rPr>
        <w:t xml:space="preserve">regulations to bring them in line with state rules and to better coordinate with state and federal requirements. </w:t>
      </w:r>
      <w:r w:rsidRPr="003E12F6">
        <w:rPr>
          <w:rFonts w:asciiTheme="minorHAnsi" w:hAnsiTheme="minorHAnsi" w:cstheme="minorHAnsi"/>
        </w:rPr>
        <w:t>The changes to LRAPA’s regulations:</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w:t>
      </w:r>
      <w:r w:rsidR="008563E4" w:rsidRPr="008563E4">
        <w:rPr>
          <w:rFonts w:asciiTheme="minorHAnsi" w:hAnsiTheme="minorHAnsi" w:cstheme="minorHAnsi"/>
          <w:spacing w:val="-3"/>
        </w:rPr>
        <w:t xml:space="preserve">re identical to the changes in </w:t>
      </w:r>
      <w:r w:rsidR="006E19D3" w:rsidRPr="006E19D3">
        <w:rPr>
          <w:rFonts w:asciiTheme="minorHAnsi" w:hAnsiTheme="minorHAnsi" w:cstheme="minorHAnsi"/>
          <w:spacing w:val="-3"/>
        </w:rPr>
        <w:t xml:space="preserve">Chapter 340 </w:t>
      </w:r>
      <w:r w:rsidR="008563E4" w:rsidRPr="008563E4">
        <w:rPr>
          <w:rFonts w:asciiTheme="minorHAnsi" w:hAnsiTheme="minorHAnsi" w:cstheme="minorHAnsi"/>
          <w:spacing w:val="-3"/>
        </w:rPr>
        <w:t xml:space="preserve">Oregon Administrative Rules that EQC adopted in 2001, 2007 and 2008. In 2001 and 2007, EQC adopted DEQ rulemakings titled SPPIT 1 and SPPIT 2, respectively. These rulemakings streamlined and improved permitting processes. In 2008, EQC adopted DEQ rules to clarify an agriculture exemption from the rules. </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Are</w:t>
      </w:r>
      <w:r w:rsidR="008563E4" w:rsidRPr="008563E4">
        <w:rPr>
          <w:rFonts w:asciiTheme="minorHAnsi" w:hAnsiTheme="minorHAnsi" w:cstheme="minorHAnsi"/>
          <w:spacing w:val="-3"/>
        </w:rPr>
        <w:t xml:space="preserve"> identical to state and federal National Emission Standards for Hazardous Air Pollutants (NESHAPs) and New Source Performance Standards (NSPS).  </w:t>
      </w:r>
    </w:p>
    <w:p w:rsidR="008563E4" w:rsidRDefault="003E12F6" w:rsidP="008563E4">
      <w:pPr>
        <w:pStyle w:val="ListParagraph"/>
        <w:numPr>
          <w:ilvl w:val="0"/>
          <w:numId w:val="20"/>
        </w:numPr>
        <w:ind w:right="18"/>
        <w:outlineLvl w:val="0"/>
        <w:rPr>
          <w:rFonts w:ascii="Times New Roman" w:eastAsia="Times New Roman" w:hAnsi="Times New Roman" w:cs="Times New Roman"/>
        </w:rPr>
      </w:pPr>
      <w:r>
        <w:rPr>
          <w:rFonts w:asciiTheme="minorHAnsi" w:hAnsiTheme="minorHAnsi" w:cstheme="minorHAnsi"/>
          <w:spacing w:val="-3"/>
        </w:rPr>
        <w:t>I</w:t>
      </w:r>
      <w:r w:rsidR="008563E4" w:rsidRPr="008563E4">
        <w:rPr>
          <w:rFonts w:asciiTheme="minorHAnsi" w:hAnsiTheme="minorHAnsi" w:cstheme="minorHAnsi"/>
          <w:spacing w:val="-3"/>
        </w:rPr>
        <w:t xml:space="preserve">nclude minor corrections </w:t>
      </w:r>
      <w:r w:rsidR="006851AB">
        <w:rPr>
          <w:rFonts w:asciiTheme="minorHAnsi" w:hAnsiTheme="minorHAnsi" w:cstheme="minorHAnsi"/>
          <w:spacing w:val="-3"/>
        </w:rPr>
        <w:t>and</w:t>
      </w:r>
      <w:r w:rsidR="008563E4"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008563E4"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008563E4"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008563E4"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851AB" w:rsidRDefault="006851AB" w:rsidP="006851A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851AB" w:rsidRDefault="00467B1C" w:rsidP="006851AB">
      <w:pPr>
        <w:pStyle w:val="NormalWeb"/>
        <w:shd w:val="clear" w:color="auto" w:fill="FFFFFF"/>
        <w:spacing w:before="0" w:beforeAutospacing="0" w:after="0" w:afterAutospacing="0"/>
        <w:ind w:left="1080" w:right="468"/>
      </w:pPr>
      <w:r>
        <w:t>The permit streamlining rules explained in this document were adopted by t</w:t>
      </w:r>
      <w:r w:rsidRPr="006B785F">
        <w:t xml:space="preserve">he LRAPA Board </w:t>
      </w:r>
      <w:r>
        <w:t xml:space="preserve">on </w:t>
      </w:r>
      <w:r>
        <w:rPr>
          <w:color w:val="000000"/>
        </w:rPr>
        <w:t>October 14, 2008 and January 12, 2010</w:t>
      </w:r>
      <w:r>
        <w:t xml:space="preserve">. </w:t>
      </w:r>
      <w:r w:rsidR="006851AB">
        <w:rPr>
          <w:color w:val="000000"/>
        </w:rPr>
        <w:t>T</w:t>
      </w:r>
      <w:r w:rsidR="006851AB" w:rsidRPr="00262906">
        <w:rPr>
          <w:color w:val="000000"/>
        </w:rPr>
        <w:t xml:space="preserve">he </w:t>
      </w:r>
      <w:r w:rsidR="006851AB">
        <w:rPr>
          <w:color w:val="000000"/>
        </w:rPr>
        <w:t xml:space="preserve">Environmental Quality </w:t>
      </w:r>
      <w:r w:rsidR="006851AB" w:rsidRPr="00262906">
        <w:rPr>
          <w:color w:val="000000"/>
        </w:rPr>
        <w:t xml:space="preserve">Commission </w:t>
      </w:r>
      <w:r w:rsidR="006851AB">
        <w:t xml:space="preserve">and DEQ have oversight authority to ensure LRAPA meets Clean Air Act requirements. </w:t>
      </w:r>
      <w:r w:rsidR="006851AB">
        <w:rPr>
          <w:color w:val="000000"/>
        </w:rPr>
        <w:t xml:space="preserve">The </w:t>
      </w:r>
      <w:r w:rsidR="006851AB" w:rsidRPr="00262906">
        <w:rPr>
          <w:color w:val="000000"/>
        </w:rPr>
        <w:t xml:space="preserve">State Implementation Plan </w:t>
      </w:r>
      <w:r w:rsidR="006851AB">
        <w:rPr>
          <w:color w:val="000000"/>
        </w:rPr>
        <w:t>is</w:t>
      </w:r>
      <w:r w:rsidR="006851AB" w:rsidRPr="00262906">
        <w:rPr>
          <w:color w:val="000000"/>
        </w:rPr>
        <w:t xml:space="preserve"> the State of Oregon Clean Air Act Implementation Plan as adopted by </w:t>
      </w:r>
      <w:r w:rsidR="006851AB">
        <w:rPr>
          <w:color w:val="000000"/>
        </w:rPr>
        <w:t xml:space="preserve">EQC </w:t>
      </w:r>
      <w:r w:rsidR="006851AB" w:rsidRPr="00262906">
        <w:rPr>
          <w:color w:val="000000"/>
        </w:rPr>
        <w:t xml:space="preserve">under OAR 340-200-0040 and approved by EPA. </w:t>
      </w:r>
      <w:r w:rsidR="006851AB" w:rsidRPr="00EF1A52">
        <w:t>EQC</w:t>
      </w:r>
      <w:r w:rsidR="006851AB">
        <w:t xml:space="preserve"> approves</w:t>
      </w:r>
      <w:r w:rsidR="006851AB" w:rsidRPr="00EF1A52">
        <w:t xml:space="preserve"> </w:t>
      </w:r>
      <w:r w:rsidR="006851AB">
        <w:t xml:space="preserve">and directs DEQ to </w:t>
      </w:r>
      <w:r w:rsidR="006851AB" w:rsidRPr="00EF1A52">
        <w:t>submit</w:t>
      </w:r>
      <w:r w:rsidR="006851AB">
        <w:t xml:space="preserve"> all </w:t>
      </w:r>
      <w:r w:rsidR="006851AB" w:rsidRPr="00EF1A52">
        <w:t xml:space="preserve">LRAPA rules to </w:t>
      </w:r>
      <w:r w:rsidR="006851AB">
        <w:t>EPA</w:t>
      </w:r>
      <w:r w:rsidR="006851AB" w:rsidRPr="00EF1A52">
        <w:t xml:space="preserve"> as SIP Amendments.</w:t>
      </w:r>
      <w:r w:rsidR="006851AB">
        <w:t xml:space="preserve"> Though this is not the </w:t>
      </w:r>
      <w:r w:rsidR="006851AB">
        <w:lastRenderedPageBreak/>
        <w:t xml:space="preserve">case here, an exception to this requirement allows the DEQ to approve any LRAPA rules that are verbatim restatements of rules that the EQC has already approved.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regulated parties are permitted sources identified in LRAPA’s Title 37 – Air Contaminant Discharge Permits as well as sources subject to Title V Operating Permit requirements.</w:t>
      </w:r>
    </w:p>
    <w:p w:rsidR="00B54125" w:rsidRDefault="00B54125" w:rsidP="00B34CF8">
      <w:pPr>
        <w:ind w:left="1080" w:right="18"/>
        <w:outlineLvl w:val="0"/>
        <w:rPr>
          <w:rFonts w:ascii="Times New Roman" w:eastAsia="Times New Roman" w:hAnsi="Times New Roman" w:cs="Times New Roman"/>
        </w:rPr>
      </w:pP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B75B0F" w:rsidRPr="00907C33" w:rsidRDefault="003E12F6" w:rsidP="00B34CF8">
      <w:pPr>
        <w:spacing w:after="120"/>
        <w:ind w:left="720" w:right="18"/>
        <w:rPr>
          <w:rFonts w:asciiTheme="minorHAnsi" w:eastAsia="Times New Roman" w:hAnsiTheme="minorHAnsi" w:cstheme="minorHAnsi"/>
          <w:bCs/>
          <w:color w:val="685C54" w:themeColor="accent4" w:themeShade="BF"/>
          <w:sz w:val="22"/>
          <w:szCs w:val="22"/>
        </w:rPr>
      </w:pPr>
      <w:r>
        <w:rPr>
          <w:rFonts w:asciiTheme="minorHAnsi" w:hAnsiTheme="minorHAnsi" w:cstheme="minorHAnsi"/>
        </w:rPr>
        <w:t>DEQ</w:t>
      </w:r>
      <w:r w:rsidR="00B75B0F" w:rsidRPr="00907C33">
        <w:rPr>
          <w:rFonts w:asciiTheme="minorHAnsi" w:hAnsiTheme="minorHAnsi" w:cstheme="minorHAnsi"/>
        </w:rPr>
        <w:t xml:space="preserve"> is proposing </w:t>
      </w:r>
      <w:commentRangeStart w:id="0"/>
      <w:r w:rsidR="00B75B0F" w:rsidRPr="00907C33">
        <w:rPr>
          <w:rFonts w:asciiTheme="minorHAnsi" w:hAnsiTheme="minorHAnsi" w:cstheme="minorHAnsi"/>
        </w:rPr>
        <w:t>significant changes to its permitting rules in an effort to maximize efficiencies in the program, while maintaining the existing level of environmental protection</w:t>
      </w:r>
      <w:r w:rsidR="00907C33">
        <w:rPr>
          <w:rFonts w:asciiTheme="minorHAnsi" w:hAnsiTheme="minorHAnsi" w:cstheme="minorHAnsi"/>
        </w:rPr>
        <w:t>.</w:t>
      </w:r>
      <w:commentRangeEnd w:id="0"/>
      <w:r w:rsidR="00DF2AA7">
        <w:rPr>
          <w:rStyle w:val="CommentReference"/>
        </w:rPr>
        <w:commentReference w:id="0"/>
      </w: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6E5AFC">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174BA5"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 xml:space="preserve">General Air Contaminant Discharge </w:t>
            </w:r>
            <w:r w:rsidR="00B75B0F" w:rsidRPr="006B2476">
              <w:rPr>
                <w:rFonts w:asciiTheme="majorHAnsi" w:eastAsia="Times New Roman" w:hAnsiTheme="majorHAnsi" w:cstheme="majorHAnsi"/>
                <w:color w:val="000000"/>
                <w:sz w:val="20"/>
                <w:szCs w:val="20"/>
              </w:rPr>
              <w:t>Permit</w:t>
            </w:r>
            <w:r w:rsidRPr="006B2476">
              <w:rPr>
                <w:rFonts w:asciiTheme="majorHAnsi" w:eastAsia="Times New Roman" w:hAnsiTheme="majorHAnsi" w:cstheme="majorHAnsi"/>
                <w:color w:val="000000"/>
                <w:sz w:val="20"/>
                <w:szCs w:val="20"/>
              </w:rPr>
              <w:t>s</w:t>
            </w:r>
            <w:r w:rsidR="00B75827" w:rsidRPr="006B2476">
              <w:rPr>
                <w:rFonts w:asciiTheme="majorHAnsi" w:eastAsia="Times New Roman" w:hAnsiTheme="majorHAnsi" w:cstheme="majorHAnsi"/>
                <w:color w:val="000000"/>
                <w:sz w:val="20"/>
                <w:szCs w:val="20"/>
              </w:rPr>
              <w:t xml:space="preserve"> (General ACDPs)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174BA5">
            <w:pPr>
              <w:pStyle w:val="DEQTEXTforFACTSHEET"/>
              <w:rPr>
                <w:rFonts w:asciiTheme="majorHAnsi" w:hAnsiTheme="majorHAnsi" w:cstheme="majorHAnsi"/>
              </w:rPr>
            </w:pPr>
            <w:r w:rsidRPr="006B2476">
              <w:rPr>
                <w:rFonts w:asciiTheme="majorHAnsi" w:hAnsiTheme="majorHAnsi" w:cstheme="majorHAnsi"/>
              </w:rPr>
              <w:t xml:space="preserve">The proposed rule changes expand the LRAPA’s ability to write permits for categories of businesses instead of individual permits.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These permits, known as General Air Contaminant Discharge Permits (ACDPs), allow the permittee to operate as if it had a source specific permit.  Individual businesses are ‘assigned’ to the General ACDP if they meet the criteria for the General ACDP.  Businesses that are required to have a permit but do not fit the parameters of an existing General ACDP will still need an individual ACDP</w:t>
            </w:r>
          </w:p>
        </w:tc>
      </w:tr>
      <w:tr w:rsidR="00F8126E" w:rsidRPr="006726CF" w:rsidTr="006E5AFC">
        <w:trPr>
          <w:trHeight w:val="264"/>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B75827"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Combining and Splitting Sources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r w:rsidRPr="006B2476">
              <w:rPr>
                <w:rFonts w:asciiTheme="majorHAnsi" w:eastAsia="Times New Roman" w:hAnsiTheme="majorHAnsi" w:cstheme="majorHAnsi"/>
                <w:sz w:val="20"/>
                <w:szCs w:val="20"/>
              </w:rPr>
              <w:t xml:space="preserv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 xml:space="preserve">A formal process is needed to ensure that sources are being treated consistently statewide when they combine or split their operations.  The proposed rules define source as: 1) Being under common ownership or control, 2) Having a common 2 digit standard industrial classification (SIC) or supporting the major 2 digit SIC, and 3) Being on contiguous or adjacent properties.  The proposed rules define “adjacent” as interdependent and nearby, consistent with EPA guidance.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392D50">
            <w:pPr>
              <w:pStyle w:val="BodyText"/>
              <w:rPr>
                <w:rFonts w:asciiTheme="majorHAnsi" w:hAnsiTheme="majorHAnsi" w:cstheme="majorHAnsi"/>
                <w:sz w:val="20"/>
              </w:rPr>
            </w:pPr>
            <w:r w:rsidRPr="006B2476">
              <w:rPr>
                <w:rFonts w:asciiTheme="majorHAnsi" w:hAnsiTheme="majorHAnsi" w:cstheme="majorHAnsi"/>
                <w:sz w:val="20"/>
              </w:rPr>
              <w:t xml:space="preserve">The proposed rule changes set forth procedures for combining facilities when they meet the definition of a single source, and for splitting one source into multiple sources when they no longer meet the definition of a single source.  Two sources that become one source could combine their netting basis, but </w:t>
            </w:r>
            <w:r w:rsidRPr="006B2476">
              <w:rPr>
                <w:rFonts w:asciiTheme="majorHAnsi" w:hAnsiTheme="majorHAnsi" w:cstheme="majorHAnsi"/>
                <w:sz w:val="20"/>
              </w:rPr>
              <w:lastRenderedPageBreak/>
              <w:t>would get only one significant emission rate (SER).  One source that splits could divide its netting basis and SER however it wants, but the new sources would not get multiple SERs, unless one or more of them satisfies the New Source Review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8126E" w:rsidRPr="006726CF" w:rsidTr="006E5AFC">
        <w:trPr>
          <w:trHeight w:val="327"/>
        </w:trPr>
        <w:tc>
          <w:tcPr>
            <w:tcW w:w="4770" w:type="dxa"/>
            <w:tcBorders>
              <w:bottom w:val="dotted" w:sz="4" w:space="0" w:color="auto"/>
              <w:right w:val="nil"/>
            </w:tcBorders>
            <w:shd w:val="clear" w:color="auto" w:fill="B1DDCD"/>
            <w:hideMark/>
          </w:tcPr>
          <w:p w:rsidR="00F8126E" w:rsidRPr="006B2476" w:rsidRDefault="00B75827" w:rsidP="005F633D">
            <w:pPr>
              <w:pStyle w:val="ListParagraph"/>
              <w:numPr>
                <w:ilvl w:val="0"/>
                <w:numId w:val="6"/>
              </w:numPr>
              <w:ind w:right="18"/>
              <w:rPr>
                <w:rFonts w:asciiTheme="majorHAnsi" w:eastAsia="Times New Roman" w:hAnsiTheme="majorHAnsi" w:cstheme="majorHAnsi"/>
                <w:sz w:val="20"/>
                <w:szCs w:val="20"/>
              </w:rPr>
            </w:pPr>
            <w:commentRangeStart w:id="1"/>
            <w:r w:rsidRPr="006B2476">
              <w:rPr>
                <w:rFonts w:asciiTheme="majorHAnsi" w:eastAsia="Times New Roman" w:hAnsiTheme="majorHAnsi" w:cstheme="majorHAnsi"/>
                <w:color w:val="000000"/>
                <w:sz w:val="20"/>
                <w:szCs w:val="20"/>
              </w:rPr>
              <w:t xml:space="preserve">Generic Bubble </w:t>
            </w:r>
            <w:commentRangeEnd w:id="1"/>
            <w:r w:rsidR="00DF2AA7">
              <w:rPr>
                <w:rStyle w:val="CommentReference"/>
              </w:rPr>
              <w:commentReference w:id="1"/>
            </w:r>
            <w:r w:rsidRPr="006B2476">
              <w:rPr>
                <w:rFonts w:asciiTheme="majorHAnsi" w:eastAsia="Times New Roman" w:hAnsiTheme="majorHAnsi" w:cstheme="majorHAnsi"/>
                <w:color w:val="000000"/>
                <w:sz w:val="20"/>
                <w:szCs w:val="20"/>
              </w:rPr>
              <w:t>Authority</w:t>
            </w:r>
          </w:p>
        </w:tc>
        <w:tc>
          <w:tcPr>
            <w:tcW w:w="5670" w:type="dxa"/>
            <w:tcBorders>
              <w:left w:val="nil"/>
              <w:bottom w:val="dotted" w:sz="4" w:space="0" w:color="auto"/>
            </w:tcBorders>
            <w:shd w:val="clear" w:color="auto" w:fill="B1DDCD"/>
            <w:hideMark/>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All pollutants allowed to be addressed by alternative emission controls.  Can be done by way of all permit types.  Requirement for actual emission reduction not specified.</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907C33" w:rsidRDefault="004344A1" w:rsidP="00907C33">
            <w:pPr>
              <w:ind w:left="0"/>
              <w:rPr>
                <w:rFonts w:asciiTheme="majorHAnsi" w:hAnsiTheme="majorHAnsi" w:cstheme="majorHAnsi"/>
                <w:sz w:val="20"/>
                <w:szCs w:val="20"/>
              </w:rPr>
            </w:pPr>
            <w:r w:rsidRPr="006B2476">
              <w:rPr>
                <w:rFonts w:asciiTheme="majorHAnsi" w:hAnsiTheme="majorHAnsi" w:cstheme="majorHAnsi"/>
                <w:sz w:val="20"/>
                <w:szCs w:val="20"/>
              </w:rPr>
              <w:t xml:space="preserve">Specify procedures for VOC and </w:t>
            </w:r>
            <w:proofErr w:type="spellStart"/>
            <w:r w:rsidRPr="006B2476">
              <w:rPr>
                <w:rFonts w:asciiTheme="majorHAnsi" w:hAnsiTheme="majorHAnsi" w:cstheme="majorHAnsi"/>
                <w:sz w:val="20"/>
                <w:szCs w:val="20"/>
              </w:rPr>
              <w:t>NOx</w:t>
            </w:r>
            <w:proofErr w:type="spellEnd"/>
            <w:r w:rsidRPr="006B2476">
              <w:rPr>
                <w:rFonts w:asciiTheme="majorHAnsi" w:hAnsiTheme="majorHAnsi" w:cstheme="majorHAnsi"/>
                <w:sz w:val="20"/>
                <w:szCs w:val="20"/>
              </w:rPr>
              <w:t xml:space="preserve"> only. Other pollutants require SIP revision.  Specify only done through most complex (high fee) ACDP or Title V.</w:t>
            </w:r>
            <w:r w:rsidR="00907C33">
              <w:rPr>
                <w:rFonts w:asciiTheme="majorHAnsi" w:hAnsiTheme="majorHAnsi" w:cstheme="majorHAnsi"/>
                <w:sz w:val="20"/>
                <w:szCs w:val="20"/>
              </w:rPr>
              <w:t xml:space="preserve">  </w:t>
            </w:r>
            <w:r w:rsidRPr="006B2476">
              <w:rPr>
                <w:rFonts w:asciiTheme="majorHAnsi" w:hAnsiTheme="majorHAnsi" w:cstheme="majorHAnsi"/>
                <w:sz w:val="20"/>
                <w:szCs w:val="20"/>
              </w:rPr>
              <w:t>Require actual emission rate reduction - not just production, throughput or hours of operation.</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3A2F55" w:rsidRPr="006726CF" w:rsidTr="006E5AFC">
        <w:trPr>
          <w:trHeight w:val="20"/>
        </w:trPr>
        <w:tc>
          <w:tcPr>
            <w:tcW w:w="10440" w:type="dxa"/>
            <w:gridSpan w:val="2"/>
            <w:tcBorders>
              <w:bottom w:val="dotted" w:sz="4" w:space="0" w:color="auto"/>
            </w:tcBorders>
            <w:shd w:val="clear" w:color="auto" w:fill="B1DDCD"/>
            <w:hideMark/>
          </w:tcPr>
          <w:p w:rsidR="003A2F55" w:rsidRPr="006B2476" w:rsidRDefault="004344A1"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Vaguely worded requirements, construction levels contain inappropriate emission level triggers.  Construction ACDPs not required/specified.  Followed by ACDP sources but not Title V. No de</w:t>
            </w:r>
            <w:ins w:id="2"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xml:space="preserve"> levels. Netting basis not mentioned at all. Significant Emission Rate (SER) only at Levels III and IV.</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4344A1"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Construction types specified and quantified more clearly.  </w:t>
            </w:r>
          </w:p>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Issuance and approval procedures including Construction ACDP specified.  Both ACDP and Title V sources would follow same rules.  Use de</w:t>
            </w:r>
            <w:ins w:id="3"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netting basis and SERs to create a more clear set of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w:t>
            </w:r>
            <w:r w:rsidRPr="00392D50">
              <w:rPr>
                <w:sz w:val="20"/>
                <w:szCs w:val="20"/>
              </w:rPr>
              <w:lastRenderedPageBreak/>
              <w:t xml:space="preserve">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 xml:space="preserve">Generic </w:t>
            </w:r>
            <w:commentRangeStart w:id="4"/>
            <w:r w:rsidRPr="006B2476">
              <w:rPr>
                <w:rFonts w:asciiTheme="majorHAnsi" w:hAnsiTheme="majorHAnsi" w:cstheme="majorHAnsi"/>
                <w:sz w:val="20"/>
                <w:szCs w:val="20"/>
              </w:rPr>
              <w:t>PSEL</w:t>
            </w:r>
            <w:commentRangeEnd w:id="4"/>
            <w:r w:rsidR="00C9761A">
              <w:rPr>
                <w:rStyle w:val="CommentReference"/>
              </w:rPr>
              <w:commentReference w:id="4"/>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Site-specific PSEL set at existing facility maximum even though Agency must allow any increases up to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Generic PSEL set at one ton below SER.  Eliminates need for Agency to revise permits for increases below SER.  Essential element of General ACDP.</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Make PSEL into a Potential to Emit (PTE) limit</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PSELs based upon calendar year.  Creates opportunity for an </w:t>
            </w:r>
            <w:proofErr w:type="spellStart"/>
            <w:r w:rsidRPr="006B2476">
              <w:rPr>
                <w:rFonts w:asciiTheme="majorHAnsi" w:hAnsiTheme="majorHAnsi" w:cstheme="majorHAnsi"/>
                <w:sz w:val="20"/>
                <w:szCs w:val="20"/>
              </w:rPr>
              <w:t>exceedance</w:t>
            </w:r>
            <w:proofErr w:type="spellEnd"/>
            <w:r w:rsidRPr="006B2476">
              <w:rPr>
                <w:rFonts w:asciiTheme="majorHAnsi" w:hAnsiTheme="majorHAnsi" w:cstheme="majorHAnsi"/>
                <w:sz w:val="20"/>
                <w:szCs w:val="20"/>
              </w:rPr>
              <w:t xml:space="preserve"> of the PSEL on an annual basis depending on production fluctuations.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based upon a rolling 12-month period.  Limits emissions and requires tracking for each 12-month rolling period.</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Eliminate Short Term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set on annual as well as hourly, daily, weekly basis even though there is no short-term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Eliminate short term PSEL where there is no basis to deny increase.  </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Unassigned Emissions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Term not defined in LRAPA rules.  Netting basis not defined.  Large amounts of unassigned emissions remain available for use by </w:t>
            </w:r>
            <w:proofErr w:type="spellStart"/>
            <w:r w:rsidRPr="006B2476">
              <w:rPr>
                <w:rFonts w:asciiTheme="majorHAnsi" w:hAnsiTheme="majorHAnsi" w:cstheme="majorHAnsi"/>
                <w:sz w:val="20"/>
                <w:szCs w:val="20"/>
              </w:rPr>
              <w:t>permittees</w:t>
            </w:r>
            <w:proofErr w:type="spellEnd"/>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terms and create a consistent way of establishing and managing unassigned emissions and netting basis.  Reduce unassigned emissions by 2013 (freeze baseline).</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New Source Review Streamlining</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Netting Basis</w:t>
            </w:r>
          </w:p>
        </w:tc>
      </w:tr>
      <w:tr w:rsidR="006E5AFC" w:rsidRPr="006E5AFC"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Term is undefined.</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 to clarify permitting requirements to emission increases.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Emission Reduction Credits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Create new Title. Clarify and expand requirements.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Requirements for Offsets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 xml:space="preserve">Include in new Air Quality Analysis requirements.  Create and expand more detailed requirements.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Alternatives to preconstruction monitoring [proposed as Section 40-0050-4.A.4)]</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6B2476">
            <w:pPr>
              <w:ind w:left="0"/>
              <w:rPr>
                <w:sz w:val="20"/>
                <w:szCs w:val="20"/>
              </w:rPr>
            </w:pPr>
            <w:r w:rsidRPr="005F633D">
              <w:rPr>
                <w:sz w:val="20"/>
                <w:szCs w:val="20"/>
              </w:rPr>
              <w:t xml:space="preserve">Sources can substitute post construction monitoring for pre-construction monitoring if source can demonstrate increase would not cause or contribute to </w:t>
            </w:r>
            <w:proofErr w:type="spellStart"/>
            <w:r w:rsidRPr="005F633D">
              <w:rPr>
                <w:sz w:val="20"/>
                <w:szCs w:val="20"/>
              </w:rPr>
              <w:t>exceedance</w:t>
            </w:r>
            <w:proofErr w:type="spellEnd"/>
            <w:r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Pr="005F633D">
              <w:rPr>
                <w:sz w:val="20"/>
                <w:szCs w:val="20"/>
              </w:rPr>
              <w:t xml:space="preserve">for all averaging times.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Ambient impacts from ozone precursors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 xml:space="preserve">Move and create more detailed requirements in new Title- Air Quality Analysis Requirements (Title 40).  Create equation to evaluate VOC and </w:t>
            </w:r>
            <w:proofErr w:type="spellStart"/>
            <w:r w:rsidRPr="005F633D">
              <w:rPr>
                <w:rFonts w:asciiTheme="majorHAnsi" w:hAnsiTheme="majorHAnsi" w:cstheme="majorHAnsi"/>
                <w:sz w:val="20"/>
                <w:szCs w:val="20"/>
              </w:rPr>
              <w:t>NOx</w:t>
            </w:r>
            <w:proofErr w:type="spellEnd"/>
            <w:r w:rsidRPr="005F633D">
              <w:rPr>
                <w:rFonts w:asciiTheme="majorHAnsi" w:hAnsiTheme="majorHAnsi" w:cstheme="majorHAnsi"/>
                <w:sz w:val="20"/>
                <w:szCs w:val="20"/>
              </w:rPr>
              <w:t xml:space="preserve"> impacts on sensitive ozone areas.  Necessary to satisfy EPA requirements for ozone precursors.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Public Participation</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Definitions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Move certain definitions from specific titles to clarify that they apply to all rules.  Remove certain definitions from general title but retain in specific title. Add new terms and redefine certain definitions where needed including “Regulated Pollutant”.</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 xml:space="preserve">the DEQ and LRAPA State Implementation Plans (SIPs) including request for federal delegation of certain rule </w:t>
            </w:r>
            <w:r>
              <w:rPr>
                <w:sz w:val="20"/>
                <w:szCs w:val="20"/>
              </w:rPr>
              <w:lastRenderedPageBreak/>
              <w:t>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lastRenderedPageBreak/>
              <w:t>Delist Compounds as VOCs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083B9A" w:rsidP="00C276F0">
            <w:pPr>
              <w:ind w:left="0"/>
              <w:rPr>
                <w:sz w:val="20"/>
                <w:szCs w:val="20"/>
              </w:rPr>
            </w:pPr>
            <w:r w:rsidRPr="005F633D">
              <w:rPr>
                <w:sz w:val="20"/>
                <w:szCs w:val="20"/>
              </w:rPr>
              <w:t>Add several compounds EPA has determined to have negligible reactivity and very low potential to form ground-level ozone.</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Excess Emissions Revisions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Clarifies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SO2 Averaging (LRAPA 32-070)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Change standard to 3-hour average.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 xml:space="preserve">the DEQ and LRAPA State Implementation Plans (SIPs) including request for federal delegation of certain rule </w:t>
            </w:r>
            <w:r>
              <w:rPr>
                <w:sz w:val="20"/>
                <w:szCs w:val="20"/>
              </w:rPr>
              <w:lastRenderedPageBreak/>
              <w:t>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lastRenderedPageBreak/>
              <w:t>Revisions to Incinerator Rules (Title 30)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Clarify standards by including </w:t>
            </w:r>
            <w:r w:rsidR="000824F7">
              <w:rPr>
                <w:sz w:val="20"/>
                <w:szCs w:val="20"/>
              </w:rPr>
              <w:t xml:space="preserve">specific </w:t>
            </w:r>
            <w:r w:rsidRPr="005F633D">
              <w:rPr>
                <w:sz w:val="20"/>
                <w:szCs w:val="20"/>
              </w:rPr>
              <w:t>dates of applicability in the requirements and eliminating terms “new” and “existing”.</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Kraft Pulp Mill Rules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General provisions specify standards are based upon square </w:t>
            </w:r>
            <w:r w:rsidRPr="005F633D">
              <w:rPr>
                <w:sz w:val="20"/>
                <w:szCs w:val="20"/>
              </w:rPr>
              <w:lastRenderedPageBreak/>
              <w:t>foot of product, but in subsequent sections specify hourly emission limits based upon maximum production rates.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Clarify requirements by specifying basis for each standard in each separate section.</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Changes to Emission Standards for Specific Industries.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5F633D" w:rsidP="005F633D">
            <w:pPr>
              <w:ind w:left="0"/>
              <w:rPr>
                <w:rFonts w:asciiTheme="majorHAnsi" w:hAnsiTheme="majorHAnsi" w:cstheme="majorHAnsi"/>
                <w:sz w:val="20"/>
                <w:szCs w:val="20"/>
              </w:rPr>
            </w:pPr>
            <w:r w:rsidRPr="005F633D">
              <w:rPr>
                <w:rFonts w:asciiTheme="majorHAnsi" w:hAnsiTheme="majorHAnsi" w:cstheme="majorHAnsi"/>
                <w:sz w:val="20"/>
                <w:szCs w:val="20"/>
              </w:rPr>
              <w:t>Correct typos.  Adopt most current NSPS and NESHAPs by reference.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21B31" w:rsidRPr="005F633D" w:rsidTr="00F21B31">
        <w:trPr>
          <w:trHeight w:val="20"/>
        </w:trPr>
        <w:tc>
          <w:tcPr>
            <w:tcW w:w="10440" w:type="dxa"/>
            <w:gridSpan w:val="2"/>
            <w:tcBorders>
              <w:bottom w:val="dotted" w:sz="4" w:space="0" w:color="auto"/>
            </w:tcBorders>
            <w:shd w:val="clear" w:color="auto" w:fill="B1DDCD"/>
            <w:hideMark/>
          </w:tcPr>
          <w:p w:rsidR="00F21B31" w:rsidRPr="005F633D" w:rsidRDefault="00F21B31" w:rsidP="00F21B31">
            <w:pPr>
              <w:pStyle w:val="ListParagraph"/>
              <w:numPr>
                <w:ilvl w:val="0"/>
                <w:numId w:val="6"/>
              </w:numPr>
              <w:ind w:right="18"/>
              <w:rPr>
                <w:rFonts w:eastAsia="Times New Roman"/>
                <w:sz w:val="20"/>
                <w:szCs w:val="20"/>
              </w:rPr>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F21B31">
        <w:trPr>
          <w:trHeight w:val="20"/>
        </w:trPr>
        <w:tc>
          <w:tcPr>
            <w:tcW w:w="4770" w:type="dxa"/>
            <w:tcBorders>
              <w:top w:val="dotted" w:sz="4" w:space="0" w:color="auto"/>
              <w:right w:val="dotted" w:sz="4" w:space="0" w:color="auto"/>
            </w:tcBorders>
            <w:shd w:val="clear" w:color="auto" w:fill="auto"/>
            <w:hideMark/>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Upon EQC adoption, DEQ would submit the rules to EPA to update the DEQ and LRAPA State Implementation Plans (SIPs) including request for federal delegation of certain rule aspects, where appropriate.</w:t>
            </w:r>
          </w:p>
          <w:p w:rsidR="00F21B31" w:rsidRPr="003175EF" w:rsidRDefault="00F21B31" w:rsidP="00F21B31">
            <w:pPr>
              <w:ind w:left="18"/>
              <w:rPr>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DEQ will know the goals of this rulemaking have been addressed when EPA reviews and approves the delegation request, changes to DEQ’s and LRAPA’s state implementation plan.</w:t>
            </w:r>
          </w:p>
        </w:tc>
      </w:tr>
    </w:tbl>
    <w:p w:rsidR="0068173F" w:rsidRDefault="0068173F"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5"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5"/>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lastRenderedPageBreak/>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82074B">
        <w:rPr>
          <w:rFonts w:asciiTheme="minorHAnsi" w:hAnsiTheme="minorHAnsi" w:cstheme="minorHAnsi"/>
        </w:rPr>
        <w:tab/>
      </w:r>
      <w:r>
        <w:rPr>
          <w:rFonts w:ascii="Times New Roman" w:eastAsia="Times New Roman" w:hAnsi="Times New Roman" w:cs="Times New Roman"/>
          <w:bCs/>
        </w:rPr>
        <w:t>Program Operations section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00D71612">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00A71084" w:rsidRPr="00A71084">
        <w:rPr>
          <w:rFonts w:asciiTheme="minorHAnsi" w:hAnsiTheme="minorHAnsi" w:cstheme="minorHAnsi"/>
        </w:rPr>
        <w:t>468A.135</w:t>
      </w:r>
      <w:ins w:id="6" w:author="ACurtis" w:date="2013-10-28T17:16:00Z">
        <w:r w:rsidR="00361D44">
          <w:rPr>
            <w:rFonts w:asciiTheme="minorHAnsi" w:hAnsiTheme="minorHAnsi" w:cstheme="minorHAnsi"/>
          </w:rPr>
          <w:t xml:space="preserve">, </w:t>
        </w:r>
        <w:r w:rsidR="00361D44">
          <w:t>468A.025</w:t>
        </w:r>
      </w:ins>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98048B"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98048B">
        <w:rPr>
          <w:rFonts w:ascii="Times New Roman" w:eastAsia="Times New Roman" w:hAnsi="Times New Roman" w:cs="Times New Roman"/>
          <w:bCs/>
          <w:color w:val="000000" w:themeColor="text1"/>
        </w:rPr>
        <w:t>LRAPA Title 13</w:t>
      </w:r>
      <w:r w:rsidR="008B136C">
        <w:rPr>
          <w:rFonts w:ascii="Times New Roman" w:eastAsia="Times New Roman" w:hAnsi="Times New Roman" w:cs="Times New Roman"/>
          <w:bCs/>
          <w:color w:val="000000" w:themeColor="text1"/>
        </w:rPr>
        <w:t>,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A71084" w:rsidP="002C3A6B">
      <w:pPr>
        <w:tabs>
          <w:tab w:val="left" w:pos="1440"/>
          <w:tab w:val="left" w:pos="5310"/>
        </w:tabs>
        <w:ind w:left="720" w:right="18"/>
        <w:rPr>
          <w:rFonts w:ascii="Times New Roman" w:eastAsia="Times New Roman" w:hAnsi="Times New Roman" w:cs="Times New Roman"/>
          <w:bCs/>
          <w:color w:val="000000" w:themeColor="text1"/>
        </w:rPr>
      </w:pPr>
      <w:r w:rsidRPr="00A71084">
        <w:rPr>
          <w:rFonts w:asciiTheme="minorHAnsi" w:hAnsiTheme="minorHAnsi" w:cstheme="minorHAnsi"/>
        </w:rPr>
        <w:t xml:space="preserve">ORS </w:t>
      </w:r>
      <w:r w:rsidR="00D71612">
        <w:rPr>
          <w:rFonts w:ascii="Times New Roman" w:eastAsia="Times New Roman" w:hAnsi="Times New Roman" w:cs="Times New Roman"/>
          <w:bCs/>
          <w:color w:val="000000" w:themeColor="text1"/>
        </w:rPr>
        <w:t xml:space="preserve">468A.020, </w:t>
      </w:r>
      <w:r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00D71612">
        <w:rPr>
          <w:rFonts w:asciiTheme="minorHAnsi" w:hAnsiTheme="minorHAnsi" w:cstheme="minorHAnsi"/>
        </w:rPr>
        <w:t>SB235, 2007</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7"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7"/>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RDefault="003175EF" w:rsidP="003175EF">
      <w:pPr>
        <w:spacing w:after="120"/>
        <w:ind w:left="360" w:right="18"/>
        <w:outlineLvl w:val="0"/>
        <w:rPr>
          <w:rFonts w:ascii="Times New Roman" w:eastAsia="Times New Roman" w:hAnsi="Times New Roman" w:cs="Times New Roman"/>
          <w:color w:val="504938"/>
          <w:sz w:val="22"/>
          <w:szCs w:val="22"/>
          <w:u w:val="single"/>
        </w:rPr>
      </w:pPr>
    </w:p>
    <w:p w:rsidR="00A71084" w:rsidRPr="00FF532D" w:rsidRDefault="00A71084" w:rsidP="00A71084">
      <w:pPr>
        <w:ind w:left="360"/>
        <w:rPr>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8B136C" w:rsidRPr="008B136C" w:rsidRDefault="0027111E" w:rsidP="008B136C">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Tr="009C0424">
        <w:tc>
          <w:tcPr>
            <w:tcW w:w="5850" w:type="dxa"/>
            <w:tcBorders>
              <w:top w:val="double" w:sz="4" w:space="0" w:color="auto"/>
              <w:lef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8B136C" w:rsidTr="009C0424">
        <w:tc>
          <w:tcPr>
            <w:tcW w:w="5850" w:type="dxa"/>
            <w:tcBorders>
              <w:left w:val="double" w:sz="4" w:space="0" w:color="auto"/>
            </w:tcBorders>
          </w:tcPr>
          <w:p w:rsidR="008B136C" w:rsidRPr="004B6248" w:rsidRDefault="008B136C" w:rsidP="009C0424">
            <w:pPr>
              <w:ind w:left="0" w:right="18"/>
              <w:rPr>
                <w:rFonts w:asciiTheme="majorHAnsi" w:eastAsia="Times New Roman" w:hAnsiTheme="majorHAnsi" w:cstheme="majorHAnsi"/>
                <w:bCs/>
                <w:color w:val="000000" w:themeColor="text1"/>
                <w:sz w:val="20"/>
                <w:szCs w:val="20"/>
              </w:rPr>
            </w:pPr>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SPPIT1]</w:t>
            </w: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SPPIT2]</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AG]</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hAnsiTheme="majorHAnsi" w:cstheme="majorHAnsi"/>
                <w:sz w:val="20"/>
                <w:szCs w:val="20"/>
              </w:rPr>
              <w:t>OAR 340 divisions: 200, 202, 204, 208, 209, 210, 212, 214, 216, 222, 224, 225, 226, 230, 234, 236, 238, 244, and 268.</w:t>
            </w:r>
          </w:p>
        </w:tc>
        <w:tc>
          <w:tcPr>
            <w:tcW w:w="4320" w:type="dxa"/>
            <w:tcBorders>
              <w:right w:val="double" w:sz="4" w:space="0" w:color="auto"/>
            </w:tcBorders>
          </w:tcPr>
          <w:p w:rsidR="008B136C" w:rsidRPr="004B6248" w:rsidRDefault="008B486F" w:rsidP="009C0424">
            <w:pPr>
              <w:ind w:left="72" w:right="18"/>
              <w:rPr>
                <w:rFonts w:asciiTheme="majorHAnsi" w:eastAsia="Times New Roman" w:hAnsiTheme="majorHAnsi" w:cstheme="majorHAnsi"/>
                <w:bCs/>
                <w:color w:val="000000" w:themeColor="text1"/>
                <w:sz w:val="20"/>
                <w:szCs w:val="20"/>
              </w:rPr>
            </w:pPr>
            <w:hyperlink r:id="rId12" w:history="1">
              <w:r w:rsidR="008B136C" w:rsidRPr="004B6248">
                <w:rPr>
                  <w:rStyle w:val="Hyperlink"/>
                  <w:rFonts w:asciiTheme="majorHAnsi" w:hAnsiTheme="majorHAnsi" w:cstheme="majorHAnsi"/>
                  <w:sz w:val="20"/>
                  <w:szCs w:val="20"/>
                </w:rPr>
                <w:t>http://www.deq.state.or.us/regulations/rules.htm</w:t>
              </w:r>
            </w:hyperlink>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LRAPA Rules and Regulations </w:t>
            </w:r>
          </w:p>
        </w:tc>
        <w:tc>
          <w:tcPr>
            <w:tcW w:w="4320" w:type="dxa"/>
            <w:tcBorders>
              <w:right w:val="double" w:sz="4" w:space="0" w:color="auto"/>
            </w:tcBorders>
          </w:tcPr>
          <w:p w:rsidR="008B136C" w:rsidRPr="004B6248" w:rsidRDefault="008B486F" w:rsidP="009C0424">
            <w:pPr>
              <w:ind w:left="72" w:right="18"/>
              <w:rPr>
                <w:rFonts w:asciiTheme="majorHAnsi" w:eastAsia="Times New Roman" w:hAnsiTheme="majorHAnsi" w:cstheme="majorHAnsi"/>
                <w:bCs/>
                <w:color w:val="000000" w:themeColor="text1"/>
                <w:sz w:val="20"/>
                <w:szCs w:val="20"/>
              </w:rPr>
            </w:pPr>
            <w:hyperlink r:id="rId13" w:history="1">
              <w:r w:rsidR="008B136C" w:rsidRPr="004B6248">
                <w:rPr>
                  <w:rStyle w:val="Hyperlink"/>
                  <w:rFonts w:asciiTheme="majorHAnsi" w:hAnsiTheme="majorHAnsi" w:cstheme="majorHAnsi"/>
                  <w:sz w:val="20"/>
                  <w:szCs w:val="20"/>
                </w:rPr>
                <w:t>http://www.lrapa.org/rules_and_regulations/index.php</w:t>
              </w:r>
            </w:hyperlink>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spacing w:line="240" w:lineRule="atLeast"/>
              <w:ind w:left="0"/>
              <w:outlineLvl w:val="1"/>
              <w:rPr>
                <w:rFonts w:asciiTheme="majorHAnsi" w:eastAsia="Times New Roman" w:hAnsiTheme="majorHAnsi" w:cstheme="majorHAnsi"/>
                <w:bCs/>
                <w:color w:val="000000"/>
                <w:kern w:val="36"/>
                <w:sz w:val="20"/>
                <w:szCs w:val="20"/>
                <w:highlight w:val="lightGray"/>
              </w:rPr>
            </w:pPr>
            <w:r w:rsidRPr="004B6248">
              <w:rPr>
                <w:rFonts w:asciiTheme="majorHAnsi" w:eastAsia="Times New Roman" w:hAnsiTheme="majorHAnsi" w:cstheme="majorHAnsi"/>
                <w:b/>
                <w:bCs/>
                <w:color w:val="000000" w:themeColor="text1"/>
                <w:sz w:val="20"/>
                <w:szCs w:val="20"/>
              </w:rPr>
              <w:t>2008 Permit Streamlining</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hAnsiTheme="majorHAnsi" w:cstheme="majorHAnsi"/>
                <w:sz w:val="20"/>
                <w:szCs w:val="20"/>
                <w:highlight w:val="lightGray"/>
              </w:rPr>
            </w:pP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LRAPA Board October 14, 2008 Agenda Item 6 - Adoption of Proposed Industrial Permitting Rules (Including Attachments ‘A’ – ‘J’)</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ind w:left="0"/>
              <w:rPr>
                <w:rFonts w:asciiTheme="majorHAnsi" w:hAnsiTheme="majorHAnsi" w:cstheme="majorHAnsi"/>
                <w:b/>
                <w:sz w:val="20"/>
                <w:szCs w:val="20"/>
              </w:rPr>
            </w:pPr>
            <w:r w:rsidRPr="004B6248">
              <w:rPr>
                <w:rFonts w:asciiTheme="majorHAnsi" w:hAnsiTheme="majorHAnsi" w:cstheme="majorHAnsi"/>
                <w:b/>
                <w:sz w:val="20"/>
                <w:szCs w:val="20"/>
              </w:rPr>
              <w:t>2010 Permit Streamlining Corrections</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p>
        </w:tc>
      </w:tr>
      <w:tr w:rsidR="008B136C" w:rsidTr="009C0424">
        <w:tc>
          <w:tcPr>
            <w:tcW w:w="5850" w:type="dxa"/>
            <w:tcBorders>
              <w:left w:val="double" w:sz="4" w:space="0" w:color="auto"/>
              <w:bottom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 xml:space="preserve">LRAPA Board January 12, 2010 Agenda Item 7 - Adoption of </w:t>
            </w:r>
            <w:r w:rsidRPr="004B6248">
              <w:rPr>
                <w:rFonts w:asciiTheme="majorHAnsi" w:hAnsiTheme="majorHAnsi" w:cstheme="majorHAnsi"/>
                <w:sz w:val="20"/>
                <w:szCs w:val="20"/>
              </w:rPr>
              <w:lastRenderedPageBreak/>
              <w:t>Proposed Industrial Permitting Rules (Including Attachments ‘A’ and ‘B’)</w:t>
            </w:r>
          </w:p>
        </w:tc>
        <w:tc>
          <w:tcPr>
            <w:tcW w:w="4320" w:type="dxa"/>
            <w:tcBorders>
              <w:bottom w:val="double" w:sz="4" w:space="0" w:color="auto"/>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lastRenderedPageBreak/>
              <w:t>[Insert link]</w:t>
            </w:r>
          </w:p>
        </w:tc>
      </w:tr>
    </w:tbl>
    <w:p w:rsidR="008B136C" w:rsidRDefault="008B136C"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4F35CD">
      <w:pPr>
        <w:ind w:left="360"/>
        <w:rPr>
          <w:rFonts w:asciiTheme="minorHAnsi" w:hAnsiTheme="minorHAnsi" w:cstheme="minorHAnsi"/>
        </w:rPr>
      </w:pP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lastRenderedPageBreak/>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lastRenderedPageBreak/>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lastRenderedPageBreak/>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lastRenderedPageBreak/>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8" w:name="RANGE!A226:B243"/>
      <w:bookmarkStart w:id="9" w:name="_GoBack"/>
      <w:bookmarkEnd w:id="8"/>
    </w:p>
    <w:bookmarkEnd w:id="9"/>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4"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RDefault="00AA3E3D" w:rsidP="008563E4">
      <w:pPr>
        <w:pStyle w:val="DEQTEXTforFACTSHEET"/>
        <w:ind w:left="720"/>
        <w:rPr>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changes 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rFonts w:asciiTheme="minorHAnsi" w:hAnsiTheme="minorHAnsi" w:cstheme="minorHAnsi"/>
          <w:sz w:val="22"/>
          <w:szCs w:val="22"/>
        </w:rPr>
      </w:pPr>
    </w:p>
    <w:p w:rsidR="008563E4" w:rsidRDefault="00AA3E3D" w:rsidP="008563E4">
      <w:pPr>
        <w:ind w:left="720"/>
        <w:rPr>
          <w:rFonts w:asciiTheme="minorHAnsi" w:hAnsiTheme="minorHAnsi" w:cstheme="minorHAnsi"/>
          <w:sz w:val="22"/>
          <w:szCs w:val="22"/>
        </w:rPr>
      </w:pPr>
      <w:r w:rsidRPr="00E879E0">
        <w:rPr>
          <w:rFonts w:asciiTheme="minorHAnsi" w:hAnsiTheme="minorHAnsi" w:cstheme="minorHAnsi"/>
          <w:sz w:val="22"/>
          <w:szCs w:val="22"/>
        </w:rPr>
        <w:t>EPA determined that there would be no significant impact on small businesses when it exempted HFE-7300 from the definition of Volatile Organic Compounds.  LRAPA’s adoption of this exemption would likely benefit businesses by reducing regulatory burden and allowing expanded use of a commercially valuable compound.</w:t>
      </w:r>
    </w:p>
    <w:p w:rsidR="008563E4" w:rsidRDefault="008563E4" w:rsidP="008563E4">
      <w:pPr>
        <w:ind w:left="720" w:right="18"/>
        <w:rPr>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 xml:space="preserve">A fiscal impact this proposed rulemaking may have on state agencies is requiring submittal of excess emission reports within fifteen days of their occurrence rather than semi-annually.  This requirement could impose a slight additional cost to state-owned facilities with air permits if they experience excess emissions.  However, LRAPA expects this impact to be negligible </w:t>
      </w:r>
      <w:r w:rsidR="00E879E0" w:rsidRPr="00E879E0">
        <w:rPr>
          <w:rFonts w:asciiTheme="minorHAnsi" w:hAnsiTheme="minorHAnsi" w:cstheme="minorHAnsi"/>
          <w:spacing w:val="-3"/>
          <w:sz w:val="22"/>
          <w:szCs w:val="22"/>
        </w:rPr>
        <w:lastRenderedPageBreak/>
        <w:t>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5"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Also, the proposed process to assess impacts due to ozone precursors potentially could require sources between 30 and 100 kilometers from a nonattainment or maintenance area to evaluate their </w:t>
      </w:r>
      <w:r w:rsidRPr="00E879E0">
        <w:rPr>
          <w:rFonts w:asciiTheme="minorHAnsi" w:hAnsiTheme="minorHAnsi" w:cstheme="minorHAnsi"/>
          <w:spacing w:val="-3"/>
          <w:sz w:val="22"/>
          <w:szCs w:val="22"/>
        </w:rPr>
        <w:lastRenderedPageBreak/>
        <w:t>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6"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Agenda Item G, Revisions to Point Source Air 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lastRenderedPageBreak/>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8B486F" w:rsidP="00EE38EA">
            <w:pPr>
              <w:ind w:left="72" w:right="18"/>
              <w:rPr>
                <w:rFonts w:asciiTheme="minorHAnsi" w:eastAsia="Times New Roman" w:hAnsiTheme="minorHAnsi" w:cstheme="minorHAnsi"/>
                <w:bCs/>
                <w:color w:val="000000" w:themeColor="text1"/>
              </w:rPr>
            </w:pPr>
            <w:hyperlink r:id="rId17"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8B486F" w:rsidP="00EE38EA">
            <w:pPr>
              <w:ind w:left="72" w:right="18"/>
              <w:rPr>
                <w:rFonts w:asciiTheme="minorHAnsi" w:eastAsia="Times New Roman" w:hAnsiTheme="minorHAnsi" w:cstheme="minorHAnsi"/>
                <w:bCs/>
                <w:color w:val="000000" w:themeColor="text1"/>
              </w:rPr>
            </w:pPr>
            <w:hyperlink r:id="rId18"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Pr="0098048B" w:rsidRDefault="00A00404"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RDefault="0021652A" w:rsidP="0021652A">
      <w:pPr>
        <w:ind w:left="720" w:right="18"/>
        <w:outlineLvl w:val="0"/>
        <w:rPr>
          <w:rFonts w:asciiTheme="minorHAnsi" w:eastAsia="Times New Roman" w:hAnsiTheme="minorHAnsi" w:cstheme="minorHAnsi"/>
        </w:rPr>
      </w:pPr>
      <w:r w:rsidRPr="0098048B">
        <w:rPr>
          <w:rFonts w:asciiTheme="minorHAnsi" w:hAnsiTheme="minorHAnsi" w:cstheme="minorHAnsi"/>
        </w:rPr>
        <w:t>The Industrial Rules Subcommittee would like to thank George Davis from the Oregon Department of Environmental Quality and the LRAPA staff for helping the Subcommittee with information and materials.</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F824B8" w:rsidP="00FF532D">
      <w:pPr>
        <w:ind w:left="720" w:right="18"/>
        <w:rPr>
          <w:rFonts w:asciiTheme="minorHAnsi" w:eastAsia="Times New Roman" w:hAnsiTheme="minorHAnsi" w:cstheme="minorHAnsi"/>
          <w:bCs/>
        </w:rPr>
      </w:pPr>
      <w:r w:rsidRPr="0098048B">
        <w:rPr>
          <w:rFonts w:asciiTheme="minorHAnsi" w:eastAsia="Times New Roman" w:hAnsiTheme="minorHAnsi" w:cstheme="minorHAnsi"/>
          <w:bCs/>
          <w:color w:val="000000" w:themeColor="text1"/>
        </w:rPr>
        <w:t xml:space="preserve">To comply with </w:t>
      </w:r>
      <w:hyperlink r:id="rId19" w:history="1">
        <w:r w:rsidRPr="0098048B">
          <w:rPr>
            <w:rStyle w:val="Hyperlink"/>
            <w:rFonts w:asciiTheme="minorHAnsi" w:eastAsia="Times New Roman" w:hAnsiTheme="minorHAnsi" w:cstheme="minorHAnsi"/>
            <w:bCs/>
          </w:rPr>
          <w:t>ORS 183.534</w:t>
        </w:r>
      </w:hyperlink>
      <w:r w:rsidRPr="0098048B">
        <w:rPr>
          <w:rFonts w:asciiTheme="minorHAnsi" w:eastAsia="Times New Roman" w:hAnsiTheme="minorHAnsi" w:cstheme="minorHAnsi"/>
          <w:bCs/>
          <w:color w:val="000000" w:themeColor="text1"/>
        </w:rPr>
        <w:t xml:space="preserve">, </w:t>
      </w:r>
      <w:r w:rsidR="00E368CA" w:rsidRPr="0098048B">
        <w:rPr>
          <w:rFonts w:asciiTheme="minorHAnsi" w:eastAsia="Times New Roman" w:hAnsiTheme="minorHAnsi" w:cstheme="minorHAnsi"/>
          <w:bCs/>
        </w:rPr>
        <w:t>DEQ determined the proposed rule</w:t>
      </w:r>
      <w:r w:rsidRPr="0098048B">
        <w:rPr>
          <w:rFonts w:asciiTheme="minorHAnsi" w:eastAsia="Times New Roman" w:hAnsiTheme="minorHAnsi" w:cstheme="minorHAnsi"/>
          <w:bCs/>
        </w:rPr>
        <w:t xml:space="preserve">s </w:t>
      </w:r>
      <w:r w:rsidR="0085122C" w:rsidRPr="0098048B">
        <w:rPr>
          <w:rFonts w:asciiTheme="minorHAnsi" w:eastAsia="Times New Roman" w:hAnsiTheme="minorHAnsi" w:cstheme="minorHAnsi"/>
          <w:bCs/>
        </w:rPr>
        <w:t>would</w:t>
      </w:r>
      <w:r w:rsidR="00E368CA" w:rsidRPr="0098048B">
        <w:rPr>
          <w:rFonts w:asciiTheme="minorHAnsi" w:eastAsia="Times New Roman" w:hAnsiTheme="minorHAnsi" w:cstheme="minorHAnsi"/>
          <w:bCs/>
        </w:rPr>
        <w:t xml:space="preserve"> </w:t>
      </w:r>
      <w:r w:rsidR="0085122C" w:rsidRPr="0098048B">
        <w:rPr>
          <w:rFonts w:asciiTheme="minorHAnsi" w:eastAsia="Times New Roman" w:hAnsiTheme="minorHAnsi" w:cstheme="minorHAnsi"/>
          <w:bCs/>
        </w:rPr>
        <w:t>have no</w:t>
      </w:r>
      <w:r w:rsidR="00E368CA" w:rsidRPr="0098048B">
        <w:rPr>
          <w:rFonts w:asciiTheme="minorHAnsi" w:eastAsia="Times New Roman" w:hAnsiTheme="minorHAnsi" w:cstheme="minorHAnsi"/>
          <w:bCs/>
        </w:rPr>
        <w:t xml:space="preserve"> effect on the development cost of a 6,000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foot parcel and construction of a 1,200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AA26D5" w:rsidRPr="0098048B">
        <w:rPr>
          <w:rFonts w:asciiTheme="minorHAnsi" w:eastAsia="Times New Roman" w:hAnsiTheme="minorHAnsi" w:cstheme="minorHAnsi"/>
          <w:bCs/>
        </w:rPr>
        <w:t xml:space="preserve">foot detached, </w:t>
      </w:r>
      <w:r w:rsidR="00E368CA" w:rsidRPr="0098048B">
        <w:rPr>
          <w:rFonts w:asciiTheme="minorHAnsi" w:eastAsia="Times New Roman" w:hAnsiTheme="minorHAnsi" w:cstheme="minorHAnsi"/>
          <w:bCs/>
        </w:rPr>
        <w:t>single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 xml:space="preserve">family dwelling on that parcel. </w:t>
      </w:r>
      <w:r w:rsidR="006A2CE3" w:rsidRPr="0098048B">
        <w:rPr>
          <w:rFonts w:asciiTheme="minorHAnsi" w:eastAsia="Times New Roman" w:hAnsiTheme="minorHAnsi" w:cstheme="minorHAnsi"/>
          <w:bCs/>
        </w:rPr>
        <w:t xml:space="preserve">The overall fee changes are neutral for all </w:t>
      </w:r>
      <w:proofErr w:type="spellStart"/>
      <w:r w:rsidR="006A2CE3" w:rsidRPr="0098048B">
        <w:rPr>
          <w:rFonts w:asciiTheme="minorHAnsi" w:eastAsia="Times New Roman" w:hAnsiTheme="minorHAnsi" w:cstheme="minorHAnsi"/>
          <w:bCs/>
        </w:rPr>
        <w:t>permittees</w:t>
      </w:r>
      <w:proofErr w:type="spellEnd"/>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0"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1"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2"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lastRenderedPageBreak/>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10" w:name="ADIOC"/>
      <w:bookmarkStart w:id="11" w:name="ADCEC"/>
      <w:bookmarkStart w:id="12" w:name="ADUFG"/>
      <w:bookmarkStart w:id="13" w:name="ADDT"/>
      <w:bookmarkEnd w:id="10"/>
      <w:bookmarkEnd w:id="11"/>
      <w:bookmarkEnd w:id="12"/>
      <w:bookmarkEnd w:id="13"/>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14" w:name="AlternativesConsidered"/>
      <w:bookmarkStart w:id="15"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4"/>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5"/>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8B486F"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6" w:name="AdvisoryCommittee"/>
      <w:r w:rsidR="00C9239E">
        <w:rPr>
          <w:rFonts w:asciiTheme="majorHAnsi" w:eastAsia="Times New Roman" w:hAnsiTheme="majorHAnsi" w:cstheme="majorHAnsi"/>
          <w:bCs/>
          <w:color w:val="504938"/>
          <w:sz w:val="22"/>
          <w:szCs w:val="22"/>
        </w:rPr>
        <w:t>Advisory committee</w:t>
      </w:r>
      <w:bookmarkEnd w:id="16"/>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RDefault="008B136C" w:rsidP="008B136C">
      <w:pPr>
        <w:ind w:left="720" w:right="18"/>
        <w:outlineLvl w:val="0"/>
        <w:rPr>
          <w:rFonts w:asciiTheme="minorHAnsi" w:hAnsiTheme="minorHAnsi"/>
          <w:sz w:val="22"/>
        </w:rPr>
      </w:pPr>
      <w:r w:rsidRPr="00765768">
        <w:rPr>
          <w:rFonts w:asciiTheme="minorHAnsi" w:hAnsiTheme="minorHAnsi"/>
          <w:sz w:val="22"/>
        </w:rPr>
        <w:t>The Industrial Rules Subcommittee would like to thank George Davis from the Oregon Department of Environmental Quality and the LRAPA staff for helping the Subcommittee with information and materials.</w:t>
      </w:r>
    </w:p>
    <w:p w:rsidR="008B136C" w:rsidRPr="00765768" w:rsidRDefault="008B136C" w:rsidP="008B136C">
      <w:pPr>
        <w:ind w:left="360" w:right="18"/>
        <w:outlineLvl w:val="0"/>
        <w:rPr>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lastRenderedPageBreak/>
        <w:t xml:space="preserve">New Source Review Stringency Analysis –Supports and expands on Item 9 of the Rule Stringency Analysis. </w:t>
      </w:r>
      <w:r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guide format – </w:t>
      </w:r>
      <w:proofErr w:type="spellStart"/>
      <w:r w:rsidR="00F97D7C">
        <w:rPr>
          <w:rFonts w:asciiTheme="minorHAnsi" w:eastAsia="Times New Roman" w:hAnsiTheme="minorHAnsi" w:cstheme="minorHAnsi"/>
          <w:color w:val="000000"/>
          <w:highlight w:val="lightGray"/>
        </w:rPr>
        <w:t>mmm</w:t>
      </w:r>
      <w:proofErr w:type="spellEnd"/>
      <w:r w:rsidR="00F97D7C">
        <w:rPr>
          <w:rFonts w:asciiTheme="minorHAnsi" w:eastAsia="Times New Roman" w:hAnsiTheme="minorHAnsi" w:cstheme="minorHAnsi"/>
          <w:color w:val="000000"/>
          <w:highlight w:val="lightGray"/>
        </w:rPr>
        <w:t xml:space="preserve"> dd, </w:t>
      </w:r>
      <w:proofErr w:type="spellStart"/>
      <w:r w:rsidR="00F97D7C">
        <w:rPr>
          <w:rFonts w:asciiTheme="minorHAnsi" w:eastAsia="Times New Roman" w:hAnsiTheme="minorHAnsi" w:cstheme="minorHAnsi"/>
          <w:color w:val="000000"/>
          <w:highlight w:val="lightGray"/>
        </w:rPr>
        <w:t>yyyy</w:t>
      </w:r>
      <w:proofErr w:type="spellEnd"/>
      <w:r w:rsidR="00F97D7C">
        <w:rPr>
          <w:rFonts w:asciiTheme="minorHAnsi" w:eastAsia="Times New Roman" w:hAnsiTheme="minorHAnsi" w:cstheme="minorHAnsi"/>
          <w:color w:val="000000"/>
          <w:highlight w:val="lightGray"/>
        </w:rPr>
        <w:t>,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proofErr w:type="spellStart"/>
      <w:r w:rsidR="0096369D" w:rsidRPr="00F97D7C">
        <w:rPr>
          <w:rFonts w:asciiTheme="minorHAnsi" w:eastAsia="Times New Roman" w:hAnsiTheme="minorHAnsi" w:cstheme="minorHAnsi"/>
          <w:bCs/>
          <w:color w:val="000000" w:themeColor="text1"/>
          <w:highlight w:val="lightGray"/>
        </w:rPr>
        <w:t>mmm</w:t>
      </w:r>
      <w:proofErr w:type="spellEnd"/>
      <w:r w:rsidR="0096369D" w:rsidRPr="00F97D7C">
        <w:rPr>
          <w:rFonts w:asciiTheme="minorHAnsi" w:eastAsia="Times New Roman" w:hAnsiTheme="minorHAnsi" w:cstheme="minorHAnsi"/>
          <w:bCs/>
          <w:color w:val="000000" w:themeColor="text1"/>
          <w:highlight w:val="lightGray"/>
        </w:rPr>
        <w:t xml:space="preserve"> </w:t>
      </w:r>
      <w:r w:rsidR="00FE52C2" w:rsidRPr="00F97D7C">
        <w:rPr>
          <w:rFonts w:asciiTheme="minorHAnsi" w:eastAsia="Times New Roman" w:hAnsiTheme="minorHAnsi" w:cstheme="minorHAnsi"/>
          <w:bCs/>
          <w:color w:val="000000" w:themeColor="text1"/>
          <w:highlight w:val="lightGray"/>
        </w:rPr>
        <w:t>dd</w:t>
      </w:r>
      <w:r w:rsidR="0096369D" w:rsidRPr="00F97D7C">
        <w:rPr>
          <w:rFonts w:asciiTheme="minorHAnsi" w:eastAsia="Times New Roman" w:hAnsiTheme="minorHAnsi" w:cstheme="minorHAnsi"/>
          <w:bCs/>
          <w:color w:val="000000" w:themeColor="text1"/>
          <w:highlight w:val="lightGray"/>
        </w:rPr>
        <w:t xml:space="preserve">, </w:t>
      </w:r>
      <w:proofErr w:type="spellStart"/>
      <w:r w:rsidR="0096369D"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proofErr w:type="spellStart"/>
      <w:r w:rsidR="00FE52C2" w:rsidRPr="00F97D7C">
        <w:rPr>
          <w:rFonts w:asciiTheme="minorHAnsi" w:eastAsia="Times New Roman" w:hAnsiTheme="minorHAnsi" w:cstheme="minorHAnsi"/>
          <w:bCs/>
          <w:color w:val="000000" w:themeColor="text1"/>
          <w:highlight w:val="lightGray"/>
        </w:rPr>
        <w:t>mmm</w:t>
      </w:r>
      <w:proofErr w:type="spellEnd"/>
      <w:r w:rsidR="00FE52C2" w:rsidRPr="00F97D7C">
        <w:rPr>
          <w:rFonts w:asciiTheme="minorHAnsi" w:eastAsia="Times New Roman" w:hAnsiTheme="minorHAnsi" w:cstheme="minorHAnsi"/>
          <w:bCs/>
          <w:color w:val="000000" w:themeColor="text1"/>
          <w:highlight w:val="lightGray"/>
        </w:rPr>
        <w:t xml:space="preserve"> dd, </w:t>
      </w:r>
      <w:proofErr w:type="spellStart"/>
      <w:r w:rsidR="00FE52C2"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B136C" w:rsidRPr="00765768" w:rsidRDefault="008B136C" w:rsidP="008B136C">
      <w:pPr>
        <w:spacing w:after="120"/>
        <w:ind w:left="720" w:right="18"/>
        <w:outlineLvl w:val="0"/>
        <w:rPr>
          <w:rFonts w:asciiTheme="minorHAnsi" w:hAnsiTheme="minorHAnsi"/>
          <w:color w:val="000000" w:themeColor="text1"/>
          <w:sz w:val="22"/>
        </w:rPr>
      </w:pPr>
      <w:proofErr w:type="gramStart"/>
      <w:r w:rsidRPr="00765768">
        <w:rPr>
          <w:rFonts w:asciiTheme="minorHAnsi" w:hAnsiTheme="minorHAnsi"/>
          <w:color w:val="000000" w:themeColor="text1"/>
          <w:sz w:val="22"/>
        </w:rPr>
        <w:t>The October 2013</w:t>
      </w:r>
      <w:r w:rsidRPr="00765768">
        <w:rPr>
          <w:rFonts w:asciiTheme="minorHAnsi" w:hAnsiTheme="minorHAnsi"/>
          <w:i/>
          <w:color w:val="000000" w:themeColor="text1"/>
          <w:sz w:val="22"/>
        </w:rPr>
        <w:t xml:space="preserve"> </w:t>
      </w:r>
      <w:hyperlink r:id="rId28"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Hearing for this rulemaking.</w:t>
      </w:r>
      <w:proofErr w:type="gramEnd"/>
      <w:r w:rsidRPr="00765768">
        <w:rPr>
          <w:rFonts w:asciiTheme="minorHAnsi" w:hAnsiTheme="minorHAnsi"/>
          <w:color w:val="000000" w:themeColor="text1"/>
          <w:sz w:val="22"/>
        </w:rPr>
        <w:t xml:space="preserve">  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29" w:history="1">
        <w:r w:rsidRPr="00765768">
          <w:rPr>
            <w:rFonts w:asciiTheme="minorHAnsi" w:hAnsiTheme="minorHAnsi"/>
            <w:color w:val="000000"/>
            <w:sz w:val="22"/>
            <w:u w:val="single"/>
          </w:rPr>
          <w:t>http://www.deq.state.or.us/regulations/proposedrules.htm</w:t>
        </w:r>
      </w:hyperlink>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 xml:space="preserve"> to:</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Approximately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through GovDelivery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highlight w:val="lightGray"/>
        </w:rPr>
        <w:t>###</w:t>
      </w:r>
      <w:proofErr w:type="gramStart"/>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rPr>
        <w:t>stakeholders</w:t>
      </w:r>
      <w:proofErr w:type="gramEnd"/>
      <w:r w:rsidRPr="00765768">
        <w:rPr>
          <w:rFonts w:asciiTheme="minorHAnsi" w:hAnsiTheme="minorHAnsi"/>
          <w:color w:val="000000" w:themeColor="text1"/>
          <w:sz w:val="22"/>
        </w:rPr>
        <w:t xml:space="preserve"> on the </w:t>
      </w:r>
      <w:r w:rsidRPr="00765768">
        <w:rPr>
          <w:rFonts w:asciiTheme="minorHAnsi" w:hAnsiTheme="minorHAnsi"/>
          <w:color w:val="000000" w:themeColor="text1"/>
          <w:sz w:val="22"/>
          <w:highlight w:val="lightGray"/>
        </w:rPr>
        <w:t>Enter other mailing lists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30"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Members of the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sz w:val="22"/>
          <w:highlight w:val="lightGray"/>
        </w:rPr>
        <w:t>Enter other notices here</w:t>
      </w:r>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4F35CD" w:rsidRDefault="004F35CD" w:rsidP="004F35CD">
      <w:pPr>
        <w:ind w:left="720" w:right="1008"/>
        <w:outlineLvl w:val="0"/>
        <w:rPr>
          <w:rFonts w:asciiTheme="minorHAnsi" w:eastAsia="Times New Roman" w:hAnsiTheme="minorHAnsi" w:cstheme="minorHAnsi"/>
          <w:bCs/>
          <w:color w:val="000000" w:themeColor="text1"/>
        </w:rPr>
      </w:pP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4F35CD" w:rsidRDefault="004F35CD" w:rsidP="004F35CD">
      <w:pPr>
        <w:ind w:left="720" w:right="1008"/>
        <w:outlineLvl w:val="0"/>
        <w:rPr>
          <w:rFonts w:asciiTheme="minorHAnsi" w:eastAsia="Times New Roman" w:hAnsiTheme="minorHAnsi" w:cstheme="minorHAnsi"/>
          <w:color w:val="70481C" w:themeColor="accent6" w:themeShade="80"/>
        </w:rPr>
      </w:pPr>
    </w:p>
    <w:p w:rsidR="004F35CD" w:rsidRDefault="004F35CD" w:rsidP="004F35CD">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lastRenderedPageBreak/>
        <w:t>Before taking public comment and a</w:t>
      </w:r>
      <w:r w:rsidRPr="008B7C03">
        <w:rPr>
          <w:rFonts w:ascii="Times New Roman" w:hAnsi="Times New Roman" w:cs="Times New Roman"/>
        </w:rPr>
        <w:t xml:space="preserve">ccording to </w:t>
      </w:r>
      <w:hyperlink r:id="rId31"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32"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4F35CD" w:rsidRDefault="004F35CD" w:rsidP="004F35CD">
      <w:pPr>
        <w:tabs>
          <w:tab w:val="left" w:pos="-1440"/>
          <w:tab w:val="left" w:pos="-720"/>
        </w:tabs>
        <w:suppressAutoHyphens/>
        <w:ind w:left="720" w:right="1008"/>
        <w:rPr>
          <w:rFonts w:ascii="Times New Roman" w:hAnsi="Times New Roman" w:cs="Times New Roman"/>
        </w:rPr>
      </w:pPr>
    </w:p>
    <w:p w:rsidR="004F35CD" w:rsidRPr="008B7C03" w:rsidRDefault="004F35CD" w:rsidP="004F35CD">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8B136C" w:rsidRDefault="008B136C" w:rsidP="008B136C">
      <w:pPr>
        <w:ind w:left="0" w:right="18"/>
        <w:rPr>
          <w:b/>
          <w:color w:val="1F497D"/>
          <w:sz w:val="28"/>
        </w:rPr>
      </w:pPr>
    </w:p>
    <w:p w:rsidR="008B136C" w:rsidRDefault="008B136C" w:rsidP="008B136C">
      <w:pPr>
        <w:ind w:left="0" w:right="18"/>
        <w:rPr>
          <w:b/>
          <w:bCs/>
          <w:color w:val="1F497D"/>
          <w:sz w:val="28"/>
          <w:szCs w:val="28"/>
        </w:rPr>
      </w:pPr>
      <w:r w:rsidRPr="00CB7D27">
        <w:rPr>
          <w:b/>
          <w:bCs/>
          <w:color w:val="1F497D"/>
          <w:sz w:val="28"/>
          <w:szCs w:val="28"/>
        </w:rPr>
        <w:object w:dxaOrig="5268" w:dyaOrig="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87.5pt" o:ole="">
            <v:imagedata r:id="rId33" o:title=""/>
          </v:shape>
          <o:OLEObject Type="Embed" ProgID="Excel.Sheet.12" ShapeID="_x0000_i1025" DrawAspect="Content" ObjectID="_1444485791" r:id="rId34"/>
        </w:object>
      </w:r>
    </w:p>
    <w:p w:rsidR="008B136C" w:rsidRDefault="008B136C" w:rsidP="008B136C">
      <w:pPr>
        <w:spacing w:after="120"/>
        <w:ind w:left="0" w:right="18"/>
        <w:outlineLvl w:val="0"/>
        <w:rPr>
          <w:rFonts w:asciiTheme="majorHAnsi" w:hAnsiTheme="majorHAnsi"/>
          <w:color w:val="504938"/>
          <w:sz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comment period will close on October 18, 2013</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ROYS" w:date="2013-08-13T12:19:00Z" w:initials="P">
    <w:p w:rsidR="00DF2AA7" w:rsidRDefault="00DF2AA7">
      <w:pPr>
        <w:pStyle w:val="CommentText"/>
      </w:pPr>
      <w:r>
        <w:rPr>
          <w:rStyle w:val="CommentReference"/>
        </w:rPr>
        <w:annotationRef/>
      </w:r>
      <w:r>
        <w:t>Is this a standard comment?  This seems more like updating permitting rules to reflect actions already taken by LRAPA in the past.  At the very least, the significant changes are limited to LRAPA, not DEQ rules as a whole, and the LRAPA rules are effectively adopting previously adopted DEQ rules?</w:t>
      </w:r>
    </w:p>
  </w:comment>
  <w:comment w:id="1" w:author="JROYS" w:date="2013-08-13T12:20:00Z" w:initials="P">
    <w:p w:rsidR="00DF2AA7" w:rsidRDefault="00DF2AA7">
      <w:pPr>
        <w:pStyle w:val="CommentText"/>
      </w:pPr>
      <w:r>
        <w:rPr>
          <w:rStyle w:val="CommentReference"/>
        </w:rPr>
        <w:annotationRef/>
      </w:r>
      <w:r>
        <w:t>Is this a term of art?</w:t>
      </w:r>
    </w:p>
  </w:comment>
  <w:comment w:id="4" w:author="JROYS" w:date="2013-08-13T12:28:00Z" w:initials="P">
    <w:p w:rsidR="00C9761A" w:rsidRDefault="00C9761A">
      <w:pPr>
        <w:pStyle w:val="CommentText"/>
      </w:pPr>
      <w:r>
        <w:rPr>
          <w:rStyle w:val="CommentReference"/>
        </w:rPr>
        <w:annotationRef/>
      </w:r>
      <w:r>
        <w:t>Is this spelled out anywhere?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4"/>
  </w:num>
  <w:num w:numId="5">
    <w:abstractNumId w:val="1"/>
  </w:num>
  <w:num w:numId="6">
    <w:abstractNumId w:val="14"/>
  </w:num>
  <w:num w:numId="7">
    <w:abstractNumId w:val="7"/>
  </w:num>
  <w:num w:numId="8">
    <w:abstractNumId w:val="17"/>
  </w:num>
  <w:num w:numId="9">
    <w:abstractNumId w:val="18"/>
  </w:num>
  <w:num w:numId="10">
    <w:abstractNumId w:val="11"/>
  </w:num>
  <w:num w:numId="11">
    <w:abstractNumId w:val="5"/>
  </w:num>
  <w:num w:numId="12">
    <w:abstractNumId w:val="9"/>
  </w:num>
  <w:num w:numId="13">
    <w:abstractNumId w:val="19"/>
  </w:num>
  <w:num w:numId="14">
    <w:abstractNumId w:val="8"/>
  </w:num>
  <w:num w:numId="15">
    <w:abstractNumId w:val="2"/>
  </w:num>
  <w:num w:numId="16">
    <w:abstractNumId w:val="13"/>
  </w:num>
  <w:num w:numId="17">
    <w:abstractNumId w:val="10"/>
  </w:num>
  <w:num w:numId="18">
    <w:abstractNumId w:val="16"/>
  </w:num>
  <w:num w:numId="19">
    <w:abstractNumId w:val="3"/>
  </w:num>
  <w:num w:numId="2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4C7B"/>
    <w:rsid w:val="00035352"/>
    <w:rsid w:val="000418FA"/>
    <w:rsid w:val="000453E0"/>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BA5"/>
    <w:rsid w:val="00174C57"/>
    <w:rsid w:val="00176D61"/>
    <w:rsid w:val="00177E50"/>
    <w:rsid w:val="0018159F"/>
    <w:rsid w:val="00182C5A"/>
    <w:rsid w:val="00184DD2"/>
    <w:rsid w:val="00186295"/>
    <w:rsid w:val="00187781"/>
    <w:rsid w:val="0019133B"/>
    <w:rsid w:val="0019385F"/>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6F31"/>
    <w:rsid w:val="00361D44"/>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FBC"/>
    <w:rsid w:val="0052145B"/>
    <w:rsid w:val="00522209"/>
    <w:rsid w:val="0052233E"/>
    <w:rsid w:val="00526006"/>
    <w:rsid w:val="00526E3C"/>
    <w:rsid w:val="005365B3"/>
    <w:rsid w:val="005409B2"/>
    <w:rsid w:val="00540AFE"/>
    <w:rsid w:val="00542DD8"/>
    <w:rsid w:val="00545A38"/>
    <w:rsid w:val="0055208D"/>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C07"/>
    <w:rsid w:val="006A0E65"/>
    <w:rsid w:val="006A2188"/>
    <w:rsid w:val="006A2CE3"/>
    <w:rsid w:val="006B2476"/>
    <w:rsid w:val="006B481C"/>
    <w:rsid w:val="006C0AFF"/>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50464"/>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0396"/>
    <w:rsid w:val="00B51723"/>
    <w:rsid w:val="00B52430"/>
    <w:rsid w:val="00B54125"/>
    <w:rsid w:val="00B60B1B"/>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C68"/>
    <w:rsid w:val="00CB5339"/>
    <w:rsid w:val="00CB54E6"/>
    <w:rsid w:val="00CB7D27"/>
    <w:rsid w:val="00CC74F4"/>
    <w:rsid w:val="00CD2E4D"/>
    <w:rsid w:val="00CD4EFE"/>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F2AA7"/>
    <w:rsid w:val="00DF543F"/>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0729"/>
    <w:rsid w:val="00E713C9"/>
    <w:rsid w:val="00E71C3C"/>
    <w:rsid w:val="00E7412E"/>
    <w:rsid w:val="00E77F18"/>
    <w:rsid w:val="00E82718"/>
    <w:rsid w:val="00E82D32"/>
    <w:rsid w:val="00E82FA7"/>
    <w:rsid w:val="00E8584B"/>
    <w:rsid w:val="00E879E0"/>
    <w:rsid w:val="00E90978"/>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rules_and_regulations/index.php" TargetMode="External"/><Relationship Id="rId18" Type="http://schemas.openxmlformats.org/officeDocument/2006/relationships/hyperlink" Target="http://www.lrapa.org/rules_and_regulations/index.php"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hyperlink" Target="http://www.deq.state.or.us/regulations/rules.htm" TargetMode="External"/><Relationship Id="rId17" Type="http://schemas.openxmlformats.org/officeDocument/2006/relationships/hyperlink" Target="http://www.deq.state.or.us/regulations/rules.htm" TargetMode="External"/><Relationship Id="rId25" Type="http://schemas.openxmlformats.org/officeDocument/2006/relationships/hyperlink" Target="http://deq05/intranet/working/guidance/stateAgencyCoordinationProgram10-MSD-009.pdf"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468a.html" TargetMode="External"/><Relationship Id="rId29"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600/oar_660/660_tofc.html"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97.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1.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Supporting 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EC9CB-5337-4B10-9853-A22A1C0B302C}"/>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6A88C938-F499-4F57-9E1C-191503C55065}"/>
</file>

<file path=docProps/app.xml><?xml version="1.0" encoding="utf-8"?>
<Properties xmlns="http://schemas.openxmlformats.org/officeDocument/2006/extended-properties" xmlns:vt="http://schemas.openxmlformats.org/officeDocument/2006/docPropsVTypes">
  <Template>Normal</Template>
  <TotalTime>0</TotalTime>
  <Pages>23</Pages>
  <Words>8989</Words>
  <Characters>51240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2013-10-29T00:16:00Z</dcterms:created>
  <dcterms:modified xsi:type="dcterms:W3CDTF">2013-10-29T00:16:00Z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