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42CBE" w:rsidP="00B34CF8">
      <w:pPr>
        <w:spacing w:after="120"/>
        <w:ind w:left="0" w:right="18"/>
        <w:outlineLvl w:val="0"/>
        <w:rPr>
          <w:rFonts w:ascii="Times New Roman" w:eastAsia="Times New Roman" w:hAnsi="Times New Roman" w:cs="Times New Roman"/>
          <w:color w:val="000000"/>
        </w:rPr>
      </w:pPr>
      <w:r w:rsidRPr="00342CB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88143B" w:rsidRPr="00C74D58" w:rsidRDefault="0088143B" w:rsidP="006751BA">
                  <w:pPr>
                    <w:tabs>
                      <w:tab w:val="left" w:pos="16582"/>
                    </w:tabs>
                    <w:ind w:left="0"/>
                    <w:jc w:val="center"/>
                    <w:rPr>
                      <w:rFonts w:ascii="Times New Roman" w:eastAsia="Times New Roman" w:hAnsi="Times New Roman" w:cs="Times New Roman"/>
                      <w:b/>
                      <w:color w:val="000000"/>
                    </w:rPr>
                  </w:pPr>
                </w:p>
                <w:p w:rsidR="0088143B" w:rsidRPr="00C74D58" w:rsidRDefault="0088143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8143B" w:rsidRPr="00C74D58" w:rsidRDefault="0088143B" w:rsidP="006751BA">
                  <w:pPr>
                    <w:tabs>
                      <w:tab w:val="left" w:pos="908"/>
                      <w:tab w:val="left" w:pos="16582"/>
                    </w:tabs>
                    <w:ind w:left="108"/>
                    <w:jc w:val="center"/>
                    <w:rPr>
                      <w:rFonts w:ascii="Times New Roman" w:eastAsia="Times New Roman" w:hAnsi="Times New Roman" w:cs="Times New Roman"/>
                      <w:b/>
                      <w:color w:val="000000"/>
                    </w:rPr>
                  </w:pPr>
                </w:p>
                <w:p w:rsidR="0088143B" w:rsidRPr="00A019B4" w:rsidRDefault="0088143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August 1, 2013</w:t>
                  </w:r>
                </w:p>
                <w:p w:rsidR="0088143B" w:rsidRPr="00A019B4" w:rsidRDefault="0088143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522209">
        <w:rPr>
          <w:rFonts w:asciiTheme="majorHAnsi" w:eastAsia="Times New Roman" w:hAnsiTheme="majorHAnsi" w:cstheme="majorHAnsi"/>
          <w:b/>
          <w:color w:val="000000"/>
          <w:sz w:val="22"/>
          <w:szCs w:val="22"/>
        </w:rPr>
        <w:t xml:space="preserve">Permit Streamlining Rules - </w:t>
      </w:r>
      <w:r w:rsidR="0079608B">
        <w:rPr>
          <w:rFonts w:asciiTheme="majorHAnsi" w:eastAsia="Times New Roman" w:hAnsiTheme="majorHAnsi" w:cstheme="majorHAnsi"/>
          <w:b/>
          <w:color w:val="000000"/>
          <w:sz w:val="22"/>
          <w:szCs w:val="22"/>
        </w:rPr>
        <w:t>Lane Regional Air Protection Agency (LRAPA</w:t>
      </w:r>
      <w:r w:rsidR="000B44C6">
        <w:rPr>
          <w:rFonts w:asciiTheme="majorHAnsi" w:eastAsia="Times New Roman" w:hAnsiTheme="majorHAnsi" w:cstheme="majorHAnsi"/>
          <w:b/>
          <w:color w:val="000000"/>
          <w:sz w:val="22"/>
          <w:szCs w:val="22"/>
        </w:rPr>
        <w:t xml:space="preserve">) </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79608B" w:rsidP="00B34CF8">
      <w:pPr>
        <w:ind w:left="1080" w:right="18"/>
        <w:outlineLvl w:val="0"/>
        <w:rPr>
          <w:rFonts w:ascii="Times New Roman" w:eastAsia="Times New Roman" w:hAnsi="Times New Roman" w:cs="Times New Roman"/>
        </w:rPr>
      </w:pPr>
      <w:r w:rsidRPr="000B44C6">
        <w:rPr>
          <w:rFonts w:asciiTheme="minorHAnsi" w:hAnsiTheme="minorHAnsi" w:cstheme="minorHAnsi"/>
          <w:spacing w:val="-3"/>
        </w:rPr>
        <w:t xml:space="preserve">These changes will bring LRAPA’s </w:t>
      </w:r>
      <w:r w:rsidR="00FF532D">
        <w:rPr>
          <w:rFonts w:asciiTheme="minorHAnsi" w:hAnsiTheme="minorHAnsi" w:cstheme="minorHAnsi"/>
          <w:spacing w:val="-3"/>
        </w:rPr>
        <w:t xml:space="preserve">rules in line with state rules.  </w:t>
      </w:r>
      <w:r w:rsidRPr="000B44C6">
        <w:rPr>
          <w:rFonts w:asciiTheme="minorHAnsi" w:hAnsiTheme="minorHAnsi" w:cstheme="minorHAnsi"/>
          <w:spacing w:val="-3"/>
        </w:rPr>
        <w:t>This rulemaking also proposes to adopt changes LRAPA air quality regulations to better coordinate with and meet state and federal requirements.  These changes we are now proposing are the same changes the DEQ mad</w:t>
      </w:r>
      <w:r w:rsidR="000B44C6" w:rsidRPr="000B44C6">
        <w:rPr>
          <w:rFonts w:asciiTheme="minorHAnsi" w:hAnsiTheme="minorHAnsi" w:cstheme="minorHAnsi"/>
          <w:spacing w:val="-3"/>
        </w:rPr>
        <w:t xml:space="preserve">e </w:t>
      </w:r>
      <w:r w:rsidRPr="000B44C6">
        <w:rPr>
          <w:rFonts w:asciiTheme="minorHAnsi" w:hAnsiTheme="minorHAnsi" w:cstheme="minorHAnsi"/>
          <w:spacing w:val="-3"/>
        </w:rPr>
        <w:t xml:space="preserve">in 2001 for </w:t>
      </w:r>
      <w:r w:rsidR="00445E94">
        <w:rPr>
          <w:rFonts w:asciiTheme="minorHAnsi" w:hAnsiTheme="minorHAnsi" w:cstheme="minorHAnsi"/>
          <w:spacing w:val="-3"/>
        </w:rPr>
        <w:t>‘</w:t>
      </w:r>
      <w:r w:rsidRPr="000B44C6">
        <w:rPr>
          <w:rFonts w:asciiTheme="minorHAnsi" w:hAnsiTheme="minorHAnsi" w:cstheme="minorHAnsi"/>
          <w:spacing w:val="-3"/>
        </w:rPr>
        <w:t>SPPIT 1</w:t>
      </w:r>
      <w:r w:rsidR="00445E94">
        <w:rPr>
          <w:rFonts w:asciiTheme="minorHAnsi" w:hAnsiTheme="minorHAnsi" w:cstheme="minorHAnsi"/>
          <w:spacing w:val="-3"/>
        </w:rPr>
        <w:t>’</w:t>
      </w:r>
      <w:r w:rsidR="003175EF">
        <w:rPr>
          <w:rFonts w:asciiTheme="minorHAnsi" w:hAnsiTheme="minorHAnsi" w:cstheme="minorHAnsi"/>
          <w:spacing w:val="-3"/>
        </w:rPr>
        <w:t xml:space="preserve">, </w:t>
      </w:r>
      <w:r w:rsidRPr="000B44C6">
        <w:rPr>
          <w:rFonts w:asciiTheme="minorHAnsi" w:hAnsiTheme="minorHAnsi" w:cstheme="minorHAnsi"/>
          <w:spacing w:val="-3"/>
        </w:rPr>
        <w:t xml:space="preserve">in 2007 for </w:t>
      </w:r>
      <w:r w:rsidR="00445E94">
        <w:rPr>
          <w:rFonts w:asciiTheme="minorHAnsi" w:hAnsiTheme="minorHAnsi" w:cstheme="minorHAnsi"/>
          <w:spacing w:val="-3"/>
        </w:rPr>
        <w:t>‘</w:t>
      </w:r>
      <w:r w:rsidRPr="000B44C6">
        <w:rPr>
          <w:rFonts w:asciiTheme="minorHAnsi" w:hAnsiTheme="minorHAnsi" w:cstheme="minorHAnsi"/>
          <w:spacing w:val="-3"/>
        </w:rPr>
        <w:t>SPPIT 2</w:t>
      </w:r>
      <w:r w:rsidR="00445E94">
        <w:rPr>
          <w:rFonts w:asciiTheme="minorHAnsi" w:hAnsiTheme="minorHAnsi" w:cstheme="minorHAnsi"/>
          <w:spacing w:val="-3"/>
        </w:rPr>
        <w:t>’</w:t>
      </w:r>
      <w:r w:rsidR="003175EF">
        <w:rPr>
          <w:rFonts w:asciiTheme="minorHAnsi" w:hAnsiTheme="minorHAnsi" w:cstheme="minorHAnsi"/>
          <w:spacing w:val="-3"/>
        </w:rPr>
        <w:t>, and 2008 for agriculture exemption clarification</w:t>
      </w:r>
      <w:r w:rsidR="00FF532D">
        <w:rPr>
          <w:rFonts w:asciiTheme="minorHAnsi" w:hAnsiTheme="minorHAnsi" w:cstheme="minorHAnsi"/>
          <w:spacing w:val="-3"/>
        </w:rPr>
        <w:t xml:space="preserve">.  </w:t>
      </w:r>
      <w:r w:rsidRPr="000B44C6">
        <w:rPr>
          <w:rFonts w:asciiTheme="minorHAnsi" w:hAnsiTheme="minorHAnsi" w:cstheme="minorHAnsi"/>
          <w:spacing w:val="-3"/>
        </w:rPr>
        <w:t>These state and federal requirements include the National Emission Standards for Hazardous Air Pollutants (NESHAPs), New Sourc</w:t>
      </w:r>
      <w:r w:rsidR="00FF532D">
        <w:rPr>
          <w:rFonts w:asciiTheme="minorHAnsi" w:hAnsiTheme="minorHAnsi" w:cstheme="minorHAnsi"/>
          <w:spacing w:val="-3"/>
        </w:rPr>
        <w:t xml:space="preserve">e Performance Standards (NSPS).  </w:t>
      </w:r>
      <w:r w:rsidRPr="000B44C6">
        <w:rPr>
          <w:rFonts w:asciiTheme="minorHAnsi" w:hAnsiTheme="minorHAnsi" w:cstheme="minorHAnsi"/>
          <w:spacing w:val="-3"/>
        </w:rPr>
        <w:t>LRAPA initiated many of the proposed rule changes to streamline the permitting program and simplify compliance requirements.</w:t>
      </w:r>
      <w:r w:rsidR="00174BA5">
        <w:rPr>
          <w:rFonts w:asciiTheme="minorHAnsi" w:hAnsiTheme="minorHAnsi" w:cstheme="minorHAnsi"/>
          <w:spacing w:val="-3"/>
        </w:rPr>
        <w:t xml:space="preserve">  The proposed rules also include subsequent</w:t>
      </w:r>
      <w:r w:rsidR="00455080">
        <w:rPr>
          <w:rFonts w:asciiTheme="minorHAnsi" w:hAnsiTheme="minorHAnsi" w:cstheme="minorHAnsi"/>
          <w:spacing w:val="-3"/>
        </w:rPr>
        <w:t xml:space="preserve"> (in January 2010)</w:t>
      </w:r>
      <w:r w:rsidR="00174BA5">
        <w:rPr>
          <w:rFonts w:asciiTheme="minorHAnsi" w:hAnsiTheme="minorHAnsi" w:cstheme="minorHAnsi"/>
          <w:spacing w:val="-3"/>
        </w:rPr>
        <w:t xml:space="preserve"> minor corrections or adjustments to the rule changes 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0B44C6"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rule changes were adopted by the LRAPA Board of Directors </w:t>
      </w:r>
      <w:r w:rsidR="00455080">
        <w:rPr>
          <w:rFonts w:ascii="Times New Roman" w:eastAsia="Times New Roman" w:hAnsi="Times New Roman" w:cs="Times New Roman"/>
          <w:color w:val="000000"/>
        </w:rPr>
        <w:t xml:space="preserve">(Board) </w:t>
      </w:r>
      <w:r>
        <w:rPr>
          <w:rFonts w:ascii="Times New Roman" w:eastAsia="Times New Roman" w:hAnsi="Times New Roman" w:cs="Times New Roman"/>
          <w:color w:val="000000"/>
        </w:rPr>
        <w:t xml:space="preserve">on October 14, 2008 and January 12, 2010.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9C6844" w:rsidRPr="00B15DF7" w:rsidRDefault="009C6844" w:rsidP="00875153">
      <w:pPr>
        <w:ind w:left="0" w:right="18"/>
        <w:rPr>
          <w:rFonts w:ascii="Times New Roman" w:eastAsia="Times New Roman" w:hAnsi="Times New Roman" w:cs="Times New Roman"/>
          <w:bCs/>
          <w:color w:val="000000" w:themeColor="text1"/>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B75B0F" w:rsidP="00B34CF8">
      <w:pPr>
        <w:spacing w:after="120"/>
        <w:ind w:left="720" w:right="18"/>
        <w:rPr>
          <w:rFonts w:asciiTheme="minorHAnsi" w:eastAsia="Times New Roman" w:hAnsiTheme="minorHAnsi" w:cstheme="minorHAnsi"/>
          <w:bCs/>
          <w:color w:val="685C54" w:themeColor="accent4" w:themeShade="BF"/>
          <w:sz w:val="22"/>
          <w:szCs w:val="22"/>
        </w:rPr>
      </w:pPr>
      <w:r w:rsidRPr="00907C33">
        <w:rPr>
          <w:rFonts w:asciiTheme="minorHAnsi" w:hAnsiTheme="minorHAnsi" w:cstheme="minorHAnsi"/>
        </w:rPr>
        <w:t>LRAPA is proposing significant changes to its permitting rules in an effort to maximize efficiencies in the program, while maintaining the existing level of environmental protection</w:t>
      </w:r>
      <w:r w:rsidR="00907C33">
        <w:rPr>
          <w:rFonts w:asciiTheme="minorHAnsi" w:hAnsiTheme="minorHAnsi" w:cstheme="minorHAnsi"/>
        </w:rPr>
        <w:t>.</w:t>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These permits, known as General Air Contaminant Discharge </w:t>
            </w:r>
            <w:r w:rsidRPr="006B2476">
              <w:rPr>
                <w:rFonts w:asciiTheme="majorHAnsi" w:hAnsiTheme="majorHAnsi" w:cstheme="majorHAnsi"/>
                <w:sz w:val="20"/>
                <w:szCs w:val="20"/>
              </w:rPr>
              <w:lastRenderedPageBreak/>
              <w:t>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Generic Bubble 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NOx only. Other pollutants require SIP revision.  Specify only done through most complex </w:t>
            </w:r>
            <w:r w:rsidRPr="006B2476">
              <w:rPr>
                <w:rFonts w:asciiTheme="majorHAnsi" w:hAnsiTheme="majorHAnsi" w:cstheme="majorHAnsi"/>
                <w:sz w:val="20"/>
                <w:szCs w:val="20"/>
              </w:rPr>
              <w:lastRenderedPageBreak/>
              <w:t>(high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deminimis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deminimis,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Generic </w:t>
            </w:r>
            <w:r w:rsidR="00F60386">
              <w:rPr>
                <w:rFonts w:asciiTheme="majorHAnsi" w:hAnsiTheme="majorHAnsi" w:cstheme="majorHAnsi"/>
                <w:sz w:val="20"/>
                <w:szCs w:val="20"/>
              </w:rPr>
              <w:t xml:space="preserve">Plant Site Emission Limit (Generic </w:t>
            </w:r>
            <w:r w:rsidRPr="006B2476">
              <w:rPr>
                <w:rFonts w:asciiTheme="majorHAnsi" w:hAnsiTheme="majorHAnsi" w:cstheme="majorHAnsi"/>
                <w:sz w:val="20"/>
                <w:szCs w:val="20"/>
              </w:rPr>
              <w:t>PSEL</w:t>
            </w:r>
            <w:r w:rsidR="00F60386">
              <w:rPr>
                <w:rFonts w:asciiTheme="majorHAnsi" w:hAnsiTheme="majorHAnsi" w:cstheme="majorHAnsi"/>
                <w:sz w:val="20"/>
                <w:szCs w:val="20"/>
              </w:rPr>
              <w: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calendar year.  Creates opportunity for an exceedance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not defined in LRAPA rules.  Netting basis not defined.  Large amounts of unassigned emissions remain available for use by permittees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Sources can substitute post construction monitoring for pre-construction monitoring if source can demonstrate increase would not cause or contribute to exceedance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and create more detailed requirements in new Title- Air Quality Analysis Requirements (Title 40).  Create equation to evaluate VOC and NOx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w:t>
            </w:r>
            <w:r w:rsidRPr="00392D50">
              <w:rPr>
                <w:sz w:val="20"/>
                <w:szCs w:val="20"/>
              </w:rPr>
              <w:lastRenderedPageBreak/>
              <w:t xml:space="preserve">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4B6248">
          <w:headerReference w:type="default" r:id="rId12"/>
          <w:pgSz w:w="12240" w:h="15840"/>
          <w:pgMar w:top="1080" w:right="990" w:bottom="1080" w:left="360" w:header="720" w:footer="720" w:gutter="360"/>
          <w:cols w:space="720"/>
          <w:titlePg/>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9328AF">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9328AF" w:rsidRDefault="009328AF" w:rsidP="009328AF">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9328AF">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w:t>
            </w:r>
            <w:r w:rsidR="009328AF">
              <w:rPr>
                <w:rFonts w:asciiTheme="minorHAnsi" w:eastAsia="Times New Roman" w:hAnsiTheme="minorHAnsi" w:cstheme="minorHAnsi"/>
                <w:bCs/>
              </w:rPr>
              <w:t>40</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9328AF">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3175EF" w:rsidRPr="003175EF" w:rsidRDefault="0027111E" w:rsidP="009328A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9328AF" w:rsidRDefault="00A71084" w:rsidP="009328AF">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w:t>
      </w:r>
      <w:r w:rsidR="00457A29">
        <w:rPr>
          <w:rFonts w:asciiTheme="minorHAnsi" w:hAnsiTheme="minorHAnsi" w:cstheme="minorHAnsi"/>
        </w:rPr>
        <w:t>‘</w:t>
      </w:r>
      <w:r w:rsidRPr="00FF532D">
        <w:rPr>
          <w:rFonts w:asciiTheme="minorHAnsi" w:hAnsiTheme="minorHAnsi" w:cstheme="minorHAnsi"/>
        </w:rPr>
        <w:t>SPPIT I</w:t>
      </w:r>
      <w:r w:rsidR="00457A29">
        <w:rPr>
          <w:rFonts w:asciiTheme="minorHAnsi" w:hAnsiTheme="minorHAnsi" w:cstheme="minorHAnsi"/>
        </w:rPr>
        <w:t>’</w:t>
      </w:r>
      <w:r w:rsidRPr="00FF532D">
        <w:rPr>
          <w:rFonts w:asciiTheme="minorHAnsi" w:hAnsiTheme="minorHAnsi" w:cstheme="minorHAnsi"/>
        </w:rPr>
        <w:t xml:space="preserve"> and </w:t>
      </w:r>
      <w:r w:rsidR="00457A29">
        <w:rPr>
          <w:rFonts w:asciiTheme="minorHAnsi" w:hAnsiTheme="minorHAnsi" w:cstheme="minorHAnsi"/>
        </w:rPr>
        <w:t xml:space="preserve">‘ SPPIT </w:t>
      </w:r>
      <w:r w:rsidRPr="00FF532D">
        <w:rPr>
          <w:rFonts w:asciiTheme="minorHAnsi" w:hAnsiTheme="minorHAnsi" w:cstheme="minorHAnsi"/>
        </w:rPr>
        <w:t>II</w:t>
      </w:r>
      <w:r w:rsidR="00457A29">
        <w:rPr>
          <w:rFonts w:asciiTheme="minorHAnsi" w:hAnsiTheme="minorHAnsi" w:cstheme="minorHAnsi"/>
        </w:rPr>
        <w:t>’</w:t>
      </w:r>
      <w:r w:rsidRPr="00FF532D">
        <w:rPr>
          <w:rFonts w:asciiTheme="minorHAnsi" w:hAnsiTheme="minorHAnsi" w:cstheme="minorHAnsi"/>
        </w:rPr>
        <w:t>)</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 xml:space="preserve">allow DEQ to implement </w:t>
      </w:r>
      <w:r w:rsidR="00457A29">
        <w:rPr>
          <w:rFonts w:asciiTheme="minorHAnsi" w:hAnsiTheme="minorHAnsi" w:cstheme="minorHAnsi"/>
        </w:rPr>
        <w:t>Clean Air Act (CAA)</w:t>
      </w:r>
      <w:r w:rsidR="007D37A4" w:rsidRPr="00FF532D">
        <w:rPr>
          <w:rFonts w:asciiTheme="minorHAnsi" w:hAnsiTheme="minorHAnsi" w:cstheme="minorHAnsi"/>
        </w:rPr>
        <w:t xml:space="preserve"> requirements for agriculture</w:t>
      </w:r>
      <w:r w:rsidRPr="00FF532D">
        <w:rPr>
          <w:rFonts w:asciiTheme="minorHAnsi" w:hAnsiTheme="minorHAnsi" w:cstheme="minorHAnsi"/>
        </w:rPr>
        <w:t xml:space="preserve">. </w:t>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468" w:type="dxa"/>
        <w:tblLayout w:type="fixed"/>
        <w:tblLook w:val="04A0"/>
      </w:tblPr>
      <w:tblGrid>
        <w:gridCol w:w="5850"/>
        <w:gridCol w:w="4320"/>
      </w:tblGrid>
      <w:tr w:rsidR="0027111E" w:rsidTr="004B6248">
        <w:tc>
          <w:tcPr>
            <w:tcW w:w="585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4B6248">
        <w:tc>
          <w:tcPr>
            <w:tcW w:w="5850" w:type="dxa"/>
            <w:tcBorders>
              <w:left w:val="double" w:sz="4" w:space="0" w:color="auto"/>
            </w:tcBorders>
          </w:tcPr>
          <w:p w:rsidR="0027111E" w:rsidRPr="004B6248" w:rsidRDefault="00F21B31" w:rsidP="00B34CF8">
            <w:pPr>
              <w:ind w:left="0" w:right="18"/>
              <w:rPr>
                <w:rFonts w:asciiTheme="majorHAnsi" w:eastAsia="Times New Roman" w:hAnsiTheme="majorHAnsi" w:cstheme="majorHAnsi"/>
                <w:bCs/>
                <w:color w:val="000000" w:themeColor="text1"/>
                <w:sz w:val="20"/>
                <w:szCs w:val="20"/>
              </w:rPr>
            </w:pPr>
            <w:bookmarkStart w:id="2" w:name="AgendaInfo"/>
            <w:r w:rsidRPr="004B6248">
              <w:rPr>
                <w:rFonts w:asciiTheme="majorHAnsi" w:eastAsia="Times New Roman" w:hAnsiTheme="majorHAnsi" w:cstheme="majorHAnsi"/>
                <w:sz w:val="20"/>
                <w:szCs w:val="20"/>
              </w:rPr>
              <w:t xml:space="preserve">Agenda Item G, Revisions to Point Source Air Management Rules (New Source Review, Plant Site Emission Limit, and Air Quality Permitting Requirements), EQC Meeting </w:t>
            </w:r>
            <w:bookmarkEnd w:id="2"/>
            <w:r w:rsidRPr="004B6248">
              <w:rPr>
                <w:rFonts w:asciiTheme="majorHAnsi" w:eastAsia="Times New Roman" w:hAnsiTheme="majorHAnsi" w:cstheme="majorHAnsi"/>
                <w:sz w:val="20"/>
                <w:szCs w:val="20"/>
              </w:rPr>
              <w:t>May 4, 2001</w:t>
            </w:r>
          </w:p>
        </w:tc>
        <w:tc>
          <w:tcPr>
            <w:tcW w:w="4320" w:type="dxa"/>
            <w:tcBorders>
              <w:right w:val="double" w:sz="4" w:space="0" w:color="auto"/>
            </w:tcBorders>
          </w:tcPr>
          <w:p w:rsidR="0027111E" w:rsidRPr="004B6248" w:rsidRDefault="007D37A4" w:rsidP="00B34CF8">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w:t>
            </w:r>
            <w:r w:rsidR="0045480F" w:rsidRPr="004B6248">
              <w:rPr>
                <w:rFonts w:asciiTheme="majorHAnsi" w:eastAsia="Times New Roman" w:hAnsiTheme="majorHAnsi" w:cstheme="majorHAnsi"/>
                <w:bCs/>
                <w:color w:val="000000" w:themeColor="text1"/>
                <w:sz w:val="20"/>
                <w:szCs w:val="20"/>
                <w:highlight w:val="yellow"/>
              </w:rPr>
              <w:t xml:space="preserve">Insert link to </w:t>
            </w:r>
            <w:r w:rsidR="00D71612" w:rsidRPr="004B6248">
              <w:rPr>
                <w:rFonts w:asciiTheme="majorHAnsi" w:eastAsia="Times New Roman" w:hAnsiTheme="majorHAnsi" w:cstheme="majorHAnsi"/>
                <w:bCs/>
                <w:color w:val="000000" w:themeColor="text1"/>
                <w:sz w:val="20"/>
                <w:szCs w:val="20"/>
                <w:highlight w:val="yellow"/>
              </w:rPr>
              <w:t>SPPIT1</w:t>
            </w:r>
            <w:r w:rsidRPr="004B6248">
              <w:rPr>
                <w:rFonts w:asciiTheme="majorHAnsi" w:eastAsia="Times New Roman" w:hAnsiTheme="majorHAnsi" w:cstheme="majorHAnsi"/>
                <w:bCs/>
                <w:color w:val="000000" w:themeColor="text1"/>
                <w:sz w:val="20"/>
                <w:szCs w:val="20"/>
                <w:highlight w:val="yellow"/>
              </w:rPr>
              <w:t>]</w:t>
            </w:r>
          </w:p>
        </w:tc>
      </w:tr>
      <w:tr w:rsidR="0027111E" w:rsidTr="004B6248">
        <w:tc>
          <w:tcPr>
            <w:tcW w:w="5850" w:type="dxa"/>
            <w:tcBorders>
              <w:left w:val="double" w:sz="4" w:space="0" w:color="auto"/>
            </w:tcBorders>
          </w:tcPr>
          <w:p w:rsidR="0027111E" w:rsidRPr="004B6248" w:rsidRDefault="00F21B31" w:rsidP="00F21B31">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27111E" w:rsidRPr="004B6248" w:rsidRDefault="007D37A4" w:rsidP="00B34CF8">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w:t>
            </w:r>
            <w:r w:rsidR="0045480F" w:rsidRPr="004B6248">
              <w:rPr>
                <w:rFonts w:asciiTheme="majorHAnsi" w:eastAsia="Times New Roman" w:hAnsiTheme="majorHAnsi" w:cstheme="majorHAnsi"/>
                <w:bCs/>
                <w:color w:val="000000" w:themeColor="text1"/>
                <w:sz w:val="20"/>
                <w:szCs w:val="20"/>
                <w:highlight w:val="yellow"/>
              </w:rPr>
              <w:t xml:space="preserve">Insert link to </w:t>
            </w:r>
            <w:r w:rsidR="00D71612" w:rsidRPr="004B6248">
              <w:rPr>
                <w:rFonts w:asciiTheme="majorHAnsi" w:eastAsia="Times New Roman" w:hAnsiTheme="majorHAnsi" w:cstheme="majorHAnsi"/>
                <w:bCs/>
                <w:color w:val="000000" w:themeColor="text1"/>
                <w:sz w:val="20"/>
                <w:szCs w:val="20"/>
                <w:highlight w:val="yellow"/>
              </w:rPr>
              <w:t>SPPIT2</w:t>
            </w:r>
            <w:r w:rsidR="003175EF" w:rsidRPr="004B6248">
              <w:rPr>
                <w:rFonts w:asciiTheme="majorHAnsi" w:eastAsia="Times New Roman" w:hAnsiTheme="majorHAnsi" w:cstheme="majorHAnsi"/>
                <w:bCs/>
                <w:color w:val="000000" w:themeColor="text1"/>
                <w:sz w:val="20"/>
                <w:szCs w:val="20"/>
                <w:highlight w:val="yellow"/>
              </w:rPr>
              <w:t>]</w:t>
            </w:r>
          </w:p>
        </w:tc>
      </w:tr>
      <w:tr w:rsidR="00D71612" w:rsidTr="004B6248">
        <w:tc>
          <w:tcPr>
            <w:tcW w:w="5850" w:type="dxa"/>
            <w:tcBorders>
              <w:left w:val="double" w:sz="4" w:space="0" w:color="auto"/>
            </w:tcBorders>
          </w:tcPr>
          <w:p w:rsidR="00D71612" w:rsidRPr="004B6248" w:rsidRDefault="00D71612" w:rsidP="00D71612">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D71612" w:rsidRPr="004B6248" w:rsidRDefault="003175EF" w:rsidP="00B34CF8">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w:t>
            </w:r>
            <w:r w:rsidR="0045480F" w:rsidRPr="004B6248">
              <w:rPr>
                <w:rFonts w:asciiTheme="majorHAnsi" w:eastAsia="Times New Roman" w:hAnsiTheme="majorHAnsi" w:cstheme="majorHAnsi"/>
                <w:bCs/>
                <w:color w:val="000000" w:themeColor="text1"/>
                <w:sz w:val="20"/>
                <w:szCs w:val="20"/>
                <w:highlight w:val="yellow"/>
              </w:rPr>
              <w:t xml:space="preserve">Insert link to </w:t>
            </w:r>
            <w:r w:rsidR="00D71612" w:rsidRPr="004B6248">
              <w:rPr>
                <w:rFonts w:asciiTheme="majorHAnsi" w:eastAsia="Times New Roman" w:hAnsiTheme="majorHAnsi" w:cstheme="majorHAnsi"/>
                <w:bCs/>
                <w:color w:val="000000" w:themeColor="text1"/>
                <w:sz w:val="20"/>
                <w:szCs w:val="20"/>
                <w:highlight w:val="yellow"/>
              </w:rPr>
              <w:t>AG</w:t>
            </w:r>
            <w:r w:rsidRPr="004B6248">
              <w:rPr>
                <w:rFonts w:asciiTheme="majorHAnsi" w:eastAsia="Times New Roman" w:hAnsiTheme="majorHAnsi" w:cstheme="majorHAnsi"/>
                <w:bCs/>
                <w:color w:val="000000" w:themeColor="text1"/>
                <w:sz w:val="20"/>
                <w:szCs w:val="20"/>
                <w:highlight w:val="yellow"/>
              </w:rPr>
              <w:t>]</w:t>
            </w:r>
          </w:p>
        </w:tc>
      </w:tr>
      <w:tr w:rsidR="00663B51" w:rsidTr="004B6248">
        <w:tc>
          <w:tcPr>
            <w:tcW w:w="5850" w:type="dxa"/>
            <w:tcBorders>
              <w:left w:val="double" w:sz="4" w:space="0" w:color="auto"/>
            </w:tcBorders>
          </w:tcPr>
          <w:p w:rsidR="00663B51" w:rsidRPr="004B6248" w:rsidRDefault="00663B51" w:rsidP="00663B51">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663B51" w:rsidRPr="004B6248" w:rsidRDefault="00342CBE" w:rsidP="00B34CF8">
            <w:pPr>
              <w:ind w:left="72" w:right="18"/>
              <w:rPr>
                <w:rFonts w:asciiTheme="majorHAnsi" w:eastAsia="Times New Roman" w:hAnsiTheme="majorHAnsi" w:cstheme="majorHAnsi"/>
                <w:bCs/>
                <w:color w:val="000000" w:themeColor="text1"/>
                <w:sz w:val="20"/>
                <w:szCs w:val="20"/>
              </w:rPr>
            </w:pPr>
            <w:hyperlink r:id="rId14" w:history="1">
              <w:r w:rsidR="00663B51" w:rsidRPr="004B6248">
                <w:rPr>
                  <w:rStyle w:val="Hyperlink"/>
                  <w:rFonts w:asciiTheme="majorHAnsi" w:hAnsiTheme="majorHAnsi" w:cstheme="majorHAnsi"/>
                  <w:sz w:val="20"/>
                  <w:szCs w:val="20"/>
                </w:rPr>
                <w:t>http://www.deq.state.or.us/regulations/rules.htm</w:t>
              </w:r>
            </w:hyperlink>
          </w:p>
        </w:tc>
      </w:tr>
      <w:tr w:rsidR="00663B51" w:rsidTr="004B6248">
        <w:tc>
          <w:tcPr>
            <w:tcW w:w="5850" w:type="dxa"/>
            <w:tcBorders>
              <w:left w:val="double" w:sz="4" w:space="0" w:color="auto"/>
            </w:tcBorders>
          </w:tcPr>
          <w:p w:rsidR="00663B51" w:rsidRPr="004B6248" w:rsidRDefault="00663B51" w:rsidP="00663B51">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663B51" w:rsidRPr="004B6248" w:rsidRDefault="00342CBE" w:rsidP="00B34CF8">
            <w:pPr>
              <w:ind w:left="72" w:right="18"/>
              <w:rPr>
                <w:rFonts w:asciiTheme="majorHAnsi" w:eastAsia="Times New Roman" w:hAnsiTheme="majorHAnsi" w:cstheme="majorHAnsi"/>
                <w:bCs/>
                <w:color w:val="000000" w:themeColor="text1"/>
                <w:sz w:val="20"/>
                <w:szCs w:val="20"/>
              </w:rPr>
            </w:pPr>
            <w:hyperlink r:id="rId15" w:history="1">
              <w:r w:rsidR="00663B51" w:rsidRPr="004B6248">
                <w:rPr>
                  <w:rStyle w:val="Hyperlink"/>
                  <w:rFonts w:asciiTheme="majorHAnsi" w:hAnsiTheme="majorHAnsi" w:cstheme="majorHAnsi"/>
                  <w:sz w:val="20"/>
                  <w:szCs w:val="20"/>
                </w:rPr>
                <w:t>http://www.lrapa.org/rules_and_regulations/index.php</w:t>
              </w:r>
            </w:hyperlink>
          </w:p>
        </w:tc>
      </w:tr>
      <w:tr w:rsidR="00663B51" w:rsidTr="004B6248">
        <w:tc>
          <w:tcPr>
            <w:tcW w:w="5850" w:type="dxa"/>
            <w:tcBorders>
              <w:left w:val="double" w:sz="4" w:space="0" w:color="auto"/>
            </w:tcBorders>
            <w:shd w:val="clear" w:color="auto" w:fill="D9D9D9" w:themeFill="background1" w:themeFillShade="D9"/>
          </w:tcPr>
          <w:p w:rsidR="00663B51" w:rsidRPr="004B6248" w:rsidRDefault="00663B51" w:rsidP="00663B51">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663B51" w:rsidRPr="004B6248" w:rsidRDefault="00663B51" w:rsidP="00663B51">
            <w:pPr>
              <w:ind w:left="72" w:right="18"/>
              <w:rPr>
                <w:rFonts w:asciiTheme="majorHAnsi" w:hAnsiTheme="majorHAnsi" w:cstheme="majorHAnsi"/>
                <w:sz w:val="20"/>
                <w:szCs w:val="20"/>
                <w:highlight w:val="lightGray"/>
              </w:rPr>
            </w:pPr>
          </w:p>
        </w:tc>
      </w:tr>
      <w:tr w:rsidR="00515EC7" w:rsidTr="004B6248">
        <w:tc>
          <w:tcPr>
            <w:tcW w:w="5850" w:type="dxa"/>
            <w:tcBorders>
              <w:left w:val="double" w:sz="4" w:space="0" w:color="auto"/>
            </w:tcBorders>
          </w:tcPr>
          <w:p w:rsidR="00515EC7" w:rsidRPr="004B6248" w:rsidRDefault="00515EC7" w:rsidP="00D71612">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w:t>
            </w:r>
            <w:r w:rsidR="009328AF" w:rsidRPr="004B6248">
              <w:rPr>
                <w:rFonts w:asciiTheme="majorHAnsi" w:hAnsiTheme="majorHAnsi" w:cstheme="majorHAnsi"/>
                <w:sz w:val="20"/>
                <w:szCs w:val="20"/>
              </w:rPr>
              <w:t xml:space="preserve"> (Including Attachments ‘A’ – ‘J’)</w:t>
            </w:r>
          </w:p>
        </w:tc>
        <w:tc>
          <w:tcPr>
            <w:tcW w:w="4320" w:type="dxa"/>
            <w:tcBorders>
              <w:right w:val="double" w:sz="4" w:space="0" w:color="auto"/>
            </w:tcBorders>
          </w:tcPr>
          <w:p w:rsidR="00515EC7" w:rsidRPr="004B6248" w:rsidRDefault="0098048B" w:rsidP="00B34CF8">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663B51" w:rsidTr="004B6248">
        <w:tc>
          <w:tcPr>
            <w:tcW w:w="5850" w:type="dxa"/>
            <w:tcBorders>
              <w:left w:val="double" w:sz="4" w:space="0" w:color="auto"/>
            </w:tcBorders>
            <w:shd w:val="clear" w:color="auto" w:fill="D9D9D9" w:themeFill="background1" w:themeFillShade="D9"/>
          </w:tcPr>
          <w:p w:rsidR="00663B51" w:rsidRPr="004B6248" w:rsidRDefault="00663B51" w:rsidP="00D71612">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663B51" w:rsidRPr="004B6248" w:rsidRDefault="00663B51" w:rsidP="00B34CF8">
            <w:pPr>
              <w:ind w:left="72" w:right="18"/>
              <w:rPr>
                <w:rFonts w:asciiTheme="majorHAnsi" w:eastAsia="Times New Roman" w:hAnsiTheme="majorHAnsi" w:cstheme="majorHAnsi"/>
                <w:bCs/>
                <w:color w:val="000000" w:themeColor="text1"/>
                <w:sz w:val="20"/>
                <w:szCs w:val="20"/>
              </w:rPr>
            </w:pPr>
          </w:p>
        </w:tc>
      </w:tr>
      <w:tr w:rsidR="009328AF" w:rsidTr="004B6248">
        <w:tc>
          <w:tcPr>
            <w:tcW w:w="5850" w:type="dxa"/>
            <w:tcBorders>
              <w:left w:val="double" w:sz="4" w:space="0" w:color="auto"/>
              <w:bottom w:val="double" w:sz="4" w:space="0" w:color="auto"/>
            </w:tcBorders>
          </w:tcPr>
          <w:p w:rsidR="009328AF" w:rsidRPr="004B6248" w:rsidRDefault="009328AF" w:rsidP="009328AF">
            <w:pPr>
              <w:ind w:left="0"/>
              <w:rPr>
                <w:rFonts w:asciiTheme="majorHAnsi" w:hAnsiTheme="majorHAnsi" w:cstheme="majorHAnsi"/>
                <w:sz w:val="20"/>
                <w:szCs w:val="20"/>
              </w:rPr>
            </w:pPr>
            <w:r w:rsidRPr="004B6248">
              <w:rPr>
                <w:rFonts w:asciiTheme="majorHAnsi" w:hAnsiTheme="majorHAnsi" w:cstheme="majorHAnsi"/>
                <w:sz w:val="20"/>
                <w:szCs w:val="20"/>
              </w:rPr>
              <w:t>LRAPA Board January 12, 2010 Agenda Item 7 - Adoption of Proposed Industrial Permitting Rules (Including Attachments ‘A’ and ‘B’)</w:t>
            </w:r>
          </w:p>
        </w:tc>
        <w:tc>
          <w:tcPr>
            <w:tcW w:w="4320" w:type="dxa"/>
            <w:tcBorders>
              <w:bottom w:val="double" w:sz="4" w:space="0" w:color="auto"/>
              <w:right w:val="double" w:sz="4" w:space="0" w:color="auto"/>
            </w:tcBorders>
          </w:tcPr>
          <w:p w:rsidR="009328AF" w:rsidRPr="004B6248" w:rsidRDefault="009328AF" w:rsidP="009328AF">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bl>
    <w:p w:rsidR="0027111E" w:rsidRPr="000D07CA" w:rsidRDefault="0027111E" w:rsidP="004B6248">
      <w:pPr>
        <w:ind w:left="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3145B1">
      <w:pPr>
        <w:ind w:left="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3145B1">
      <w:pPr>
        <w:ind w:left="0"/>
        <w:rPr>
          <w:rFonts w:asciiTheme="minorHAnsi" w:hAnsiTheme="minorHAnsi" w:cstheme="minorHAnsi"/>
        </w:rPr>
      </w:pPr>
    </w:p>
    <w:p w:rsidR="003145B1" w:rsidRPr="00E879E0" w:rsidRDefault="003145B1" w:rsidP="003145B1">
      <w:pPr>
        <w:ind w:left="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57A29">
      <w:pPr>
        <w:ind w:left="108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57A29">
      <w:pPr>
        <w:ind w:left="108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3145B1">
      <w:pPr>
        <w:ind w:left="108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3145B1">
      <w:pPr>
        <w:ind w:left="1080"/>
        <w:rPr>
          <w:rFonts w:asciiTheme="minorHAnsi" w:hAnsiTheme="minorHAnsi" w:cstheme="minorHAnsi"/>
        </w:rPr>
      </w:pPr>
    </w:p>
    <w:p w:rsidR="003145B1" w:rsidRPr="00E879E0" w:rsidRDefault="003145B1" w:rsidP="003145B1">
      <w:pPr>
        <w:pStyle w:val="ListParagraph"/>
        <w:numPr>
          <w:ilvl w:val="0"/>
          <w:numId w:val="16"/>
        </w:numPr>
        <w:spacing w:after="200" w:line="276" w:lineRule="auto"/>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3145B1" w:rsidRPr="00E879E0" w:rsidRDefault="003145B1" w:rsidP="003145B1">
      <w:pPr>
        <w:ind w:left="0"/>
        <w:rPr>
          <w:rFonts w:asciiTheme="minorHAnsi" w:hAnsiTheme="minorHAnsi" w:cstheme="minorHAnsi"/>
        </w:rPr>
      </w:pPr>
      <w:r w:rsidRPr="00E879E0">
        <w:rPr>
          <w:rFonts w:asciiTheme="minorHAnsi" w:hAnsiTheme="minorHAnsi" w:cstheme="minorHAnsi"/>
        </w:rPr>
        <w:t xml:space="preserve">Max </w:t>
      </w:r>
    </w:p>
    <w:p w:rsidR="003145B1" w:rsidRPr="00E879E0" w:rsidRDefault="003145B1" w:rsidP="003145B1">
      <w:pPr>
        <w:ind w:left="0"/>
        <w:rPr>
          <w:rFonts w:asciiTheme="minorHAnsi" w:hAnsiTheme="minorHAnsi" w:cstheme="minorHAnsi"/>
        </w:rPr>
      </w:pPr>
      <w:r w:rsidRPr="00E879E0">
        <w:rPr>
          <w:rFonts w:asciiTheme="minorHAnsi" w:hAnsiTheme="minorHAnsi" w:cstheme="minorHAnsi"/>
        </w:rPr>
        <w:t>4/3/08</w:t>
      </w:r>
    </w:p>
    <w:p w:rsidR="00EE38EA" w:rsidRPr="004B6248" w:rsidRDefault="00EE38EA" w:rsidP="00EE38EA">
      <w:pPr>
        <w:spacing w:after="120"/>
        <w:ind w:left="0"/>
        <w:rPr>
          <w:rFonts w:asciiTheme="minorHAnsi" w:hAnsiTheme="minorHAnsi" w:cstheme="minorHAnsi"/>
        </w:rPr>
      </w:pPr>
    </w:p>
    <w:p w:rsidR="00EE38EA" w:rsidRPr="004B6248" w:rsidRDefault="00EE38EA" w:rsidP="00EE38EA">
      <w:pPr>
        <w:spacing w:after="120"/>
        <w:ind w:left="0"/>
        <w:rPr>
          <w:rFonts w:asciiTheme="minorHAnsi" w:hAnsiTheme="minorHAnsi" w:cstheme="minorHAnsi"/>
        </w:rPr>
      </w:pPr>
      <w:r w:rsidRPr="004B6248">
        <w:rPr>
          <w:rFonts w:asciiTheme="minorHAnsi" w:hAnsiTheme="minorHAnsi" w:cstheme="minorHAnsi"/>
        </w:rPr>
        <w:t>Additional Fee Analysis</w:t>
      </w:r>
    </w:p>
    <w:tbl>
      <w:tblPr>
        <w:tblStyle w:val="TableGrid"/>
        <w:tblW w:w="0" w:type="auto"/>
        <w:tblLook w:val="04A0"/>
      </w:tblPr>
      <w:tblGrid>
        <w:gridCol w:w="2668"/>
        <w:gridCol w:w="2668"/>
        <w:gridCol w:w="2669"/>
        <w:gridCol w:w="2669"/>
      </w:tblGrid>
      <w:tr w:rsidR="00EE38EA" w:rsidRPr="004B6248" w:rsidTr="00EE38EA">
        <w:tc>
          <w:tcPr>
            <w:tcW w:w="2668" w:type="dxa"/>
          </w:tcPr>
          <w:p w:rsidR="00EE38EA" w:rsidRPr="004B6248" w:rsidRDefault="00EE38EA" w:rsidP="00EE38EA">
            <w:pPr>
              <w:spacing w:after="120"/>
              <w:ind w:left="0"/>
              <w:rPr>
                <w:rFonts w:asciiTheme="minorHAnsi" w:hAnsiTheme="minorHAnsi" w:cstheme="minorHAnsi"/>
              </w:rPr>
            </w:pPr>
            <w:r w:rsidRPr="004B6248">
              <w:rPr>
                <w:rFonts w:asciiTheme="minorHAnsi" w:hAnsiTheme="minorHAnsi" w:cstheme="minorHAnsi"/>
              </w:rPr>
              <w:t>Permit Type</w:t>
            </w:r>
          </w:p>
        </w:tc>
        <w:tc>
          <w:tcPr>
            <w:tcW w:w="2668" w:type="dxa"/>
          </w:tcPr>
          <w:p w:rsidR="00EE38EA" w:rsidRPr="004B6248" w:rsidRDefault="00EE38EA" w:rsidP="00EE38EA">
            <w:pPr>
              <w:spacing w:after="120"/>
              <w:ind w:left="0"/>
              <w:rPr>
                <w:rFonts w:asciiTheme="minorHAnsi" w:hAnsiTheme="minorHAnsi" w:cstheme="minorHAnsi"/>
              </w:rPr>
            </w:pPr>
            <w:r w:rsidRPr="004B6248">
              <w:rPr>
                <w:rFonts w:asciiTheme="minorHAnsi" w:hAnsiTheme="minorHAnsi" w:cstheme="minorHAnsi"/>
              </w:rPr>
              <w:t>Fee Type</w:t>
            </w:r>
          </w:p>
        </w:tc>
        <w:tc>
          <w:tcPr>
            <w:tcW w:w="2669" w:type="dxa"/>
          </w:tcPr>
          <w:p w:rsidR="00EE38EA" w:rsidRPr="004B6248" w:rsidRDefault="00EE38EA" w:rsidP="00EE38EA">
            <w:pPr>
              <w:spacing w:after="120"/>
              <w:ind w:left="0"/>
              <w:rPr>
                <w:rFonts w:asciiTheme="minorHAnsi" w:hAnsiTheme="minorHAnsi" w:cstheme="minorHAnsi"/>
              </w:rPr>
            </w:pPr>
            <w:r w:rsidRPr="004B6248">
              <w:rPr>
                <w:rFonts w:asciiTheme="minorHAnsi" w:hAnsiTheme="minorHAnsi" w:cstheme="minorHAnsi"/>
              </w:rPr>
              <w:t>Existing Fee</w:t>
            </w:r>
          </w:p>
        </w:tc>
        <w:tc>
          <w:tcPr>
            <w:tcW w:w="2669" w:type="dxa"/>
          </w:tcPr>
          <w:p w:rsidR="00EE38EA" w:rsidRPr="004B6248" w:rsidRDefault="00EE38EA" w:rsidP="00EE38EA">
            <w:pPr>
              <w:spacing w:after="120"/>
              <w:ind w:left="0"/>
              <w:rPr>
                <w:rFonts w:asciiTheme="minorHAnsi" w:hAnsiTheme="minorHAnsi" w:cstheme="minorHAnsi"/>
              </w:rPr>
            </w:pPr>
            <w:r w:rsidRPr="004B6248">
              <w:rPr>
                <w:rFonts w:asciiTheme="minorHAnsi" w:hAnsiTheme="minorHAnsi" w:cstheme="minorHAnsi"/>
              </w:rPr>
              <w:t>Proposed Fee</w:t>
            </w:r>
          </w:p>
        </w:tc>
      </w:tr>
      <w:tr w:rsidR="00EE38EA" w:rsidRPr="004B6248" w:rsidTr="00EE38EA">
        <w:tc>
          <w:tcPr>
            <w:tcW w:w="2668" w:type="dxa"/>
          </w:tcPr>
          <w:p w:rsidR="00EE38EA" w:rsidRPr="004B6248" w:rsidRDefault="0089125F" w:rsidP="00EE38EA">
            <w:pPr>
              <w:spacing w:after="120"/>
              <w:ind w:left="0"/>
              <w:rPr>
                <w:rFonts w:asciiTheme="minorHAnsi" w:hAnsiTheme="minorHAnsi" w:cstheme="minorHAnsi"/>
              </w:rPr>
            </w:pPr>
            <w:r w:rsidRPr="004B6248">
              <w:rPr>
                <w:rFonts w:asciiTheme="minorHAnsi" w:hAnsiTheme="minorHAnsi" w:cstheme="minorHAnsi"/>
              </w:rPr>
              <w:t>Standard ACDP</w:t>
            </w:r>
          </w:p>
        </w:tc>
        <w:tc>
          <w:tcPr>
            <w:tcW w:w="2668" w:type="dxa"/>
          </w:tcPr>
          <w:p w:rsidR="0089125F" w:rsidRPr="004B6248" w:rsidRDefault="0089125F" w:rsidP="0089125F">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Filing fee</w:t>
            </w:r>
          </w:p>
          <w:p w:rsidR="0089125F" w:rsidRPr="004B6248" w:rsidRDefault="0089125F" w:rsidP="0089125F">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Initial permitting</w:t>
            </w:r>
          </w:p>
          <w:p w:rsidR="0089125F" w:rsidRPr="004B6248" w:rsidRDefault="0089125F" w:rsidP="0089125F">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Application processing</w:t>
            </w:r>
          </w:p>
          <w:p w:rsidR="00EE38EA" w:rsidRPr="004B6248" w:rsidRDefault="0089125F" w:rsidP="0089125F">
            <w:pPr>
              <w:spacing w:after="120"/>
              <w:ind w:left="0"/>
              <w:rPr>
                <w:rFonts w:asciiTheme="minorHAnsi" w:hAnsiTheme="minorHAnsi" w:cstheme="minorHAnsi"/>
              </w:rPr>
            </w:pPr>
            <w:r w:rsidRPr="004B6248">
              <w:rPr>
                <w:rFonts w:asciiTheme="minorHAnsi" w:hAnsiTheme="minorHAnsi" w:cstheme="minorHAnsi"/>
                <w:spacing w:val="-3"/>
              </w:rPr>
              <w:t>Annual compliance</w:t>
            </w:r>
          </w:p>
        </w:tc>
        <w:tc>
          <w:tcPr>
            <w:tcW w:w="2669" w:type="dxa"/>
          </w:tcPr>
          <w:p w:rsidR="0089125F" w:rsidRPr="004B6248" w:rsidRDefault="0089125F" w:rsidP="0089125F">
            <w:pPr>
              <w:tabs>
                <w:tab w:val="left" w:pos="-720"/>
              </w:tabs>
              <w:suppressAutoHyphens/>
              <w:ind w:left="1"/>
              <w:jc w:val="both"/>
              <w:rPr>
                <w:rFonts w:asciiTheme="minorHAnsi" w:hAnsiTheme="minorHAnsi" w:cstheme="minorHAnsi"/>
                <w:spacing w:val="-3"/>
              </w:rPr>
            </w:pPr>
            <w:r w:rsidRPr="004B6248">
              <w:rPr>
                <w:rFonts w:asciiTheme="minorHAnsi" w:hAnsiTheme="minorHAnsi" w:cstheme="minorHAnsi"/>
                <w:spacing w:val="-3"/>
              </w:rPr>
              <w:t>129 /5 yrs.</w:t>
            </w:r>
          </w:p>
          <w:p w:rsidR="0089125F" w:rsidRPr="004B6248" w:rsidRDefault="0089125F" w:rsidP="0089125F">
            <w:pPr>
              <w:tabs>
                <w:tab w:val="left" w:pos="-720"/>
              </w:tabs>
              <w:suppressAutoHyphens/>
              <w:ind w:left="1"/>
              <w:jc w:val="both"/>
              <w:rPr>
                <w:rFonts w:asciiTheme="minorHAnsi" w:hAnsiTheme="minorHAnsi" w:cstheme="minorHAnsi"/>
                <w:spacing w:val="-3"/>
              </w:rPr>
            </w:pPr>
            <w:r w:rsidRPr="004B6248">
              <w:rPr>
                <w:rFonts w:asciiTheme="minorHAnsi" w:hAnsiTheme="minorHAnsi" w:cstheme="minorHAnsi"/>
                <w:spacing w:val="-3"/>
              </w:rPr>
              <w:t>3400 to $17,000</w:t>
            </w:r>
          </w:p>
          <w:p w:rsidR="0089125F" w:rsidRPr="004B6248" w:rsidRDefault="0089125F" w:rsidP="0089125F">
            <w:pPr>
              <w:tabs>
                <w:tab w:val="left" w:pos="-720"/>
              </w:tabs>
              <w:suppressAutoHyphens/>
              <w:ind w:left="1"/>
              <w:jc w:val="both"/>
              <w:rPr>
                <w:rFonts w:asciiTheme="minorHAnsi" w:hAnsiTheme="minorHAnsi" w:cstheme="minorHAnsi"/>
                <w:spacing w:val="-3"/>
              </w:rPr>
            </w:pPr>
            <w:r w:rsidRPr="004B6248">
              <w:rPr>
                <w:rFonts w:asciiTheme="minorHAnsi" w:hAnsiTheme="minorHAnsi" w:cstheme="minorHAnsi"/>
                <w:spacing w:val="-3"/>
              </w:rPr>
              <w:t>525 to $52,000 /5yrs</w:t>
            </w:r>
          </w:p>
          <w:p w:rsidR="00EE38EA" w:rsidRPr="004B6248" w:rsidRDefault="0089125F" w:rsidP="0089125F">
            <w:pPr>
              <w:spacing w:after="120"/>
              <w:ind w:left="1"/>
              <w:rPr>
                <w:rFonts w:asciiTheme="minorHAnsi" w:hAnsiTheme="minorHAnsi" w:cstheme="minorHAnsi"/>
              </w:rPr>
            </w:pPr>
            <w:r w:rsidRPr="004B6248">
              <w:rPr>
                <w:rFonts w:asciiTheme="minorHAnsi" w:hAnsiTheme="minorHAnsi" w:cstheme="minorHAnsi"/>
                <w:spacing w:val="-3"/>
              </w:rPr>
              <w:t>800 to $27,000</w:t>
            </w:r>
          </w:p>
        </w:tc>
        <w:tc>
          <w:tcPr>
            <w:tcW w:w="2669" w:type="dxa"/>
          </w:tcPr>
          <w:p w:rsidR="0089125F" w:rsidRPr="004B6248" w:rsidRDefault="0089125F" w:rsidP="0089125F">
            <w:pPr>
              <w:tabs>
                <w:tab w:val="left" w:pos="-720"/>
              </w:tabs>
              <w:suppressAutoHyphens/>
              <w:ind w:left="37"/>
              <w:jc w:val="both"/>
              <w:rPr>
                <w:rFonts w:asciiTheme="minorHAnsi" w:hAnsiTheme="minorHAnsi" w:cstheme="minorHAnsi"/>
                <w:spacing w:val="-3"/>
              </w:rPr>
            </w:pPr>
            <w:r w:rsidRPr="004B6248">
              <w:rPr>
                <w:rFonts w:asciiTheme="minorHAnsi" w:hAnsiTheme="minorHAnsi" w:cstheme="minorHAnsi"/>
                <w:spacing w:val="-3"/>
              </w:rPr>
              <w:t>NA</w:t>
            </w:r>
          </w:p>
          <w:p w:rsidR="0089125F" w:rsidRPr="004B6248" w:rsidRDefault="0089125F" w:rsidP="0089125F">
            <w:pPr>
              <w:tabs>
                <w:tab w:val="left" w:pos="-720"/>
              </w:tabs>
              <w:suppressAutoHyphens/>
              <w:ind w:left="37"/>
              <w:jc w:val="both"/>
              <w:rPr>
                <w:rFonts w:asciiTheme="minorHAnsi" w:hAnsiTheme="minorHAnsi" w:cstheme="minorHAnsi"/>
                <w:spacing w:val="-3"/>
              </w:rPr>
            </w:pPr>
            <w:r w:rsidRPr="004B6248">
              <w:rPr>
                <w:rFonts w:asciiTheme="minorHAnsi" w:hAnsiTheme="minorHAnsi" w:cstheme="minorHAnsi"/>
                <w:spacing w:val="-3"/>
              </w:rPr>
              <w:t>$12,000 to $42,000</w:t>
            </w:r>
          </w:p>
          <w:p w:rsidR="0089125F" w:rsidRPr="004B6248" w:rsidRDefault="0089125F" w:rsidP="0089125F">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NA</w:t>
            </w:r>
          </w:p>
          <w:p w:rsidR="00EE38EA" w:rsidRPr="004B6248" w:rsidRDefault="0089125F" w:rsidP="0089125F">
            <w:pPr>
              <w:spacing w:after="120"/>
              <w:ind w:left="0"/>
              <w:rPr>
                <w:rFonts w:asciiTheme="minorHAnsi" w:hAnsiTheme="minorHAnsi" w:cstheme="minorHAnsi"/>
              </w:rPr>
            </w:pPr>
            <w:r w:rsidRPr="004B6248">
              <w:rPr>
                <w:rFonts w:asciiTheme="minorHAnsi" w:hAnsiTheme="minorHAnsi" w:cstheme="minorHAnsi"/>
                <w:spacing w:val="-3"/>
              </w:rPr>
              <w:t>$7680</w:t>
            </w:r>
          </w:p>
        </w:tc>
      </w:tr>
      <w:tr w:rsidR="00EE38EA" w:rsidRPr="004B6248" w:rsidTr="00EE38EA">
        <w:tc>
          <w:tcPr>
            <w:tcW w:w="2668" w:type="dxa"/>
          </w:tcPr>
          <w:p w:rsidR="00EE38EA" w:rsidRPr="004B6248" w:rsidRDefault="0089125F" w:rsidP="00EE38EA">
            <w:pPr>
              <w:spacing w:after="120"/>
              <w:ind w:left="0"/>
              <w:rPr>
                <w:rFonts w:asciiTheme="minorHAnsi" w:hAnsiTheme="minorHAnsi" w:cstheme="minorHAnsi"/>
              </w:rPr>
            </w:pPr>
            <w:r w:rsidRPr="004B6248">
              <w:rPr>
                <w:rFonts w:asciiTheme="minorHAnsi" w:hAnsiTheme="minorHAnsi" w:cstheme="minorHAnsi"/>
              </w:rPr>
              <w:lastRenderedPageBreak/>
              <w:t>Simple ACDP</w:t>
            </w:r>
          </w:p>
        </w:tc>
        <w:tc>
          <w:tcPr>
            <w:tcW w:w="2668" w:type="dxa"/>
          </w:tcPr>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Initial permitting</w:t>
            </w:r>
          </w:p>
          <w:p w:rsidR="00EE38EA" w:rsidRPr="004B6248" w:rsidRDefault="00DC4107" w:rsidP="00DC4107">
            <w:pPr>
              <w:spacing w:after="120"/>
              <w:ind w:left="0"/>
              <w:rPr>
                <w:rFonts w:asciiTheme="minorHAnsi" w:hAnsiTheme="minorHAnsi" w:cstheme="minorHAnsi"/>
              </w:rPr>
            </w:pPr>
            <w:r w:rsidRPr="004B6248">
              <w:rPr>
                <w:rFonts w:asciiTheme="minorHAnsi" w:hAnsiTheme="minorHAnsi" w:cstheme="minorHAnsi"/>
                <w:spacing w:val="-3"/>
              </w:rPr>
              <w:t>Annual compliance</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NA</w:t>
            </w:r>
          </w:p>
        </w:tc>
        <w:tc>
          <w:tcPr>
            <w:tcW w:w="2669" w:type="dxa"/>
          </w:tcPr>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$6,000</w:t>
            </w:r>
          </w:p>
          <w:p w:rsidR="00EE38EA" w:rsidRPr="004B6248" w:rsidRDefault="00DC4107" w:rsidP="00DC4107">
            <w:pPr>
              <w:spacing w:after="120"/>
              <w:ind w:left="0"/>
              <w:rPr>
                <w:rFonts w:asciiTheme="minorHAnsi" w:hAnsiTheme="minorHAnsi" w:cstheme="minorHAnsi"/>
              </w:rPr>
            </w:pPr>
            <w:r w:rsidRPr="004B6248">
              <w:rPr>
                <w:rFonts w:asciiTheme="minorHAnsi" w:hAnsiTheme="minorHAnsi" w:cstheme="minorHAnsi"/>
                <w:spacing w:val="-3"/>
              </w:rPr>
              <w:t>$1,920 to 3,840</w:t>
            </w:r>
          </w:p>
        </w:tc>
      </w:tr>
      <w:tr w:rsidR="00EE38EA" w:rsidRPr="004B6248" w:rsidTr="00EE38EA">
        <w:tc>
          <w:tcPr>
            <w:tcW w:w="2668" w:type="dxa"/>
          </w:tcPr>
          <w:p w:rsidR="00EE38EA" w:rsidRPr="004B6248" w:rsidRDefault="0089125F" w:rsidP="00EE38EA">
            <w:pPr>
              <w:spacing w:after="120"/>
              <w:ind w:left="0"/>
              <w:rPr>
                <w:rFonts w:asciiTheme="minorHAnsi" w:hAnsiTheme="minorHAnsi" w:cstheme="minorHAnsi"/>
              </w:rPr>
            </w:pPr>
            <w:r w:rsidRPr="004B6248">
              <w:rPr>
                <w:rFonts w:asciiTheme="minorHAnsi" w:hAnsiTheme="minorHAnsi" w:cstheme="minorHAnsi"/>
              </w:rPr>
              <w:t>General ACDP</w:t>
            </w:r>
          </w:p>
        </w:tc>
        <w:tc>
          <w:tcPr>
            <w:tcW w:w="2668" w:type="dxa"/>
          </w:tcPr>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Filing fee</w:t>
            </w:r>
          </w:p>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Initial permitting</w:t>
            </w:r>
          </w:p>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Application processing</w:t>
            </w:r>
          </w:p>
          <w:p w:rsidR="00EE38EA" w:rsidRPr="004B6248" w:rsidRDefault="00DC4107" w:rsidP="00DC4107">
            <w:pPr>
              <w:spacing w:after="120"/>
              <w:ind w:left="0"/>
              <w:rPr>
                <w:rFonts w:asciiTheme="minorHAnsi" w:hAnsiTheme="minorHAnsi" w:cstheme="minorHAnsi"/>
              </w:rPr>
            </w:pPr>
            <w:r w:rsidRPr="004B6248">
              <w:rPr>
                <w:rFonts w:asciiTheme="minorHAnsi" w:hAnsiTheme="minorHAnsi" w:cstheme="minorHAnsi"/>
                <w:spacing w:val="-3"/>
              </w:rPr>
              <w:t>Annual compliance</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NA</w:t>
            </w:r>
          </w:p>
        </w:tc>
        <w:tc>
          <w:tcPr>
            <w:tcW w:w="2669" w:type="dxa"/>
          </w:tcPr>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NA</w:t>
            </w:r>
          </w:p>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$1200</w:t>
            </w:r>
          </w:p>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NA</w:t>
            </w:r>
          </w:p>
          <w:p w:rsidR="00EE38EA" w:rsidRPr="004B6248" w:rsidRDefault="00DC4107" w:rsidP="00DC4107">
            <w:pPr>
              <w:spacing w:after="120"/>
              <w:ind w:left="0"/>
              <w:rPr>
                <w:rFonts w:asciiTheme="minorHAnsi" w:hAnsiTheme="minorHAnsi" w:cstheme="minorHAnsi"/>
              </w:rPr>
            </w:pPr>
            <w:r w:rsidRPr="004B6248">
              <w:rPr>
                <w:rFonts w:asciiTheme="minorHAnsi" w:hAnsiTheme="minorHAnsi" w:cstheme="minorHAnsi"/>
                <w:spacing w:val="-3"/>
              </w:rPr>
              <w:t>$720 to $1872</w:t>
            </w:r>
          </w:p>
        </w:tc>
      </w:tr>
      <w:tr w:rsidR="00EE38EA" w:rsidRPr="004B6248" w:rsidTr="00EE38EA">
        <w:tc>
          <w:tcPr>
            <w:tcW w:w="2668" w:type="dxa"/>
          </w:tcPr>
          <w:p w:rsidR="00EE38EA" w:rsidRPr="004B6248" w:rsidRDefault="0089125F" w:rsidP="00EE38EA">
            <w:pPr>
              <w:ind w:left="0"/>
              <w:rPr>
                <w:rFonts w:asciiTheme="minorHAnsi" w:hAnsiTheme="minorHAnsi" w:cstheme="minorHAnsi"/>
              </w:rPr>
            </w:pPr>
            <w:r w:rsidRPr="004B6248">
              <w:rPr>
                <w:rFonts w:asciiTheme="minorHAnsi" w:hAnsiTheme="minorHAnsi" w:cstheme="minorHAnsi"/>
              </w:rPr>
              <w:t>Basic ACDP</w:t>
            </w:r>
          </w:p>
        </w:tc>
        <w:tc>
          <w:tcPr>
            <w:tcW w:w="2668" w:type="dxa"/>
          </w:tcPr>
          <w:p w:rsidR="00DC4107"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Initial permitting</w:t>
            </w:r>
          </w:p>
          <w:p w:rsidR="00EE38EA" w:rsidRPr="004B6248" w:rsidRDefault="00DC4107" w:rsidP="00EE38EA">
            <w:pPr>
              <w:ind w:left="0"/>
              <w:rPr>
                <w:rFonts w:asciiTheme="minorHAnsi" w:hAnsiTheme="minorHAnsi" w:cstheme="minorHAnsi"/>
              </w:rPr>
            </w:pPr>
            <w:r w:rsidRPr="004B6248">
              <w:rPr>
                <w:rFonts w:asciiTheme="minorHAnsi" w:hAnsiTheme="minorHAnsi" w:cstheme="minorHAnsi"/>
                <w:spacing w:val="-3"/>
              </w:rPr>
              <w:t>Annual compliance</w:t>
            </w:r>
          </w:p>
        </w:tc>
        <w:tc>
          <w:tcPr>
            <w:tcW w:w="2669" w:type="dxa"/>
          </w:tcPr>
          <w:p w:rsidR="00EE38EA" w:rsidRPr="004B6248" w:rsidRDefault="00DC4107" w:rsidP="00EE38EA">
            <w:pPr>
              <w:ind w:left="0"/>
              <w:rPr>
                <w:rFonts w:asciiTheme="minorHAnsi" w:hAnsiTheme="minorHAnsi" w:cstheme="minorHAnsi"/>
              </w:rPr>
            </w:pPr>
            <w:r w:rsidRPr="004B6248">
              <w:rPr>
                <w:rFonts w:asciiTheme="minorHAnsi" w:hAnsiTheme="minorHAnsi" w:cstheme="minorHAnsi"/>
              </w:rPr>
              <w:t>NA</w:t>
            </w:r>
          </w:p>
        </w:tc>
        <w:tc>
          <w:tcPr>
            <w:tcW w:w="2669" w:type="dxa"/>
          </w:tcPr>
          <w:p w:rsidR="00EE38EA" w:rsidRPr="004B6248" w:rsidRDefault="00DC4107" w:rsidP="00EE38EA">
            <w:pPr>
              <w:ind w:left="0"/>
              <w:rPr>
                <w:rFonts w:asciiTheme="minorHAnsi" w:hAnsiTheme="minorHAnsi" w:cstheme="minorHAnsi"/>
              </w:rPr>
            </w:pPr>
            <w:r w:rsidRPr="004B6248">
              <w:rPr>
                <w:rFonts w:asciiTheme="minorHAnsi" w:hAnsiTheme="minorHAnsi" w:cstheme="minorHAnsi"/>
              </w:rPr>
              <w:t>$120</w:t>
            </w:r>
          </w:p>
          <w:p w:rsidR="00DC4107" w:rsidRPr="004B6248" w:rsidRDefault="00DC4107" w:rsidP="00EE38EA">
            <w:pPr>
              <w:ind w:left="0"/>
              <w:rPr>
                <w:rFonts w:asciiTheme="minorHAnsi" w:hAnsiTheme="minorHAnsi" w:cstheme="minorHAnsi"/>
              </w:rPr>
            </w:pPr>
            <w:r w:rsidRPr="004B6248">
              <w:rPr>
                <w:rFonts w:asciiTheme="minorHAnsi" w:hAnsiTheme="minorHAnsi" w:cstheme="minorHAnsi"/>
              </w:rPr>
              <w:t>$360</w:t>
            </w:r>
          </w:p>
        </w:tc>
      </w:tr>
      <w:tr w:rsidR="00EE38EA" w:rsidRPr="004B6248" w:rsidTr="00EE38EA">
        <w:tc>
          <w:tcPr>
            <w:tcW w:w="2668" w:type="dxa"/>
          </w:tcPr>
          <w:p w:rsidR="00EE38EA" w:rsidRPr="004B6248" w:rsidRDefault="0089125F" w:rsidP="00EE38EA">
            <w:pPr>
              <w:ind w:left="0"/>
              <w:rPr>
                <w:rFonts w:asciiTheme="minorHAnsi" w:hAnsiTheme="minorHAnsi" w:cstheme="minorHAnsi"/>
              </w:rPr>
            </w:pPr>
            <w:r w:rsidRPr="004B6248">
              <w:rPr>
                <w:rFonts w:asciiTheme="minorHAnsi" w:hAnsiTheme="minorHAnsi" w:cstheme="minorHAnsi"/>
              </w:rPr>
              <w:t>Short Term Activity</w:t>
            </w:r>
          </w:p>
        </w:tc>
        <w:tc>
          <w:tcPr>
            <w:tcW w:w="2668" w:type="dxa"/>
          </w:tcPr>
          <w:p w:rsidR="00EE38EA" w:rsidRPr="004B6248" w:rsidRDefault="00DC4107" w:rsidP="00DC4107">
            <w:pPr>
              <w:tabs>
                <w:tab w:val="left" w:pos="-720"/>
              </w:tabs>
              <w:suppressAutoHyphens/>
              <w:ind w:left="0"/>
              <w:jc w:val="both"/>
              <w:rPr>
                <w:rFonts w:asciiTheme="minorHAnsi" w:hAnsiTheme="minorHAnsi" w:cstheme="minorHAnsi"/>
                <w:spacing w:val="-3"/>
              </w:rPr>
            </w:pPr>
            <w:r w:rsidRPr="004B6248">
              <w:rPr>
                <w:rFonts w:asciiTheme="minorHAnsi" w:hAnsiTheme="minorHAnsi" w:cstheme="minorHAnsi"/>
                <w:spacing w:val="-3"/>
              </w:rPr>
              <w:t>Initial permitting</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NA</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$3,000</w:t>
            </w:r>
          </w:p>
        </w:tc>
      </w:tr>
      <w:tr w:rsidR="00EE38EA" w:rsidRPr="004B6248" w:rsidTr="00EE38EA">
        <w:tc>
          <w:tcPr>
            <w:tcW w:w="2668" w:type="dxa"/>
          </w:tcPr>
          <w:p w:rsidR="00EE38EA" w:rsidRPr="004B6248" w:rsidRDefault="0089125F" w:rsidP="00EE38EA">
            <w:pPr>
              <w:spacing w:after="120"/>
              <w:ind w:left="0"/>
              <w:rPr>
                <w:rFonts w:asciiTheme="minorHAnsi" w:hAnsiTheme="minorHAnsi" w:cstheme="minorHAnsi"/>
              </w:rPr>
            </w:pPr>
            <w:r w:rsidRPr="004B6248">
              <w:rPr>
                <w:rFonts w:asciiTheme="minorHAnsi" w:hAnsiTheme="minorHAnsi" w:cstheme="minorHAnsi"/>
              </w:rPr>
              <w:t>Construction ACDP</w:t>
            </w:r>
          </w:p>
        </w:tc>
        <w:tc>
          <w:tcPr>
            <w:tcW w:w="2668"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spacing w:val="-3"/>
              </w:rPr>
              <w:t>Initial permitting</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Same as Standard</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$9,600</w:t>
            </w:r>
          </w:p>
        </w:tc>
      </w:tr>
      <w:tr w:rsidR="00EE38EA" w:rsidRPr="004B6248" w:rsidTr="00EE38EA">
        <w:tc>
          <w:tcPr>
            <w:tcW w:w="2668" w:type="dxa"/>
          </w:tcPr>
          <w:p w:rsidR="00EE38EA" w:rsidRPr="004B6248" w:rsidRDefault="0089125F" w:rsidP="00EE38EA">
            <w:pPr>
              <w:spacing w:after="120"/>
              <w:ind w:left="0"/>
              <w:rPr>
                <w:rFonts w:asciiTheme="minorHAnsi" w:hAnsiTheme="minorHAnsi" w:cstheme="minorHAnsi"/>
              </w:rPr>
            </w:pPr>
            <w:r w:rsidRPr="004B6248">
              <w:rPr>
                <w:rFonts w:asciiTheme="minorHAnsi" w:hAnsiTheme="minorHAnsi" w:cstheme="minorHAnsi"/>
              </w:rPr>
              <w:t>Minimal ACDP</w:t>
            </w:r>
          </w:p>
        </w:tc>
        <w:tc>
          <w:tcPr>
            <w:tcW w:w="2668" w:type="dxa"/>
          </w:tcPr>
          <w:p w:rsidR="00EE38EA" w:rsidRPr="004B6248" w:rsidRDefault="00EE38EA" w:rsidP="00EE38EA">
            <w:pPr>
              <w:spacing w:after="120"/>
              <w:ind w:left="0"/>
              <w:rPr>
                <w:rFonts w:asciiTheme="minorHAnsi" w:hAnsiTheme="minorHAnsi" w:cstheme="minorHAnsi"/>
              </w:rPr>
            </w:pP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4B6248" w:rsidRDefault="00DC4107" w:rsidP="00EE38EA">
            <w:pPr>
              <w:spacing w:after="120"/>
              <w:ind w:left="0"/>
              <w:rPr>
                <w:rFonts w:asciiTheme="minorHAnsi" w:hAnsiTheme="minorHAnsi" w:cstheme="minorHAnsi"/>
              </w:rPr>
            </w:pPr>
            <w:r w:rsidRPr="004B6248">
              <w:rPr>
                <w:rFonts w:asciiTheme="minorHAnsi" w:hAnsiTheme="minorHAnsi" w:cstheme="minorHAnsi"/>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 xml:space="preserve">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w:t>
      </w:r>
      <w:r w:rsidR="00457A29">
        <w:rPr>
          <w:rFonts w:asciiTheme="minorHAnsi" w:hAnsiTheme="minorHAnsi" w:cstheme="minorHAnsi"/>
          <w:sz w:val="22"/>
          <w:szCs w:val="22"/>
        </w:rPr>
        <w:t>‘</w:t>
      </w:r>
      <w:r w:rsidRPr="00DC4107">
        <w:rPr>
          <w:rFonts w:asciiTheme="minorHAnsi" w:hAnsiTheme="minorHAnsi" w:cstheme="minorHAnsi"/>
          <w:sz w:val="22"/>
          <w:szCs w:val="22"/>
        </w:rPr>
        <w:t>Attachment B – Fee and Workload Analysis</w:t>
      </w:r>
      <w:r w:rsidR="00457A29">
        <w:rPr>
          <w:rFonts w:asciiTheme="minorHAnsi" w:hAnsiTheme="minorHAnsi" w:cstheme="minorHAnsi"/>
          <w:sz w:val="22"/>
          <w:szCs w:val="22"/>
        </w:rPr>
        <w:t>’.</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27111E" w:rsidRPr="009328AF" w:rsidRDefault="00DC4107" w:rsidP="009328AF">
      <w:pPr>
        <w:ind w:left="720"/>
        <w:rPr>
          <w:rFonts w:asciiTheme="minorHAnsi" w:hAnsiTheme="minorHAnsi" w:cstheme="minorHAnsi"/>
          <w:b/>
          <w:sz w:val="22"/>
          <w:szCs w:val="22"/>
          <w:u w:val="single"/>
        </w:rPr>
      </w:pPr>
      <w:r w:rsidRPr="00DC4107">
        <w:rPr>
          <w:rFonts w:asciiTheme="minorHAnsi" w:hAnsiTheme="minorHAnsi" w:cstheme="minorHAnsi"/>
          <w:b/>
          <w:sz w:val="22"/>
          <w:szCs w:val="22"/>
        </w:rPr>
        <w:t>Total: $14,160</w:t>
      </w:r>
      <w:bookmarkStart w:id="3" w:name="RANGE!A226:B243"/>
      <w:bookmarkStart w:id="4" w:name="_GoBack"/>
      <w:bookmarkEnd w:id="3"/>
    </w:p>
    <w:bookmarkEnd w:id="4"/>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6"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AA3E3D" w:rsidRPr="00E879E0" w:rsidRDefault="00AA3E3D" w:rsidP="00E879E0">
      <w:pPr>
        <w:pStyle w:val="DEQTEXTforFACTSHEET"/>
        <w:ind w:left="36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AA3E3D" w:rsidRPr="00E879E0" w:rsidRDefault="00AA3E3D" w:rsidP="00E879E0">
      <w:pPr>
        <w:pStyle w:val="DEQTEXTforFACTSHEET"/>
        <w:ind w:left="360"/>
        <w:rPr>
          <w:rFonts w:asciiTheme="minorHAnsi" w:hAnsiTheme="minorHAnsi" w:cstheme="minorHAnsi"/>
          <w:sz w:val="22"/>
          <w:szCs w:val="22"/>
        </w:rPr>
      </w:pPr>
    </w:p>
    <w:p w:rsidR="00AA3E3D" w:rsidRPr="00E879E0" w:rsidRDefault="00AA3E3D" w:rsidP="00E879E0">
      <w:pPr>
        <w:ind w:left="36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0110AF" w:rsidRPr="00E879E0" w:rsidRDefault="000110AF" w:rsidP="00B34CF8">
      <w:pPr>
        <w:ind w:left="36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w:t>
      </w:r>
      <w:r w:rsidR="00E879E0" w:rsidRPr="00E879E0">
        <w:rPr>
          <w:rFonts w:asciiTheme="minorHAnsi" w:hAnsiTheme="minorHAnsi" w:cstheme="minorHAnsi"/>
          <w:spacing w:val="-3"/>
          <w:sz w:val="22"/>
          <w:szCs w:val="22"/>
        </w:rPr>
        <w:lastRenderedPageBreak/>
        <w:t>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7"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lastRenderedPageBreak/>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8"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w:t>
            </w:r>
            <w:r w:rsidR="009328AF" w:rsidRPr="00457A29">
              <w:rPr>
                <w:rFonts w:asciiTheme="minorHAnsi" w:eastAsia="Times New Roman" w:hAnsiTheme="minorHAnsi" w:cstheme="minorHAnsi"/>
                <w:color w:val="786E54"/>
              </w:rPr>
              <w:t>LRAPA</w:t>
            </w:r>
            <w:r w:rsidRPr="0098048B">
              <w:rPr>
                <w:rFonts w:asciiTheme="minorHAnsi" w:eastAsia="Times New Roman" w:hAnsiTheme="minorHAnsi" w:cstheme="minorHAnsi"/>
                <w:color w:val="786E54"/>
              </w:rPr>
              <w:t xml:space="preserve">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264248" w:rsidRDefault="00264248" w:rsidP="004229AB">
      <w:pPr>
        <w:spacing w:after="120"/>
        <w:ind w:left="720" w:right="18"/>
        <w:outlineLvl w:val="0"/>
        <w:rPr>
          <w:rFonts w:asciiTheme="minorHAnsi" w:eastAsia="Times New Roman" w:hAnsiTheme="minorHAnsi" w:cstheme="minorHAnsi"/>
          <w:bCs/>
          <w:color w:val="504938"/>
          <w:sz w:val="22"/>
          <w:szCs w:val="22"/>
        </w:rPr>
      </w:pPr>
    </w:p>
    <w:p w:rsidR="00264248" w:rsidRDefault="00264248" w:rsidP="004229AB">
      <w:pPr>
        <w:spacing w:after="120"/>
        <w:ind w:left="720" w:right="18"/>
        <w:outlineLvl w:val="0"/>
        <w:rPr>
          <w:rFonts w:asciiTheme="minorHAnsi" w:eastAsia="Times New Roman" w:hAnsiTheme="minorHAnsi" w:cstheme="minorHAnsi"/>
          <w:bCs/>
          <w:color w:val="504938"/>
          <w:sz w:val="22"/>
          <w:szCs w:val="22"/>
        </w:rPr>
      </w:pPr>
    </w:p>
    <w:p w:rsidR="00457A29" w:rsidRDefault="00457A29" w:rsidP="004229AB">
      <w:pPr>
        <w:spacing w:after="120"/>
        <w:ind w:left="720" w:right="18"/>
        <w:outlineLvl w:val="0"/>
        <w:rPr>
          <w:rFonts w:asciiTheme="minorHAnsi" w:eastAsia="Times New Roman" w:hAnsiTheme="minorHAnsi" w:cstheme="minorHAnsi"/>
          <w:bCs/>
          <w:color w:val="504938"/>
          <w:sz w:val="22"/>
          <w:szCs w:val="22"/>
        </w:rPr>
      </w:pPr>
    </w:p>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lastRenderedPageBreak/>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BE6B84">
              <w:rPr>
                <w:rFonts w:asciiTheme="minorHAnsi" w:eastAsia="Times New Roman" w:hAnsiTheme="minorHAnsi" w:cstheme="minorHAnsi"/>
                <w:bCs/>
                <w:color w:val="000000" w:themeColor="text1"/>
                <w:highlight w:val="yellow"/>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BE6B84">
              <w:rPr>
                <w:rFonts w:asciiTheme="minorHAnsi" w:eastAsia="Times New Roman" w:hAnsiTheme="minorHAnsi" w:cstheme="minorHAnsi"/>
                <w:bCs/>
                <w:color w:val="000000" w:themeColor="text1"/>
                <w:highlight w:val="yellow"/>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BE6B84">
              <w:rPr>
                <w:rFonts w:asciiTheme="minorHAnsi" w:eastAsia="Times New Roman" w:hAnsiTheme="minorHAnsi" w:cstheme="minorHAnsi"/>
                <w:bCs/>
                <w:color w:val="000000" w:themeColor="text1"/>
                <w:highlight w:val="yellow"/>
              </w:rPr>
              <w:t>[Insert link to AG]</w:t>
            </w:r>
          </w:p>
        </w:tc>
      </w:tr>
      <w:tr w:rsidR="00BE6B84" w:rsidRPr="00D27525" w:rsidTr="00EE38EA">
        <w:tc>
          <w:tcPr>
            <w:tcW w:w="5040" w:type="dxa"/>
            <w:tcBorders>
              <w:left w:val="double" w:sz="4" w:space="0" w:color="auto"/>
            </w:tcBorders>
          </w:tcPr>
          <w:p w:rsidR="00BE6B84" w:rsidRPr="00BE6B84" w:rsidRDefault="00BE6B84" w:rsidP="00EE38EA">
            <w:pPr>
              <w:ind w:left="0"/>
              <w:rPr>
                <w:rFonts w:asciiTheme="minorHAnsi" w:eastAsia="Times New Roman" w:hAnsiTheme="minorHAnsi" w:cstheme="minorHAnsi"/>
                <w:sz w:val="20"/>
                <w:szCs w:val="20"/>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BE6B84" w:rsidRPr="00BE6B84" w:rsidRDefault="00BE6B84" w:rsidP="00EE38EA">
            <w:pPr>
              <w:ind w:left="72" w:right="18"/>
              <w:rPr>
                <w:rFonts w:asciiTheme="minorHAnsi" w:eastAsia="Times New Roman" w:hAnsiTheme="minorHAnsi" w:cstheme="minorHAnsi"/>
                <w:bCs/>
                <w:color w:val="000000" w:themeColor="text1"/>
                <w:highlight w:val="yellow"/>
              </w:rPr>
            </w:pPr>
            <w:r w:rsidRPr="00BE6B84">
              <w:rPr>
                <w:rFonts w:asciiTheme="minorHAnsi" w:eastAsia="Times New Roman" w:hAnsiTheme="minorHAnsi" w:cstheme="minorHAnsi"/>
                <w:bCs/>
                <w:color w:val="000000" w:themeColor="text1"/>
                <w:sz w:val="20"/>
                <w:szCs w:val="20"/>
                <w:highlight w:val="yellow"/>
              </w:rPr>
              <w:t>[Insert link]</w:t>
            </w:r>
          </w:p>
        </w:tc>
      </w:tr>
      <w:tr w:rsidR="00BE6B84" w:rsidRPr="00D27525" w:rsidTr="00EE38EA">
        <w:tc>
          <w:tcPr>
            <w:tcW w:w="5040" w:type="dxa"/>
            <w:tcBorders>
              <w:left w:val="double" w:sz="4" w:space="0" w:color="auto"/>
            </w:tcBorders>
          </w:tcPr>
          <w:p w:rsidR="00BE6B84" w:rsidRPr="00BE6B84" w:rsidRDefault="00BE6B84" w:rsidP="00BE6B84">
            <w:pPr>
              <w:ind w:left="0"/>
              <w:rPr>
                <w:rFonts w:asciiTheme="minorHAnsi" w:hAnsiTheme="minorHAnsi" w:cstheme="minorHAnsi"/>
                <w:sz w:val="20"/>
                <w:szCs w:val="20"/>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BE6B84" w:rsidRPr="00BE6B84" w:rsidRDefault="00BE6B84" w:rsidP="00BE6B84">
            <w:pPr>
              <w:ind w:left="72" w:right="18"/>
              <w:rPr>
                <w:rFonts w:asciiTheme="minorHAnsi" w:eastAsia="Times New Roman" w:hAnsiTheme="minorHAnsi" w:cstheme="minorHAnsi"/>
                <w:bCs/>
                <w:color w:val="000000" w:themeColor="text1"/>
                <w:sz w:val="20"/>
                <w:szCs w:val="20"/>
              </w:rPr>
            </w:pPr>
            <w:r w:rsidRPr="00BE6B84">
              <w:rPr>
                <w:rFonts w:asciiTheme="minorHAnsi" w:eastAsia="Times New Roman" w:hAnsiTheme="minorHAnsi" w:cstheme="minorHAnsi"/>
                <w:bCs/>
                <w:color w:val="000000" w:themeColor="text1"/>
                <w:sz w:val="20"/>
                <w:szCs w:val="20"/>
                <w:highlight w:val="yellow"/>
              </w:rPr>
              <w:t>[Insert link]</w:t>
            </w:r>
          </w:p>
        </w:tc>
      </w:tr>
      <w:tr w:rsidR="00BE6B84" w:rsidTr="00EE38EA">
        <w:tc>
          <w:tcPr>
            <w:tcW w:w="5040" w:type="dxa"/>
            <w:tcBorders>
              <w:left w:val="double" w:sz="4" w:space="0" w:color="auto"/>
            </w:tcBorders>
          </w:tcPr>
          <w:p w:rsidR="00BE6B84" w:rsidRPr="0098048B" w:rsidRDefault="00BE6B84"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BE6B84" w:rsidRPr="0098048B" w:rsidRDefault="00342CBE" w:rsidP="00EE38EA">
            <w:pPr>
              <w:ind w:left="72" w:right="18"/>
              <w:rPr>
                <w:rFonts w:asciiTheme="minorHAnsi" w:eastAsia="Times New Roman" w:hAnsiTheme="minorHAnsi" w:cstheme="minorHAnsi"/>
                <w:bCs/>
                <w:color w:val="000000" w:themeColor="text1"/>
              </w:rPr>
            </w:pPr>
            <w:hyperlink r:id="rId19" w:history="1">
              <w:r w:rsidR="00BE6B84" w:rsidRPr="0098048B">
                <w:rPr>
                  <w:rStyle w:val="Hyperlink"/>
                  <w:rFonts w:asciiTheme="minorHAnsi" w:hAnsiTheme="minorHAnsi" w:cstheme="minorHAnsi"/>
                </w:rPr>
                <w:t>http://www.deq.state.or.us/regulations/rules.htm</w:t>
              </w:r>
            </w:hyperlink>
          </w:p>
        </w:tc>
      </w:tr>
      <w:tr w:rsidR="00BE6B84" w:rsidTr="00EE38EA">
        <w:tc>
          <w:tcPr>
            <w:tcW w:w="5040" w:type="dxa"/>
            <w:tcBorders>
              <w:left w:val="double" w:sz="4" w:space="0" w:color="auto"/>
            </w:tcBorders>
          </w:tcPr>
          <w:p w:rsidR="00BE6B84" w:rsidRPr="0098048B" w:rsidRDefault="00BE6B84"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BE6B84" w:rsidRPr="0098048B" w:rsidRDefault="00342CBE" w:rsidP="00EE38EA">
            <w:pPr>
              <w:ind w:left="72" w:right="18"/>
              <w:rPr>
                <w:rFonts w:asciiTheme="minorHAnsi" w:eastAsia="Times New Roman" w:hAnsiTheme="minorHAnsi" w:cstheme="minorHAnsi"/>
                <w:bCs/>
                <w:color w:val="000000" w:themeColor="text1"/>
              </w:rPr>
            </w:pPr>
            <w:hyperlink r:id="rId20" w:history="1">
              <w:r w:rsidR="00BE6B84" w:rsidRPr="0098048B">
                <w:rPr>
                  <w:rStyle w:val="Hyperlink"/>
                  <w:rFonts w:asciiTheme="minorHAnsi" w:hAnsiTheme="minorHAnsi" w:cstheme="minorHAnsi"/>
                </w:rPr>
                <w:t>http://www.lrapa.org/rules_and_regulations/index.php</w:t>
              </w:r>
            </w:hyperlink>
          </w:p>
        </w:tc>
      </w:tr>
    </w:tbl>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21652A" w:rsidRPr="00E63447" w:rsidRDefault="0021652A" w:rsidP="00264248">
      <w:pPr>
        <w:ind w:left="0" w:right="18"/>
        <w:outlineLvl w:val="0"/>
        <w:rPr>
          <w:rFonts w:asciiTheme="minorHAnsi" w:eastAsia="Times New Roman" w:hAnsiTheme="minorHAnsi" w:cstheme="minorHAnsi"/>
          <w:sz w:val="22"/>
          <w:szCs w:val="22"/>
        </w:rPr>
      </w:pPr>
    </w:p>
    <w:p w:rsidR="009C5D40" w:rsidRPr="00E63447" w:rsidRDefault="006A2CE3" w:rsidP="009C5D40">
      <w:pPr>
        <w:ind w:left="720"/>
        <w:rPr>
          <w:rFonts w:asciiTheme="minorHAnsi" w:hAnsiTheme="minorHAnsi" w:cstheme="minorHAnsi"/>
          <w:sz w:val="22"/>
          <w:szCs w:val="22"/>
        </w:rPr>
      </w:pPr>
      <w:r w:rsidRPr="00E63447">
        <w:rPr>
          <w:rFonts w:asciiTheme="minorHAnsi" w:hAnsiTheme="minorHAnsi" w:cstheme="minorHAnsi"/>
          <w:sz w:val="22"/>
          <w:szCs w:val="22"/>
        </w:rPr>
        <w:t xml:space="preserve">The LRAPA Advisory Committee was used for this rulemaking because of the extensive revisions and updates.  Since approximately 1994, there have been </w:t>
      </w:r>
      <w:r w:rsidR="00BE6B84">
        <w:rPr>
          <w:rFonts w:asciiTheme="minorHAnsi" w:hAnsiTheme="minorHAnsi" w:cstheme="minorHAnsi"/>
          <w:sz w:val="22"/>
          <w:szCs w:val="22"/>
        </w:rPr>
        <w:t>only minor updates</w:t>
      </w:r>
      <w:r w:rsidRPr="00E63447">
        <w:rPr>
          <w:rFonts w:asciiTheme="minorHAnsi" w:hAnsiTheme="minorHAnsi" w:cstheme="minorHAnsi"/>
          <w:sz w:val="22"/>
          <w:szCs w:val="22"/>
        </w:rPr>
        <w:t xml:space="preserve"> to the LRAPA ACDP rules.  </w:t>
      </w:r>
      <w:r w:rsidR="0021652A" w:rsidRPr="00E63447">
        <w:rPr>
          <w:rFonts w:asciiTheme="minorHAnsi" w:hAnsiTheme="minorHAnsi" w:cstheme="minorHAnsi"/>
          <w:sz w:val="22"/>
          <w:szCs w:val="22"/>
        </w:rPr>
        <w:t xml:space="preserve">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w:t>
      </w:r>
      <w:r w:rsidR="00264248" w:rsidRPr="00E63447">
        <w:rPr>
          <w:rFonts w:asciiTheme="minorHAnsi" w:hAnsiTheme="minorHAnsi" w:cstheme="minorHAnsi"/>
          <w:sz w:val="22"/>
          <w:szCs w:val="22"/>
        </w:rPr>
        <w:t>Board</w:t>
      </w:r>
      <w:r w:rsidR="0021652A" w:rsidRPr="00E63447">
        <w:rPr>
          <w:rFonts w:asciiTheme="minorHAnsi" w:hAnsiTheme="minorHAnsi" w:cstheme="minorHAnsi"/>
          <w:sz w:val="22"/>
          <w:szCs w:val="22"/>
        </w:rPr>
        <w:t xml:space="preserve"> at their October 2007 meeting.</w:t>
      </w:r>
    </w:p>
    <w:p w:rsidR="0021652A" w:rsidRPr="00E63447" w:rsidRDefault="0021652A" w:rsidP="00B34CF8">
      <w:pPr>
        <w:ind w:left="360" w:right="18"/>
        <w:outlineLvl w:val="0"/>
        <w:rPr>
          <w:rFonts w:asciiTheme="minorHAnsi" w:eastAsia="Times New Roman" w:hAnsiTheme="minorHAnsi" w:cstheme="minorHAnsi"/>
          <w:sz w:val="22"/>
          <w:szCs w:val="22"/>
        </w:rPr>
      </w:pPr>
    </w:p>
    <w:p w:rsidR="0021652A" w:rsidRPr="00E63447" w:rsidRDefault="0021652A" w:rsidP="0021652A">
      <w:pPr>
        <w:ind w:left="720" w:right="18"/>
        <w:outlineLvl w:val="0"/>
        <w:rPr>
          <w:rFonts w:asciiTheme="minorHAnsi" w:eastAsia="Times New Roman" w:hAnsiTheme="minorHAnsi" w:cstheme="minorHAnsi"/>
          <w:sz w:val="22"/>
          <w:szCs w:val="22"/>
        </w:rPr>
      </w:pPr>
      <w:r w:rsidRPr="00E63447">
        <w:rPr>
          <w:rFonts w:asciiTheme="minorHAnsi" w:hAnsiTheme="minorHAnsi" w:cstheme="minorHAnsi"/>
          <w:sz w:val="22"/>
          <w:szCs w:val="22"/>
        </w:rPr>
        <w:t>The Industrial Rules Subcommittee would like to thank George Davis from the Oregon Department of Environmental Quality and the LRAPA staff for helping the Subcommittee with information and materials.</w:t>
      </w:r>
    </w:p>
    <w:p w:rsidR="0021652A" w:rsidRPr="00E63447" w:rsidRDefault="0021652A" w:rsidP="00B34CF8">
      <w:pPr>
        <w:ind w:left="360" w:right="18"/>
        <w:outlineLvl w:val="0"/>
        <w:rPr>
          <w:rFonts w:asciiTheme="minorHAnsi" w:eastAsia="Times New Roman" w:hAnsiTheme="minorHAnsi" w:cstheme="minorHAnsi"/>
          <w:sz w:val="22"/>
          <w:szCs w:val="22"/>
        </w:rPr>
      </w:pPr>
    </w:p>
    <w:p w:rsidR="009C5D40" w:rsidRPr="00E63447" w:rsidRDefault="009C5D40" w:rsidP="009C5D40">
      <w:pPr>
        <w:ind w:left="720" w:right="18"/>
        <w:rPr>
          <w:rFonts w:asciiTheme="minorHAnsi" w:hAnsiTheme="minorHAnsi" w:cstheme="minorHAnsi"/>
          <w:iCs/>
          <w:sz w:val="22"/>
          <w:szCs w:val="22"/>
        </w:rPr>
      </w:pPr>
      <w:r w:rsidRPr="00E63447">
        <w:rPr>
          <w:rFonts w:asciiTheme="minorHAnsi" w:eastAsia="Times New Roman" w:hAnsiTheme="minorHAnsi" w:cstheme="minorHAnsi"/>
          <w:sz w:val="22"/>
          <w:szCs w:val="22"/>
        </w:rPr>
        <w:t>The committee reviewed several aspects of the proposed rule changes and documented its recommendation in</w:t>
      </w:r>
      <w:r w:rsidRPr="00E63447">
        <w:rPr>
          <w:rFonts w:asciiTheme="minorHAnsi" w:hAnsiTheme="minorHAnsi" w:cstheme="minorHAnsi"/>
          <w:iCs/>
          <w:sz w:val="22"/>
          <w:szCs w:val="22"/>
        </w:rPr>
        <w:t xml:space="preserve"> the following documents</w:t>
      </w:r>
      <w:r w:rsidRPr="00E63447">
        <w:rPr>
          <w:rFonts w:asciiTheme="minorHAnsi" w:hAnsiTheme="minorHAnsi" w:cstheme="minorHAnsi"/>
          <w:iCs/>
          <w:color w:val="0D0D0D" w:themeColor="text1" w:themeTint="F2"/>
          <w:sz w:val="22"/>
          <w:szCs w:val="22"/>
        </w:rPr>
        <w:t xml:space="preserve"> </w:t>
      </w:r>
      <w:r w:rsidRPr="00E63447">
        <w:rPr>
          <w:rFonts w:asciiTheme="minorHAnsi" w:hAnsiTheme="minorHAnsi" w:cstheme="minorHAnsi"/>
          <w:iCs/>
          <w:color w:val="000000" w:themeColor="text1"/>
          <w:sz w:val="22"/>
          <w:szCs w:val="22"/>
        </w:rPr>
        <w:t xml:space="preserve">approved minutes dated </w:t>
      </w:r>
      <w:r w:rsidRPr="00E63447">
        <w:rPr>
          <w:rFonts w:asciiTheme="minorHAnsi" w:eastAsia="Times New Roman" w:hAnsiTheme="minorHAnsi" w:cstheme="minorHAnsi"/>
          <w:color w:val="000000"/>
          <w:sz w:val="22"/>
          <w:szCs w:val="22"/>
        </w:rPr>
        <w:t>Feb. 20, 2008</w:t>
      </w:r>
      <w:r w:rsidR="00237648">
        <w:rPr>
          <w:rFonts w:asciiTheme="minorHAnsi" w:eastAsia="Times New Roman" w:hAnsiTheme="minorHAnsi" w:cstheme="minorHAnsi"/>
          <w:color w:val="000000"/>
          <w:sz w:val="22"/>
          <w:szCs w:val="22"/>
        </w:rPr>
        <w:t>:</w:t>
      </w:r>
    </w:p>
    <w:p w:rsidR="0021652A" w:rsidRPr="00E63447" w:rsidRDefault="0021652A" w:rsidP="00237648">
      <w:pPr>
        <w:ind w:left="0"/>
        <w:rPr>
          <w:rFonts w:asciiTheme="minorHAnsi" w:hAnsiTheme="minorHAnsi" w:cstheme="minorHAnsi"/>
          <w:sz w:val="22"/>
          <w:szCs w:val="22"/>
        </w:rPr>
      </w:pPr>
    </w:p>
    <w:p w:rsidR="0021652A" w:rsidRPr="00E63447" w:rsidRDefault="0021652A" w:rsidP="0021652A">
      <w:pPr>
        <w:pStyle w:val="ListParagraph"/>
        <w:numPr>
          <w:ilvl w:val="0"/>
          <w:numId w:val="17"/>
        </w:numPr>
        <w:spacing w:after="200" w:line="276" w:lineRule="auto"/>
        <w:ind w:left="1080"/>
        <w:rPr>
          <w:rFonts w:asciiTheme="minorHAnsi" w:hAnsiTheme="minorHAnsi" w:cstheme="minorHAnsi"/>
          <w:sz w:val="22"/>
          <w:szCs w:val="22"/>
        </w:rPr>
      </w:pPr>
      <w:r w:rsidRPr="00E63447">
        <w:rPr>
          <w:rFonts w:asciiTheme="minorHAnsi" w:hAnsiTheme="minorHAnsi" w:cstheme="minorHAnsi"/>
          <w:sz w:val="22"/>
          <w:szCs w:val="22"/>
        </w:rPr>
        <w:t>Rules Stringency Analysis –Evaluates the 24 different proposed rule sections against five separate criteria.  [</w:t>
      </w:r>
      <w:r w:rsidR="00BE6B84">
        <w:rPr>
          <w:rFonts w:asciiTheme="minorHAnsi" w:hAnsiTheme="minorHAnsi" w:cstheme="minorHAnsi"/>
          <w:sz w:val="22"/>
          <w:szCs w:val="22"/>
        </w:rPr>
        <w:t xml:space="preserve">See </w:t>
      </w:r>
      <w:r w:rsidR="00237648">
        <w:rPr>
          <w:rFonts w:asciiTheme="minorHAnsi" w:hAnsiTheme="minorHAnsi" w:cstheme="minorHAnsi"/>
          <w:sz w:val="22"/>
          <w:szCs w:val="22"/>
        </w:rPr>
        <w:t>‘</w:t>
      </w:r>
      <w:r w:rsidRPr="00237648">
        <w:rPr>
          <w:rFonts w:asciiTheme="minorHAnsi" w:hAnsiTheme="minorHAnsi" w:cstheme="minorHAnsi"/>
          <w:sz w:val="22"/>
          <w:szCs w:val="22"/>
        </w:rPr>
        <w:t>Attachment A- Rule Summary and Stringency Analysis</w:t>
      </w:r>
      <w:r w:rsidR="00237648" w:rsidRPr="00237648">
        <w:rPr>
          <w:rFonts w:asciiTheme="minorHAnsi" w:hAnsiTheme="minorHAnsi" w:cstheme="minorHAnsi"/>
          <w:sz w:val="22"/>
          <w:szCs w:val="22"/>
        </w:rPr>
        <w:t>’</w:t>
      </w:r>
      <w:r w:rsidR="00237648">
        <w:rPr>
          <w:rFonts w:asciiTheme="minorHAnsi" w:hAnsiTheme="minorHAnsi" w:cstheme="minorHAnsi"/>
          <w:sz w:val="22"/>
          <w:szCs w:val="22"/>
        </w:rPr>
        <w:t xml:space="preserve"> in the </w:t>
      </w:r>
      <w:r w:rsidR="00237648" w:rsidRPr="00237648">
        <w:rPr>
          <w:rFonts w:asciiTheme="minorHAnsi" w:hAnsiTheme="minorHAnsi" w:cstheme="minorHAnsi"/>
          <w:sz w:val="22"/>
          <w:szCs w:val="22"/>
        </w:rPr>
        <w:t xml:space="preserve">LRAPA Board October 14, 2008 Agenda Item 6 - Adoption of Proposed Industrial Permitting Rules (Including Attachments ‘A’ – ‘J’) </w:t>
      </w:r>
      <w:r w:rsidR="00237648">
        <w:rPr>
          <w:rFonts w:asciiTheme="minorHAnsi" w:hAnsiTheme="minorHAnsi" w:cstheme="minorHAnsi"/>
          <w:sz w:val="22"/>
          <w:szCs w:val="22"/>
        </w:rPr>
        <w:t>in the ‘</w:t>
      </w:r>
      <w:r w:rsidR="00237648" w:rsidRPr="00237648">
        <w:rPr>
          <w:rFonts w:asciiTheme="minorHAnsi" w:eastAsia="Times New Roman" w:hAnsiTheme="minorHAnsi" w:cstheme="minorHAnsi"/>
          <w:bCs/>
          <w:sz w:val="22"/>
          <w:szCs w:val="22"/>
        </w:rPr>
        <w:t>Documents relied on for fiscal and economic impact’</w:t>
      </w:r>
      <w:r w:rsidR="00237648" w:rsidRPr="00237648">
        <w:rPr>
          <w:rFonts w:asciiTheme="minorHAnsi" w:hAnsiTheme="minorHAnsi" w:cstheme="minorHAnsi"/>
          <w:sz w:val="22"/>
          <w:szCs w:val="22"/>
        </w:rPr>
        <w:t xml:space="preserve"> above</w:t>
      </w:r>
      <w:r w:rsidRPr="00E63447">
        <w:rPr>
          <w:rFonts w:asciiTheme="minorHAnsi" w:hAnsiTheme="minorHAnsi" w:cstheme="minorHAnsi"/>
          <w:sz w:val="22"/>
          <w:szCs w:val="22"/>
        </w:rPr>
        <w:t>]</w:t>
      </w:r>
    </w:p>
    <w:p w:rsidR="0021652A" w:rsidRPr="00E63447" w:rsidRDefault="0021652A" w:rsidP="0021652A">
      <w:pPr>
        <w:pStyle w:val="ListParagraph"/>
        <w:numPr>
          <w:ilvl w:val="0"/>
          <w:numId w:val="17"/>
        </w:numPr>
        <w:spacing w:after="200" w:line="276" w:lineRule="auto"/>
        <w:ind w:left="1080"/>
        <w:rPr>
          <w:rFonts w:asciiTheme="minorHAnsi" w:hAnsiTheme="minorHAnsi" w:cstheme="minorHAnsi"/>
          <w:sz w:val="22"/>
          <w:szCs w:val="22"/>
        </w:rPr>
      </w:pPr>
      <w:r w:rsidRPr="00E63447">
        <w:rPr>
          <w:rFonts w:asciiTheme="minorHAnsi" w:hAnsiTheme="minorHAnsi" w:cstheme="minorHAnsi"/>
          <w:sz w:val="22"/>
          <w:szCs w:val="22"/>
        </w:rPr>
        <w:t xml:space="preserve">New Source Review Stringency Analysis –Supports and expands on Item 9 of the Rule Stringency Analysis. </w:t>
      </w:r>
      <w:r w:rsidR="009C5D40" w:rsidRPr="00E63447">
        <w:rPr>
          <w:rFonts w:asciiTheme="minorHAnsi" w:hAnsiTheme="minorHAnsi" w:cstheme="minorHAnsi"/>
          <w:sz w:val="22"/>
          <w:szCs w:val="22"/>
        </w:rPr>
        <w:t>[</w:t>
      </w:r>
      <w:r w:rsidRPr="00E63447">
        <w:rPr>
          <w:rFonts w:asciiTheme="minorHAnsi" w:hAnsiTheme="minorHAnsi" w:cstheme="minorHAnsi"/>
          <w:sz w:val="22"/>
          <w:szCs w:val="22"/>
        </w:rPr>
        <w:t xml:space="preserve"> </w:t>
      </w:r>
      <w:r w:rsidR="00237648">
        <w:rPr>
          <w:rFonts w:asciiTheme="minorHAnsi" w:hAnsiTheme="minorHAnsi" w:cstheme="minorHAnsi"/>
          <w:sz w:val="22"/>
          <w:szCs w:val="22"/>
        </w:rPr>
        <w:t>See ‘</w:t>
      </w:r>
      <w:r w:rsidR="009C5D40" w:rsidRPr="00237648">
        <w:rPr>
          <w:rFonts w:asciiTheme="minorHAnsi" w:hAnsiTheme="minorHAnsi" w:cstheme="minorHAnsi"/>
          <w:sz w:val="22"/>
          <w:szCs w:val="22"/>
        </w:rPr>
        <w:t>Attachment C- New Source Review Analysis</w:t>
      </w:r>
      <w:r w:rsidR="00237648">
        <w:rPr>
          <w:rFonts w:asciiTheme="minorHAnsi" w:hAnsiTheme="minorHAnsi" w:cstheme="minorHAnsi"/>
          <w:sz w:val="22"/>
          <w:szCs w:val="22"/>
        </w:rPr>
        <w:t xml:space="preserve">’ in the </w:t>
      </w:r>
      <w:r w:rsidR="00237648" w:rsidRPr="00237648">
        <w:rPr>
          <w:rFonts w:asciiTheme="minorHAnsi" w:hAnsiTheme="minorHAnsi" w:cstheme="minorHAnsi"/>
          <w:sz w:val="22"/>
          <w:szCs w:val="22"/>
        </w:rPr>
        <w:t xml:space="preserve">LRAPA Board October 14, 2008 Agenda Item 6 - Adoption of Proposed Industrial Permitting Rules (Including Attachments ‘A’ – ‘J’) </w:t>
      </w:r>
      <w:r w:rsidR="00237648">
        <w:rPr>
          <w:rFonts w:asciiTheme="minorHAnsi" w:hAnsiTheme="minorHAnsi" w:cstheme="minorHAnsi"/>
          <w:sz w:val="22"/>
          <w:szCs w:val="22"/>
        </w:rPr>
        <w:t>in the ‘</w:t>
      </w:r>
      <w:r w:rsidR="00237648" w:rsidRPr="00237648">
        <w:rPr>
          <w:rFonts w:asciiTheme="minorHAnsi" w:eastAsia="Times New Roman" w:hAnsiTheme="minorHAnsi" w:cstheme="minorHAnsi"/>
          <w:bCs/>
          <w:sz w:val="22"/>
          <w:szCs w:val="22"/>
        </w:rPr>
        <w:t>Documents relied on for fiscal and economic impact’</w:t>
      </w:r>
      <w:r w:rsidR="00E34B53">
        <w:rPr>
          <w:rFonts w:asciiTheme="minorHAnsi" w:eastAsia="Times New Roman" w:hAnsiTheme="minorHAnsi" w:cstheme="minorHAnsi"/>
          <w:bCs/>
          <w:sz w:val="22"/>
          <w:szCs w:val="22"/>
        </w:rPr>
        <w:t xml:space="preserve"> </w:t>
      </w:r>
      <w:r w:rsidR="00237648" w:rsidRPr="00237648">
        <w:rPr>
          <w:rFonts w:asciiTheme="minorHAnsi" w:hAnsiTheme="minorHAnsi" w:cstheme="minorHAnsi"/>
          <w:sz w:val="22"/>
          <w:szCs w:val="22"/>
        </w:rPr>
        <w:t>above</w:t>
      </w:r>
      <w:r w:rsidR="00237648">
        <w:rPr>
          <w:rFonts w:asciiTheme="minorHAnsi" w:hAnsiTheme="minorHAnsi" w:cstheme="minorHAnsi"/>
          <w:sz w:val="22"/>
          <w:szCs w:val="22"/>
        </w:rPr>
        <w:t xml:space="preserve"> </w:t>
      </w:r>
      <w:r w:rsidR="009C5D40" w:rsidRPr="00E63447">
        <w:rPr>
          <w:rFonts w:asciiTheme="minorHAnsi" w:hAnsiTheme="minorHAnsi" w:cstheme="minorHAnsi"/>
          <w:sz w:val="22"/>
          <w:szCs w:val="22"/>
        </w:rPr>
        <w:t>]</w:t>
      </w:r>
    </w:p>
    <w:p w:rsidR="0021652A" w:rsidRPr="00E63447" w:rsidRDefault="0021652A" w:rsidP="0021652A">
      <w:pPr>
        <w:pStyle w:val="ListParagraph"/>
        <w:numPr>
          <w:ilvl w:val="0"/>
          <w:numId w:val="17"/>
        </w:numPr>
        <w:spacing w:after="200" w:line="276" w:lineRule="auto"/>
        <w:ind w:left="1080"/>
        <w:rPr>
          <w:rFonts w:asciiTheme="minorHAnsi" w:hAnsiTheme="minorHAnsi" w:cstheme="minorHAnsi"/>
          <w:sz w:val="22"/>
          <w:szCs w:val="22"/>
        </w:rPr>
      </w:pPr>
      <w:r w:rsidRPr="00E63447">
        <w:rPr>
          <w:rFonts w:asciiTheme="minorHAnsi" w:hAnsiTheme="minorHAnsi" w:cstheme="minorHAnsi"/>
          <w:sz w:val="22"/>
          <w:szCs w:val="22"/>
        </w:rPr>
        <w:lastRenderedPageBreak/>
        <w:t>Fee and Workload Analysis –Supports and provides further detail on the expected fee and workload changes expected under the proposed rule changes.</w:t>
      </w:r>
      <w:r w:rsidR="009C5D40" w:rsidRPr="00E63447">
        <w:rPr>
          <w:rFonts w:asciiTheme="minorHAnsi" w:hAnsiTheme="minorHAnsi" w:cstheme="minorHAnsi"/>
          <w:sz w:val="22"/>
          <w:szCs w:val="22"/>
        </w:rPr>
        <w:t xml:space="preserve"> </w:t>
      </w:r>
      <w:r w:rsidR="009C5D40" w:rsidRPr="00237648">
        <w:rPr>
          <w:rFonts w:asciiTheme="minorHAnsi" w:hAnsiTheme="minorHAnsi" w:cstheme="minorHAnsi"/>
          <w:sz w:val="22"/>
          <w:szCs w:val="22"/>
        </w:rPr>
        <w:t>[</w:t>
      </w:r>
      <w:r w:rsidR="00237648" w:rsidRPr="00237648">
        <w:rPr>
          <w:rFonts w:asciiTheme="minorHAnsi" w:hAnsiTheme="minorHAnsi" w:cstheme="minorHAnsi"/>
          <w:sz w:val="22"/>
          <w:szCs w:val="22"/>
        </w:rPr>
        <w:t>See ‘</w:t>
      </w:r>
      <w:r w:rsidR="009C5D40" w:rsidRPr="00237648">
        <w:rPr>
          <w:rFonts w:asciiTheme="minorHAnsi" w:hAnsiTheme="minorHAnsi" w:cstheme="minorHAnsi"/>
          <w:sz w:val="22"/>
          <w:szCs w:val="22"/>
        </w:rPr>
        <w:t>Attachment B- Fee and Workload Analysis</w:t>
      </w:r>
      <w:r w:rsidR="00237648" w:rsidRPr="00237648">
        <w:rPr>
          <w:rFonts w:asciiTheme="minorHAnsi" w:hAnsiTheme="minorHAnsi" w:cstheme="minorHAnsi"/>
          <w:sz w:val="22"/>
          <w:szCs w:val="22"/>
        </w:rPr>
        <w:t xml:space="preserve">’ in the LRAPA Board October 14, 2008 Agenda Item 6 - Adoption of Proposed Industrial Permitting Rules (Including Attachments ‘A’ – ‘J’) </w:t>
      </w:r>
      <w:r w:rsidR="00237648">
        <w:rPr>
          <w:rFonts w:asciiTheme="minorHAnsi" w:hAnsiTheme="minorHAnsi" w:cstheme="minorHAnsi"/>
          <w:sz w:val="22"/>
          <w:szCs w:val="22"/>
        </w:rPr>
        <w:t>in the ‘</w:t>
      </w:r>
      <w:r w:rsidR="00237648" w:rsidRPr="00237648">
        <w:rPr>
          <w:rFonts w:asciiTheme="minorHAnsi" w:eastAsia="Times New Roman" w:hAnsiTheme="minorHAnsi" w:cstheme="minorHAnsi"/>
          <w:bCs/>
          <w:sz w:val="22"/>
          <w:szCs w:val="22"/>
        </w:rPr>
        <w:t>Documents relied on for fiscal and economic impact’</w:t>
      </w:r>
      <w:r w:rsidR="00E34B53">
        <w:rPr>
          <w:rFonts w:asciiTheme="minorHAnsi" w:eastAsia="Times New Roman" w:hAnsiTheme="minorHAnsi" w:cstheme="minorHAnsi"/>
          <w:bCs/>
          <w:sz w:val="22"/>
          <w:szCs w:val="22"/>
        </w:rPr>
        <w:t xml:space="preserve"> </w:t>
      </w:r>
      <w:r w:rsidR="00237648" w:rsidRPr="00237648">
        <w:rPr>
          <w:rFonts w:asciiTheme="minorHAnsi" w:hAnsiTheme="minorHAnsi" w:cstheme="minorHAnsi"/>
          <w:sz w:val="22"/>
          <w:szCs w:val="22"/>
        </w:rPr>
        <w:t>above</w:t>
      </w:r>
      <w:r w:rsidR="009C5D40" w:rsidRPr="00237648">
        <w:rPr>
          <w:rFonts w:asciiTheme="minorHAnsi" w:hAnsiTheme="minorHAnsi" w:cstheme="minorHAnsi"/>
          <w:sz w:val="22"/>
          <w:szCs w:val="22"/>
        </w:rPr>
        <w:t>]</w:t>
      </w:r>
      <w:r w:rsidR="009C5D40" w:rsidRPr="00E63447">
        <w:rPr>
          <w:rFonts w:asciiTheme="minorHAnsi" w:hAnsiTheme="minorHAnsi" w:cstheme="minorHAnsi"/>
          <w:sz w:val="22"/>
          <w:szCs w:val="22"/>
        </w:rPr>
        <w:t xml:space="preserve"> </w:t>
      </w:r>
    </w:p>
    <w:p w:rsidR="0021652A" w:rsidRPr="00E63447" w:rsidRDefault="0021652A" w:rsidP="00B34CF8">
      <w:pPr>
        <w:ind w:left="360" w:right="18"/>
        <w:outlineLvl w:val="0"/>
        <w:rPr>
          <w:rFonts w:asciiTheme="minorHAnsi" w:eastAsia="Times New Roman" w:hAnsiTheme="minorHAnsi" w:cstheme="minorHAnsi"/>
          <w:sz w:val="22"/>
          <w:szCs w:val="22"/>
        </w:rPr>
      </w:pPr>
    </w:p>
    <w:p w:rsidR="00457A29" w:rsidRPr="00E63447" w:rsidRDefault="00457A29" w:rsidP="00B34CF8">
      <w:pPr>
        <w:ind w:left="360" w:right="18"/>
        <w:outlineLvl w:val="0"/>
        <w:rPr>
          <w:rFonts w:asciiTheme="minorHAnsi" w:eastAsia="Times New Roman" w:hAnsiTheme="minorHAnsi" w:cstheme="minorHAnsi"/>
          <w:sz w:val="22"/>
          <w:szCs w:val="22"/>
        </w:rPr>
      </w:pPr>
    </w:p>
    <w:p w:rsidR="00AA26D5" w:rsidRPr="00E63447" w:rsidRDefault="00A50464" w:rsidP="006A2CE3">
      <w:pPr>
        <w:spacing w:after="120"/>
        <w:ind w:left="360" w:right="18"/>
        <w:outlineLvl w:val="0"/>
        <w:rPr>
          <w:rFonts w:asciiTheme="minorHAnsi" w:eastAsia="Times New Roman" w:hAnsiTheme="minorHAnsi" w:cstheme="minorHAnsi"/>
          <w:bCs/>
          <w:color w:val="504938"/>
          <w:sz w:val="22"/>
          <w:szCs w:val="22"/>
        </w:rPr>
      </w:pPr>
      <w:r w:rsidRPr="00E63447">
        <w:rPr>
          <w:rFonts w:asciiTheme="minorHAnsi" w:eastAsia="Times New Roman" w:hAnsiTheme="minorHAnsi" w:cstheme="minorHAnsi"/>
          <w:bCs/>
          <w:color w:val="504938"/>
          <w:sz w:val="22"/>
          <w:szCs w:val="22"/>
        </w:rPr>
        <w:t xml:space="preserve">Housing </w:t>
      </w:r>
      <w:r w:rsidR="000B6AA9" w:rsidRPr="00E63447">
        <w:rPr>
          <w:rFonts w:asciiTheme="minorHAnsi" w:eastAsia="Times New Roman" w:hAnsiTheme="minorHAnsi" w:cstheme="minorHAnsi"/>
          <w:bCs/>
          <w:color w:val="504938"/>
          <w:sz w:val="22"/>
          <w:szCs w:val="22"/>
        </w:rPr>
        <w:t>c</w:t>
      </w:r>
      <w:r w:rsidRPr="00E63447">
        <w:rPr>
          <w:rFonts w:asciiTheme="minorHAnsi" w:eastAsia="Times New Roman" w:hAnsiTheme="minorHAnsi" w:cstheme="minorHAnsi"/>
          <w:bCs/>
          <w:color w:val="504938"/>
          <w:sz w:val="22"/>
          <w:szCs w:val="22"/>
        </w:rPr>
        <w:t>ost</w:t>
      </w:r>
      <w:r w:rsidR="00F824B8" w:rsidRPr="00E63447">
        <w:rPr>
          <w:rFonts w:asciiTheme="minorHAnsi" w:eastAsia="Times New Roman" w:hAnsiTheme="minorHAnsi" w:cstheme="minorHAnsi"/>
          <w:bCs/>
          <w:color w:val="504938"/>
          <w:sz w:val="22"/>
          <w:szCs w:val="22"/>
        </w:rPr>
        <w:t xml:space="preserve">  </w:t>
      </w:r>
    </w:p>
    <w:p w:rsidR="00264248" w:rsidRPr="00E63447" w:rsidRDefault="00F824B8" w:rsidP="00FF532D">
      <w:pPr>
        <w:ind w:left="720" w:right="18"/>
        <w:rPr>
          <w:rFonts w:asciiTheme="minorHAnsi" w:eastAsia="Times New Roman" w:hAnsiTheme="minorHAnsi" w:cstheme="minorHAnsi"/>
          <w:bCs/>
          <w:sz w:val="22"/>
          <w:szCs w:val="22"/>
        </w:rPr>
      </w:pPr>
      <w:r w:rsidRPr="00E63447">
        <w:rPr>
          <w:rFonts w:asciiTheme="minorHAnsi" w:eastAsia="Times New Roman" w:hAnsiTheme="minorHAnsi" w:cstheme="minorHAnsi"/>
          <w:bCs/>
          <w:color w:val="000000" w:themeColor="text1"/>
          <w:sz w:val="22"/>
          <w:szCs w:val="22"/>
        </w:rPr>
        <w:t xml:space="preserve">To comply with </w:t>
      </w:r>
      <w:hyperlink r:id="rId21" w:history="1">
        <w:r w:rsidRPr="00E63447">
          <w:rPr>
            <w:rStyle w:val="Hyperlink"/>
            <w:rFonts w:asciiTheme="minorHAnsi" w:eastAsia="Times New Roman" w:hAnsiTheme="minorHAnsi" w:cstheme="minorHAnsi"/>
            <w:bCs/>
            <w:sz w:val="22"/>
            <w:szCs w:val="22"/>
          </w:rPr>
          <w:t>ORS 183.534</w:t>
        </w:r>
      </w:hyperlink>
      <w:r w:rsidRPr="00E63447">
        <w:rPr>
          <w:rFonts w:asciiTheme="minorHAnsi" w:eastAsia="Times New Roman" w:hAnsiTheme="minorHAnsi" w:cstheme="minorHAnsi"/>
          <w:bCs/>
          <w:color w:val="000000" w:themeColor="text1"/>
          <w:sz w:val="22"/>
          <w:szCs w:val="22"/>
        </w:rPr>
        <w:t xml:space="preserve">, </w:t>
      </w:r>
      <w:r w:rsidR="00E368CA" w:rsidRPr="00E63447">
        <w:rPr>
          <w:rFonts w:asciiTheme="minorHAnsi" w:eastAsia="Times New Roman" w:hAnsiTheme="minorHAnsi" w:cstheme="minorHAnsi"/>
          <w:bCs/>
          <w:sz w:val="22"/>
          <w:szCs w:val="22"/>
        </w:rPr>
        <w:t>DEQ determined the proposed rule</w:t>
      </w:r>
      <w:r w:rsidRPr="00E63447">
        <w:rPr>
          <w:rFonts w:asciiTheme="minorHAnsi" w:eastAsia="Times New Roman" w:hAnsiTheme="minorHAnsi" w:cstheme="minorHAnsi"/>
          <w:bCs/>
          <w:sz w:val="22"/>
          <w:szCs w:val="22"/>
        </w:rPr>
        <w:t xml:space="preserve">s </w:t>
      </w:r>
      <w:r w:rsidR="0085122C" w:rsidRPr="00E63447">
        <w:rPr>
          <w:rFonts w:asciiTheme="minorHAnsi" w:eastAsia="Times New Roman" w:hAnsiTheme="minorHAnsi" w:cstheme="minorHAnsi"/>
          <w:bCs/>
          <w:sz w:val="22"/>
          <w:szCs w:val="22"/>
        </w:rPr>
        <w:t>would</w:t>
      </w:r>
      <w:r w:rsidR="00E368CA" w:rsidRPr="00E63447">
        <w:rPr>
          <w:rFonts w:asciiTheme="minorHAnsi" w:eastAsia="Times New Roman" w:hAnsiTheme="minorHAnsi" w:cstheme="minorHAnsi"/>
          <w:bCs/>
          <w:sz w:val="22"/>
          <w:szCs w:val="22"/>
        </w:rPr>
        <w:t xml:space="preserve"> </w:t>
      </w:r>
      <w:r w:rsidR="0085122C" w:rsidRPr="00E63447">
        <w:rPr>
          <w:rFonts w:asciiTheme="minorHAnsi" w:eastAsia="Times New Roman" w:hAnsiTheme="minorHAnsi" w:cstheme="minorHAnsi"/>
          <w:bCs/>
          <w:sz w:val="22"/>
          <w:szCs w:val="22"/>
        </w:rPr>
        <w:t>have no</w:t>
      </w:r>
      <w:r w:rsidR="00E368CA" w:rsidRPr="00E63447">
        <w:rPr>
          <w:rFonts w:asciiTheme="minorHAnsi" w:eastAsia="Times New Roman" w:hAnsiTheme="minorHAnsi" w:cstheme="minorHAnsi"/>
          <w:bCs/>
          <w:sz w:val="22"/>
          <w:szCs w:val="22"/>
        </w:rPr>
        <w:t xml:space="preserve"> effect on the development cost of a 6,000</w:t>
      </w:r>
      <w:r w:rsidR="000B6AA9" w:rsidRPr="00E63447">
        <w:rPr>
          <w:rFonts w:asciiTheme="minorHAnsi" w:eastAsia="Times New Roman" w:hAnsiTheme="minorHAnsi" w:cstheme="minorHAnsi"/>
          <w:bCs/>
          <w:sz w:val="22"/>
          <w:szCs w:val="22"/>
        </w:rPr>
        <w:t>-</w:t>
      </w:r>
      <w:r w:rsidR="00E368CA" w:rsidRPr="00E63447">
        <w:rPr>
          <w:rFonts w:asciiTheme="minorHAnsi" w:eastAsia="Times New Roman" w:hAnsiTheme="minorHAnsi" w:cstheme="minorHAnsi"/>
          <w:bCs/>
          <w:sz w:val="22"/>
          <w:szCs w:val="22"/>
        </w:rPr>
        <w:t>square</w:t>
      </w:r>
      <w:r w:rsidR="000B6AA9" w:rsidRPr="00E63447">
        <w:rPr>
          <w:rFonts w:asciiTheme="minorHAnsi" w:eastAsia="Times New Roman" w:hAnsiTheme="minorHAnsi" w:cstheme="minorHAnsi"/>
          <w:bCs/>
          <w:sz w:val="22"/>
          <w:szCs w:val="22"/>
        </w:rPr>
        <w:t>-</w:t>
      </w:r>
      <w:r w:rsidR="00E368CA" w:rsidRPr="00E63447">
        <w:rPr>
          <w:rFonts w:asciiTheme="minorHAnsi" w:eastAsia="Times New Roman" w:hAnsiTheme="minorHAnsi" w:cstheme="minorHAnsi"/>
          <w:bCs/>
          <w:sz w:val="22"/>
          <w:szCs w:val="22"/>
        </w:rPr>
        <w:t>foot parcel and construction of a 1,200</w:t>
      </w:r>
      <w:r w:rsidR="000B6AA9" w:rsidRPr="00E63447">
        <w:rPr>
          <w:rFonts w:asciiTheme="minorHAnsi" w:eastAsia="Times New Roman" w:hAnsiTheme="minorHAnsi" w:cstheme="minorHAnsi"/>
          <w:bCs/>
          <w:sz w:val="22"/>
          <w:szCs w:val="22"/>
        </w:rPr>
        <w:t>-</w:t>
      </w:r>
      <w:r w:rsidR="00E368CA" w:rsidRPr="00E63447">
        <w:rPr>
          <w:rFonts w:asciiTheme="minorHAnsi" w:eastAsia="Times New Roman" w:hAnsiTheme="minorHAnsi" w:cstheme="minorHAnsi"/>
          <w:bCs/>
          <w:sz w:val="22"/>
          <w:szCs w:val="22"/>
        </w:rPr>
        <w:t>square</w:t>
      </w:r>
      <w:r w:rsidR="000B6AA9" w:rsidRPr="00E63447">
        <w:rPr>
          <w:rFonts w:asciiTheme="minorHAnsi" w:eastAsia="Times New Roman" w:hAnsiTheme="minorHAnsi" w:cstheme="minorHAnsi"/>
          <w:bCs/>
          <w:sz w:val="22"/>
          <w:szCs w:val="22"/>
        </w:rPr>
        <w:t>-</w:t>
      </w:r>
      <w:r w:rsidR="00AA26D5" w:rsidRPr="00E63447">
        <w:rPr>
          <w:rFonts w:asciiTheme="minorHAnsi" w:eastAsia="Times New Roman" w:hAnsiTheme="minorHAnsi" w:cstheme="minorHAnsi"/>
          <w:bCs/>
          <w:sz w:val="22"/>
          <w:szCs w:val="22"/>
        </w:rPr>
        <w:t xml:space="preserve">foot detached, </w:t>
      </w:r>
      <w:r w:rsidR="00E368CA" w:rsidRPr="00E63447">
        <w:rPr>
          <w:rFonts w:asciiTheme="minorHAnsi" w:eastAsia="Times New Roman" w:hAnsiTheme="minorHAnsi" w:cstheme="minorHAnsi"/>
          <w:bCs/>
          <w:sz w:val="22"/>
          <w:szCs w:val="22"/>
        </w:rPr>
        <w:t>single</w:t>
      </w:r>
      <w:r w:rsidR="000B6AA9" w:rsidRPr="00E63447">
        <w:rPr>
          <w:rFonts w:asciiTheme="minorHAnsi" w:eastAsia="Times New Roman" w:hAnsiTheme="minorHAnsi" w:cstheme="minorHAnsi"/>
          <w:bCs/>
          <w:sz w:val="22"/>
          <w:szCs w:val="22"/>
        </w:rPr>
        <w:t>-</w:t>
      </w:r>
      <w:r w:rsidR="00E368CA" w:rsidRPr="00E63447">
        <w:rPr>
          <w:rFonts w:asciiTheme="minorHAnsi" w:eastAsia="Times New Roman" w:hAnsiTheme="minorHAnsi" w:cstheme="minorHAnsi"/>
          <w:bCs/>
          <w:sz w:val="22"/>
          <w:szCs w:val="22"/>
        </w:rPr>
        <w:t xml:space="preserve">family dwelling on that parcel. </w:t>
      </w:r>
      <w:r w:rsidR="006A2CE3" w:rsidRPr="00E63447">
        <w:rPr>
          <w:rFonts w:asciiTheme="minorHAnsi" w:eastAsia="Times New Roman" w:hAnsiTheme="minorHAnsi" w:cstheme="minorHAnsi"/>
          <w:bCs/>
          <w:sz w:val="22"/>
          <w:szCs w:val="22"/>
        </w:rPr>
        <w:t xml:space="preserve">The overall fee changes are neutral for all permittees including those that manufacture construction materials for such parcels. </w:t>
      </w:r>
    </w:p>
    <w:p w:rsidR="003D6D98" w:rsidRPr="00AA26D5" w:rsidRDefault="007D3B78" w:rsidP="00FF532D">
      <w:pPr>
        <w:ind w:left="720" w:right="18"/>
        <w:rPr>
          <w:rFonts w:asciiTheme="minorHAnsi" w:hAnsiTheme="minorHAnsi" w:cstheme="minorHAnsi"/>
          <w:b/>
          <w:iCs/>
          <w:color w:val="70481C" w:themeColor="accent6" w:themeShade="80"/>
        </w:rPr>
      </w:pPr>
      <w:r w:rsidRPr="0098048B">
        <w:rPr>
          <w:rFonts w:asciiTheme="minorHAnsi" w:eastAsia="Times New Roman" w:hAnsiTheme="minorHAnsi" w:cstheme="minorHAnsi"/>
          <w:bCs/>
        </w:rPr>
        <w:t xml:space="preserve"> </w:t>
      </w: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r w:rsidR="0088143B" w:rsidRPr="0088143B">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4D47EF" w:rsidRPr="006B643D" w:rsidRDefault="002F412E" w:rsidP="006B643D">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D47EF" w:rsidRPr="00B15DF7" w:rsidRDefault="004D47EF" w:rsidP="004D47EF">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3"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4"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4D47EF" w:rsidRDefault="004D47EF" w:rsidP="006B643D">
      <w:pPr>
        <w:ind w:left="630" w:right="18"/>
        <w:outlineLvl w:val="0"/>
        <w:rPr>
          <w:rFonts w:ascii="Times New Roman" w:eastAsia="Times New Roman" w:hAnsi="Times New Roman" w:cs="Times New Roman"/>
          <w:bCs/>
          <w:color w:val="415B5C" w:themeColor="accent3" w:themeShade="80"/>
        </w:rPr>
      </w:pPr>
    </w:p>
    <w:p w:rsidR="006B643D" w:rsidRDefault="006B643D" w:rsidP="006B643D">
      <w:pPr>
        <w:ind w:left="630" w:right="18"/>
        <w:outlineLvl w:val="0"/>
        <w:rPr>
          <w:rFonts w:ascii="Times New Roman" w:eastAsia="Times New Roman" w:hAnsi="Times New Roman" w:cs="Times New Roman"/>
          <w:bCs/>
          <w:u w:val="single"/>
        </w:rPr>
      </w:pPr>
      <w:r w:rsidRPr="006B643D">
        <w:rPr>
          <w:rFonts w:ascii="Times New Roman" w:eastAsia="Times New Roman" w:hAnsi="Times New Roman" w:cs="Times New Roman"/>
          <w:bCs/>
          <w:u w:val="single"/>
        </w:rPr>
        <w:t>‘Industrial Streamlining Rules’ adopted by LRAPA October 20</w:t>
      </w:r>
      <w:r>
        <w:rPr>
          <w:rFonts w:ascii="Times New Roman" w:eastAsia="Times New Roman" w:hAnsi="Times New Roman" w:cs="Times New Roman"/>
          <w:bCs/>
          <w:u w:val="single"/>
        </w:rPr>
        <w:t>08:</w:t>
      </w:r>
    </w:p>
    <w:p w:rsidR="006B643D" w:rsidRPr="006B643D" w:rsidRDefault="006B643D" w:rsidP="006B643D">
      <w:pPr>
        <w:ind w:left="630" w:right="18"/>
        <w:outlineLvl w:val="0"/>
        <w:rPr>
          <w:rFonts w:ascii="Times New Roman" w:eastAsia="Times New Roman" w:hAnsi="Times New Roman" w:cs="Times New Roman"/>
          <w:bCs/>
          <w:u w:val="single"/>
        </w:rPr>
      </w:pPr>
    </w:p>
    <w:p w:rsidR="004D47EF" w:rsidRDefault="004D47EF" w:rsidP="004D47EF">
      <w:pPr>
        <w:ind w:left="1080" w:right="18"/>
        <w:outlineLvl w:val="0"/>
        <w:rPr>
          <w:rFonts w:ascii="Times New Roman" w:eastAsia="Times New Roman" w:hAnsi="Times New Roman" w:cs="Times New Roman"/>
          <w:bCs/>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sidR="006B643D">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sidR="006B643D">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006B643D"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sidR="006B643D">
        <w:rPr>
          <w:rFonts w:asciiTheme="minorHAnsi" w:hAnsiTheme="minorHAnsi" w:cstheme="minorHAnsi"/>
          <w:spacing w:val="-3"/>
          <w:sz w:val="22"/>
          <w:szCs w:val="22"/>
        </w:rPr>
        <w:t xml:space="preserve">e </w:t>
      </w:r>
      <w:r w:rsidR="006B643D"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eastAsia="Times New Roman" w:hAnsi="Times New Roman" w:cs="Times New Roman"/>
          <w:bCs/>
        </w:rPr>
        <w:t>.</w:t>
      </w:r>
    </w:p>
    <w:p w:rsidR="006B643D" w:rsidRDefault="006B643D" w:rsidP="004D47EF">
      <w:pPr>
        <w:ind w:left="1080" w:right="18"/>
        <w:outlineLvl w:val="0"/>
        <w:rPr>
          <w:rFonts w:ascii="Times New Roman" w:eastAsia="Times New Roman" w:hAnsi="Times New Roman" w:cs="Times New Roman"/>
          <w:bCs/>
        </w:rPr>
      </w:pPr>
    </w:p>
    <w:p w:rsidR="006B643D" w:rsidRPr="0098048B" w:rsidRDefault="006B643D" w:rsidP="006B643D">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6B643D" w:rsidRPr="0098048B" w:rsidRDefault="006B643D" w:rsidP="006B643D">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540"/>
        <w:jc w:val="both"/>
        <w:rPr>
          <w:rFonts w:asciiTheme="minorHAnsi" w:hAnsiTheme="minorHAnsi" w:cstheme="minorHAnsi"/>
          <w:spacing w:val="-3"/>
          <w:sz w:val="22"/>
          <w:szCs w:val="22"/>
        </w:rPr>
      </w:pPr>
    </w:p>
    <w:p w:rsidR="006B643D" w:rsidRDefault="006B643D" w:rsidP="006B643D">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6B643D" w:rsidRPr="0098048B" w:rsidRDefault="006B643D" w:rsidP="006B643D">
      <w:pPr>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w:t>
      </w:r>
      <w:r w:rsidRPr="0098048B">
        <w:rPr>
          <w:rFonts w:asciiTheme="minorHAnsi" w:hAnsiTheme="minorHAnsi" w:cstheme="minorHAnsi"/>
          <w:spacing w:val="-3"/>
          <w:sz w:val="22"/>
          <w:szCs w:val="22"/>
        </w:rPr>
        <w:lastRenderedPageBreak/>
        <w:t>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6B643D" w:rsidRPr="0098048B" w:rsidRDefault="006B643D" w:rsidP="006B643D">
      <w:pPr>
        <w:ind w:left="1080"/>
        <w:rPr>
          <w:rFonts w:asciiTheme="minorHAnsi" w:hAnsiTheme="minorHAnsi" w:cstheme="minorHAnsi"/>
          <w:sz w:val="22"/>
          <w:szCs w:val="22"/>
        </w:rPr>
      </w:pPr>
    </w:p>
    <w:p w:rsidR="006B643D" w:rsidRPr="0098048B" w:rsidRDefault="006B643D" w:rsidP="006B643D">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6B643D" w:rsidRPr="0098048B" w:rsidRDefault="006B643D" w:rsidP="006B643D">
      <w:pPr>
        <w:pStyle w:val="HTMLPreformatted"/>
        <w:ind w:left="1080"/>
        <w:rPr>
          <w:rFonts w:asciiTheme="minorHAnsi" w:hAnsiTheme="minorHAnsi" w:cstheme="minorHAnsi"/>
          <w:sz w:val="22"/>
          <w:szCs w:val="22"/>
        </w:rPr>
      </w:pPr>
    </w:p>
    <w:p w:rsidR="006B643D" w:rsidRPr="0098048B" w:rsidRDefault="006B643D" w:rsidP="006B643D">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6B643D" w:rsidRDefault="006B643D" w:rsidP="006B643D">
      <w:pPr>
        <w:ind w:left="1080" w:right="18"/>
        <w:outlineLvl w:val="0"/>
        <w:rPr>
          <w:rFonts w:ascii="Times New Roman" w:eastAsia="Times New Roman" w:hAnsi="Times New Roman" w:cs="Times New Roman"/>
          <w:bCs/>
        </w:rPr>
      </w:pPr>
    </w:p>
    <w:p w:rsidR="006B643D" w:rsidRPr="006B643D" w:rsidRDefault="006B643D" w:rsidP="006B643D">
      <w:pPr>
        <w:pStyle w:val="HTMLPreformatted"/>
        <w:rPr>
          <w:rFonts w:asciiTheme="minorHAnsi" w:hAnsiTheme="minorHAnsi" w:cstheme="minorHAnsi"/>
          <w:sz w:val="22"/>
          <w:szCs w:val="22"/>
          <w:u w:val="single"/>
        </w:rPr>
      </w:pPr>
      <w:r w:rsidRPr="006B643D">
        <w:rPr>
          <w:rFonts w:asciiTheme="minorHAnsi" w:hAnsiTheme="minorHAnsi" w:cstheme="minorHAnsi"/>
          <w:sz w:val="22"/>
          <w:szCs w:val="22"/>
          <w:u w:val="single"/>
        </w:rPr>
        <w:t>Industrial Streamlining Corrections Adopted January 2010 by LRAPA:</w:t>
      </w:r>
    </w:p>
    <w:p w:rsidR="006B643D" w:rsidRPr="0098048B" w:rsidRDefault="006B643D" w:rsidP="006B643D">
      <w:pPr>
        <w:pStyle w:val="HTMLPreformatted"/>
        <w:ind w:left="630"/>
        <w:rPr>
          <w:rFonts w:asciiTheme="minorHAnsi" w:hAnsiTheme="minorHAnsi" w:cstheme="minorHAnsi"/>
          <w:sz w:val="22"/>
          <w:szCs w:val="22"/>
        </w:rPr>
      </w:pPr>
    </w:p>
    <w:p w:rsidR="006B643D" w:rsidRPr="0098048B" w:rsidRDefault="006B643D" w:rsidP="006B643D">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minimis production/throughput thresholds for several source categories and allowing more expanded criteria for sources to obtain a Simple permit under the low fee category.</w:t>
      </w:r>
    </w:p>
    <w:p w:rsidR="004D47EF" w:rsidRDefault="004D47EF" w:rsidP="004D47EF">
      <w:pPr>
        <w:ind w:left="720" w:right="18"/>
        <w:outlineLvl w:val="0"/>
        <w:rPr>
          <w:rFonts w:ascii="Times New Roman" w:eastAsia="Times New Roman" w:hAnsi="Times New Roman" w:cs="Times New Roman"/>
          <w:bCs/>
          <w:color w:val="000000" w:themeColor="text1"/>
        </w:rPr>
      </w:pPr>
    </w:p>
    <w:p w:rsidR="004D47EF" w:rsidRDefault="004D47EF" w:rsidP="004D47EF">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4D47EF" w:rsidRPr="00E62FF8" w:rsidRDefault="00E62FF8" w:rsidP="00E62FF8">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proposed rules.  </w:t>
      </w:r>
      <w:r w:rsidR="006336E9">
        <w:rPr>
          <w:rFonts w:asciiTheme="minorHAnsi" w:eastAsia="Times New Roman" w:hAnsiTheme="minorHAnsi" w:cstheme="minorHAnsi"/>
          <w:bCs/>
          <w:sz w:val="22"/>
          <w:szCs w:val="22"/>
        </w:rPr>
        <w:t xml:space="preserve">In order to be efficient and take advantage of the tremendous work done at the state level to create sensible rules for the unique and well-established stationary source permitting program in Oregon, </w:t>
      </w:r>
      <w:r>
        <w:rPr>
          <w:rFonts w:asciiTheme="minorHAnsi" w:eastAsia="Times New Roman" w:hAnsiTheme="minorHAnsi" w:cstheme="minorHAnsi"/>
          <w:bCs/>
          <w:sz w:val="22"/>
          <w:szCs w:val="22"/>
        </w:rPr>
        <w:t xml:space="preserve">LRAPA chose to be consistent with the revisions specified by DEQ for their </w:t>
      </w:r>
      <w:r w:rsidR="006336E9">
        <w:rPr>
          <w:rFonts w:asciiTheme="minorHAnsi" w:eastAsia="Times New Roman" w:hAnsiTheme="minorHAnsi" w:cstheme="minorHAnsi"/>
          <w:bCs/>
          <w:sz w:val="22"/>
          <w:szCs w:val="22"/>
        </w:rPr>
        <w:t>‘SPPIT I’ and ‘SPPIT II’</w:t>
      </w:r>
      <w:r w:rsidR="004D47EF">
        <w:rPr>
          <w:rFonts w:ascii="Times New Roman" w:eastAsia="Times New Roman" w:hAnsi="Times New Roman" w:cs="Times New Roman"/>
          <w:color w:val="000000"/>
        </w:rPr>
        <w:t>.</w:t>
      </w:r>
      <w:r w:rsidR="004D47EF" w:rsidRPr="003C60B9">
        <w:rPr>
          <w:rFonts w:asciiTheme="majorHAnsi" w:eastAsia="Times New Roman" w:hAnsiTheme="majorHAnsi" w:cstheme="majorHAnsi"/>
          <w:bCs/>
          <w:color w:val="702C1C" w:themeColor="accent1" w:themeShade="80"/>
          <w:sz w:val="22"/>
          <w:szCs w:val="22"/>
        </w:rPr>
        <w:t xml:space="preserve"> </w:t>
      </w: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4B6248" w:rsidRDefault="00705C22" w:rsidP="00B34CF8">
      <w:pPr>
        <w:spacing w:after="120"/>
        <w:ind w:left="810" w:right="18"/>
        <w:rPr>
          <w:rFonts w:ascii="Times New Roman" w:eastAsia="Times New Roman" w:hAnsi="Times New Roman" w:cs="Times New Roman"/>
          <w:color w:val="000000" w:themeColor="text1"/>
          <w:sz w:val="22"/>
          <w:szCs w:val="22"/>
        </w:rPr>
      </w:pPr>
      <w:r w:rsidRPr="004B6248">
        <w:rPr>
          <w:rFonts w:asciiTheme="minorHAnsi" w:eastAsia="Times New Roman" w:hAnsiTheme="minorHAnsi" w:cstheme="minorHAnsi"/>
          <w:color w:val="000000" w:themeColor="text1"/>
          <w:sz w:val="22"/>
          <w:szCs w:val="22"/>
        </w:rPr>
        <w:t xml:space="preserve">To determine whether the proposed rules involve programs or actions that are considered a </w:t>
      </w:r>
      <w:r w:rsidRPr="004B6248">
        <w:rPr>
          <w:rFonts w:asciiTheme="minorHAnsi" w:eastAsia="Times New Roman" w:hAnsiTheme="minorHAnsi" w:cstheme="minorHAnsi"/>
          <w:i/>
          <w:iCs/>
          <w:color w:val="000000" w:themeColor="text1"/>
          <w:sz w:val="22"/>
          <w:szCs w:val="22"/>
        </w:rPr>
        <w:t xml:space="preserve">land-use </w:t>
      </w:r>
      <w:r w:rsidR="004B692D" w:rsidRPr="004B6248">
        <w:rPr>
          <w:rFonts w:asciiTheme="minorHAnsi" w:eastAsia="Times New Roman" w:hAnsiTheme="minorHAnsi" w:cstheme="minorHAnsi"/>
          <w:i/>
          <w:iCs/>
          <w:color w:val="000000" w:themeColor="text1"/>
          <w:sz w:val="22"/>
          <w:szCs w:val="22"/>
        </w:rPr>
        <w:t>action</w:t>
      </w:r>
      <w:r w:rsidRPr="004B6248">
        <w:rPr>
          <w:rFonts w:asciiTheme="minorHAnsi" w:eastAsia="Times New Roman" w:hAnsiTheme="minorHAnsi" w:cstheme="minorHAnsi"/>
          <w:color w:val="000000" w:themeColor="text1"/>
          <w:sz w:val="22"/>
          <w:szCs w:val="22"/>
        </w:rPr>
        <w:t xml:space="preserve">, DEQ </w:t>
      </w:r>
      <w:r w:rsidR="000B685A" w:rsidRPr="004B6248">
        <w:rPr>
          <w:rFonts w:asciiTheme="minorHAnsi" w:eastAsia="Times New Roman" w:hAnsiTheme="minorHAnsi" w:cstheme="minorHAnsi"/>
          <w:color w:val="000000" w:themeColor="text1"/>
          <w:sz w:val="22"/>
          <w:szCs w:val="22"/>
        </w:rPr>
        <w:t>considered</w:t>
      </w:r>
      <w:r w:rsidRPr="004B6248">
        <w:rPr>
          <w:rFonts w:asciiTheme="minorHAnsi" w:eastAsia="Times New Roman" w:hAnsiTheme="minorHAnsi" w:cstheme="minorHAnsi"/>
          <w:color w:val="000000" w:themeColor="text1"/>
          <w:sz w:val="22"/>
          <w:szCs w:val="22"/>
        </w:rPr>
        <w:t>:</w:t>
      </w:r>
    </w:p>
    <w:p w:rsidR="00705C22" w:rsidRPr="004B6248" w:rsidRDefault="006754AA" w:rsidP="005F633D">
      <w:pPr>
        <w:pStyle w:val="ListParagraph"/>
        <w:numPr>
          <w:ilvl w:val="0"/>
          <w:numId w:val="3"/>
        </w:num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S</w:t>
      </w:r>
      <w:r w:rsidR="00705C22" w:rsidRPr="004B6248">
        <w:rPr>
          <w:rFonts w:asciiTheme="minorHAnsi" w:eastAsia="Times New Roman" w:hAnsiTheme="minorHAnsi" w:cstheme="minorHAnsi"/>
          <w:color w:val="000000" w:themeColor="text1"/>
          <w:sz w:val="22"/>
          <w:szCs w:val="22"/>
        </w:rPr>
        <w:t xml:space="preserve">tatewide planning goals for specific references. Section III, subsection 2 of the </w:t>
      </w:r>
      <w:r w:rsidR="00BA466F" w:rsidRPr="004B6248">
        <w:rPr>
          <w:rFonts w:ascii="Times New Roman" w:eastAsia="Times New Roman" w:hAnsi="Times New Roman" w:cs="Times New Roman"/>
          <w:color w:val="000000"/>
          <w:sz w:val="22"/>
          <w:szCs w:val="22"/>
        </w:rPr>
        <w:t>DEQ State Agency Coordination Program</w:t>
      </w:r>
      <w:hyperlink r:id="rId27" w:history="1">
        <w:r w:rsidR="00BA466F" w:rsidRPr="004B6248">
          <w:rPr>
            <w:rStyle w:val="Hyperlink"/>
            <w:rFonts w:asciiTheme="minorHAnsi" w:eastAsia="Times New Roman" w:hAnsiTheme="minorHAnsi" w:cstheme="minorHAnsi"/>
            <w:color w:val="BFBFBF" w:themeColor="background1" w:themeShade="BF"/>
            <w:sz w:val="22"/>
            <w:szCs w:val="22"/>
            <w:u w:val="none"/>
          </w:rPr>
          <w:sym w:font="Wingdings 3" w:char="F07D"/>
        </w:r>
      </w:hyperlink>
      <w:r w:rsidR="00705C22" w:rsidRPr="004B6248">
        <w:rPr>
          <w:rFonts w:asciiTheme="minorHAnsi" w:eastAsia="Times New Roman" w:hAnsiTheme="minorHAnsi" w:cstheme="minorHAnsi"/>
          <w:color w:val="000000" w:themeColor="text1"/>
          <w:sz w:val="22"/>
          <w:szCs w:val="22"/>
        </w:rPr>
        <w:t xml:space="preserve"> document identifies the following statewide goal </w:t>
      </w:r>
      <w:r w:rsidRPr="004B6248">
        <w:rPr>
          <w:rFonts w:asciiTheme="minorHAnsi" w:eastAsia="Times New Roman" w:hAnsiTheme="minorHAnsi" w:cstheme="minorHAnsi"/>
          <w:color w:val="000000" w:themeColor="text1"/>
          <w:sz w:val="22"/>
          <w:szCs w:val="22"/>
        </w:rPr>
        <w:t>relating</w:t>
      </w:r>
      <w:r w:rsidR="00705C22" w:rsidRPr="004B6248">
        <w:rPr>
          <w:rFonts w:asciiTheme="minorHAnsi" w:eastAsia="Times New Roman" w:hAnsiTheme="minorHAnsi" w:cstheme="minorHAnsi"/>
          <w:color w:val="000000" w:themeColor="text1"/>
          <w:sz w:val="22"/>
          <w:szCs w:val="22"/>
        </w:rPr>
        <w:t xml:space="preserve"> to DEQ's authority:</w:t>
      </w:r>
    </w:p>
    <w:p w:rsidR="00705C22" w:rsidRPr="004B6248" w:rsidRDefault="00705C22" w:rsidP="002B0C9C">
      <w:pPr>
        <w:ind w:left="450" w:right="18"/>
        <w:rPr>
          <w:rFonts w:ascii="Cambria" w:eastAsia="Times New Roman" w:hAnsi="Cambria" w:cs="Times New Roman"/>
          <w:color w:val="000000" w:themeColor="text1"/>
          <w:sz w:val="22"/>
          <w:szCs w:val="22"/>
        </w:rPr>
      </w:pPr>
    </w:p>
    <w:p w:rsidR="00705C22" w:rsidRPr="004B6248" w:rsidRDefault="00705C22" w:rsidP="002B0C9C">
      <w:pPr>
        <w:ind w:left="1440" w:right="18"/>
        <w:rPr>
          <w:rFonts w:asciiTheme="minorHAnsi" w:eastAsia="Times New Roman" w:hAnsiTheme="minorHAnsi" w:cstheme="minorHAnsi"/>
          <w:b/>
          <w:color w:val="000000" w:themeColor="text1"/>
          <w:sz w:val="22"/>
          <w:szCs w:val="22"/>
        </w:rPr>
      </w:pPr>
      <w:r w:rsidRPr="004B6248">
        <w:rPr>
          <w:rFonts w:asciiTheme="minorHAnsi" w:eastAsia="Times New Roman" w:hAnsiTheme="minorHAnsi" w:cstheme="minorHAnsi"/>
          <w:b/>
          <w:color w:val="000000" w:themeColor="text1"/>
          <w:sz w:val="22"/>
          <w:szCs w:val="22"/>
        </w:rPr>
        <w:tab/>
        <w:t>Goal</w:t>
      </w:r>
      <w:r w:rsidRPr="004B6248">
        <w:rPr>
          <w:rFonts w:asciiTheme="minorHAnsi" w:eastAsia="Times New Roman" w:hAnsiTheme="minorHAnsi" w:cstheme="minorHAnsi"/>
          <w:b/>
          <w:color w:val="000000" w:themeColor="text1"/>
          <w:sz w:val="22"/>
          <w:szCs w:val="22"/>
        </w:rPr>
        <w:tab/>
        <w:t>Title</w:t>
      </w:r>
    </w:p>
    <w:p w:rsidR="00705C22" w:rsidRPr="004B6248" w:rsidRDefault="00705C22" w:rsidP="002B0C9C">
      <w:p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ab/>
        <w:t xml:space="preserve">5 </w:t>
      </w:r>
      <w:r w:rsidRPr="004B6248">
        <w:rPr>
          <w:rFonts w:asciiTheme="minorHAnsi" w:eastAsia="Times New Roman" w:hAnsiTheme="minorHAnsi" w:cstheme="minorHAnsi"/>
          <w:color w:val="000000" w:themeColor="text1"/>
          <w:sz w:val="22"/>
          <w:szCs w:val="22"/>
        </w:rPr>
        <w:tab/>
      </w:r>
      <w:r w:rsidR="00680EF2" w:rsidRPr="004B6248">
        <w:rPr>
          <w:rFonts w:asciiTheme="minorHAnsi" w:eastAsia="Times New Roman" w:hAnsiTheme="minorHAnsi" w:cstheme="minorHAnsi"/>
          <w:color w:val="000000" w:themeColor="text1"/>
          <w:sz w:val="22"/>
          <w:szCs w:val="22"/>
        </w:rPr>
        <w:tab/>
      </w:r>
      <w:r w:rsidRPr="004B6248">
        <w:rPr>
          <w:rFonts w:asciiTheme="minorHAnsi" w:eastAsia="Times New Roman" w:hAnsiTheme="minorHAnsi" w:cstheme="minorHAnsi"/>
          <w:color w:val="000000" w:themeColor="text1"/>
          <w:sz w:val="22"/>
          <w:szCs w:val="22"/>
        </w:rPr>
        <w:t>Open Spaces, Scenic and Historic Areas, and Natural Resources</w:t>
      </w:r>
    </w:p>
    <w:p w:rsidR="002F0C40" w:rsidRPr="004B6248" w:rsidRDefault="002F0C40" w:rsidP="002B0C9C">
      <w:p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ab/>
        <w:t xml:space="preserve">6 </w:t>
      </w:r>
      <w:r w:rsidRPr="004B6248">
        <w:rPr>
          <w:rFonts w:asciiTheme="minorHAnsi" w:eastAsia="Times New Roman" w:hAnsiTheme="minorHAnsi" w:cstheme="minorHAnsi"/>
          <w:color w:val="000000" w:themeColor="text1"/>
          <w:sz w:val="22"/>
          <w:szCs w:val="22"/>
        </w:rPr>
        <w:tab/>
      </w:r>
      <w:r w:rsidRPr="004B6248">
        <w:rPr>
          <w:rFonts w:asciiTheme="minorHAnsi" w:eastAsia="Times New Roman" w:hAnsiTheme="minorHAnsi" w:cstheme="minorHAnsi"/>
          <w:color w:val="000000" w:themeColor="text1"/>
          <w:sz w:val="22"/>
          <w:szCs w:val="22"/>
        </w:rPr>
        <w:tab/>
        <w:t>Air, Water and Land Resources Quality</w:t>
      </w:r>
    </w:p>
    <w:p w:rsidR="00705C22" w:rsidRPr="004B6248" w:rsidRDefault="00705C22" w:rsidP="002B0C9C">
      <w:p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ab/>
        <w:t xml:space="preserve">11 </w:t>
      </w:r>
      <w:r w:rsidRPr="004B6248">
        <w:rPr>
          <w:rFonts w:asciiTheme="minorHAnsi" w:eastAsia="Times New Roman" w:hAnsiTheme="minorHAnsi" w:cstheme="minorHAnsi"/>
          <w:color w:val="000000" w:themeColor="text1"/>
          <w:sz w:val="22"/>
          <w:szCs w:val="22"/>
        </w:rPr>
        <w:tab/>
      </w:r>
      <w:r w:rsidR="00680EF2" w:rsidRPr="004B6248">
        <w:rPr>
          <w:rFonts w:asciiTheme="minorHAnsi" w:eastAsia="Times New Roman" w:hAnsiTheme="minorHAnsi" w:cstheme="minorHAnsi"/>
          <w:color w:val="000000" w:themeColor="text1"/>
          <w:sz w:val="22"/>
          <w:szCs w:val="22"/>
        </w:rPr>
        <w:tab/>
      </w:r>
      <w:r w:rsidRPr="004B6248">
        <w:rPr>
          <w:rFonts w:asciiTheme="minorHAnsi" w:eastAsia="Times New Roman" w:hAnsiTheme="minorHAnsi" w:cstheme="minorHAnsi"/>
          <w:color w:val="000000" w:themeColor="text1"/>
          <w:sz w:val="22"/>
          <w:szCs w:val="22"/>
        </w:rPr>
        <w:t>Public Facilities and Services</w:t>
      </w:r>
    </w:p>
    <w:p w:rsidR="00705C22" w:rsidRPr="004B6248" w:rsidRDefault="00705C22" w:rsidP="002B0C9C">
      <w:p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ab/>
        <w:t>16</w:t>
      </w:r>
      <w:r w:rsidRPr="004B6248">
        <w:rPr>
          <w:rFonts w:asciiTheme="minorHAnsi" w:eastAsia="Times New Roman" w:hAnsiTheme="minorHAnsi" w:cstheme="minorHAnsi"/>
          <w:color w:val="000000" w:themeColor="text1"/>
          <w:sz w:val="22"/>
          <w:szCs w:val="22"/>
        </w:rPr>
        <w:tab/>
      </w:r>
      <w:r w:rsidR="00680EF2" w:rsidRPr="004B6248">
        <w:rPr>
          <w:rFonts w:asciiTheme="minorHAnsi" w:eastAsia="Times New Roman" w:hAnsiTheme="minorHAnsi" w:cstheme="minorHAnsi"/>
          <w:color w:val="000000" w:themeColor="text1"/>
          <w:sz w:val="22"/>
          <w:szCs w:val="22"/>
        </w:rPr>
        <w:tab/>
      </w:r>
      <w:r w:rsidR="00F138BD" w:rsidRPr="004B6248">
        <w:rPr>
          <w:rFonts w:asciiTheme="minorHAnsi" w:eastAsia="Times New Roman" w:hAnsiTheme="minorHAnsi" w:cstheme="minorHAnsi"/>
          <w:color w:val="000000" w:themeColor="text1"/>
          <w:sz w:val="22"/>
          <w:szCs w:val="22"/>
        </w:rPr>
        <w:t>Estuarial</w:t>
      </w:r>
      <w:r w:rsidRPr="004B6248">
        <w:rPr>
          <w:rFonts w:asciiTheme="minorHAnsi" w:eastAsia="Times New Roman" w:hAnsiTheme="minorHAnsi" w:cstheme="minorHAnsi"/>
          <w:color w:val="000000" w:themeColor="text1"/>
          <w:sz w:val="22"/>
          <w:szCs w:val="22"/>
        </w:rPr>
        <w:t xml:space="preserve"> resources</w:t>
      </w:r>
    </w:p>
    <w:p w:rsidR="00705C22" w:rsidRPr="004B6248" w:rsidRDefault="00705C22" w:rsidP="002B0C9C">
      <w:pPr>
        <w:ind w:left="1440" w:right="18"/>
        <w:rPr>
          <w:rFonts w:asciiTheme="minorHAnsi" w:eastAsia="Times New Roman" w:hAnsiTheme="minorHAnsi" w:cstheme="minorHAnsi"/>
          <w:color w:val="000000" w:themeColor="text1"/>
          <w:sz w:val="22"/>
          <w:szCs w:val="22"/>
        </w:rPr>
      </w:pPr>
      <w:r w:rsidRPr="004B6248">
        <w:rPr>
          <w:rFonts w:asciiTheme="minorHAnsi" w:eastAsia="Times New Roman" w:hAnsiTheme="minorHAnsi" w:cstheme="minorHAnsi"/>
          <w:color w:val="000000" w:themeColor="text1"/>
          <w:sz w:val="22"/>
          <w:szCs w:val="22"/>
        </w:rPr>
        <w:tab/>
        <w:t>19</w:t>
      </w:r>
      <w:r w:rsidRPr="004B6248">
        <w:rPr>
          <w:rFonts w:asciiTheme="minorHAnsi" w:eastAsia="Times New Roman" w:hAnsiTheme="minorHAnsi" w:cstheme="minorHAnsi"/>
          <w:color w:val="000000" w:themeColor="text1"/>
          <w:sz w:val="22"/>
          <w:szCs w:val="22"/>
        </w:rPr>
        <w:tab/>
      </w:r>
      <w:r w:rsidR="00680EF2" w:rsidRPr="004B6248">
        <w:rPr>
          <w:rFonts w:asciiTheme="minorHAnsi" w:eastAsia="Times New Roman" w:hAnsiTheme="minorHAnsi" w:cstheme="minorHAnsi"/>
          <w:color w:val="000000" w:themeColor="text1"/>
          <w:sz w:val="22"/>
          <w:szCs w:val="22"/>
        </w:rPr>
        <w:tab/>
      </w:r>
      <w:r w:rsidRPr="004B6248">
        <w:rPr>
          <w:rFonts w:asciiTheme="minorHAnsi" w:eastAsia="Times New Roman" w:hAnsiTheme="minorHAnsi" w:cstheme="minorHAnsi"/>
          <w:color w:val="000000" w:themeColor="text1"/>
          <w:sz w:val="22"/>
          <w:szCs w:val="22"/>
        </w:rPr>
        <w:t>Ocean Resources</w:t>
      </w:r>
    </w:p>
    <w:p w:rsidR="00705C22" w:rsidRPr="004B6248" w:rsidRDefault="00705C22" w:rsidP="002B0C9C">
      <w:pPr>
        <w:ind w:left="1062" w:right="18"/>
        <w:rPr>
          <w:rFonts w:ascii="Cambria" w:eastAsia="Times New Roman" w:hAnsi="Cambria" w:cs="Times New Roman"/>
          <w:color w:val="000000" w:themeColor="text1"/>
          <w:sz w:val="22"/>
          <w:szCs w:val="22"/>
        </w:rPr>
      </w:pPr>
    </w:p>
    <w:p w:rsidR="004B692D" w:rsidRPr="004B6248" w:rsidRDefault="00342CBE"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248">
          <w:rPr>
            <w:rStyle w:val="Hyperlink"/>
            <w:rFonts w:ascii="Times New Roman" w:eastAsia="Times New Roman" w:hAnsi="Times New Roman" w:cs="Times New Roman"/>
            <w:sz w:val="22"/>
            <w:szCs w:val="22"/>
          </w:rPr>
          <w:t>OAR 340-018-0030</w:t>
        </w:r>
      </w:hyperlink>
      <w:r w:rsidR="00705C22" w:rsidRPr="004B6248">
        <w:rPr>
          <w:rFonts w:ascii="Times New Roman" w:eastAsia="Times New Roman" w:hAnsi="Times New Roman" w:cs="Times New Roman"/>
          <w:sz w:val="22"/>
          <w:szCs w:val="22"/>
        </w:rPr>
        <w:t xml:space="preserve"> </w:t>
      </w:r>
      <w:r w:rsidR="00705C22" w:rsidRPr="004B6248">
        <w:rPr>
          <w:rFonts w:asciiTheme="minorHAnsi" w:eastAsia="Times New Roman" w:hAnsiTheme="minorHAnsi" w:cstheme="minorHAnsi"/>
          <w:sz w:val="22"/>
          <w:szCs w:val="22"/>
        </w:rPr>
        <w:t xml:space="preserve">for </w:t>
      </w:r>
      <w:r w:rsidR="004B692D" w:rsidRPr="004B6248">
        <w:rPr>
          <w:rFonts w:asciiTheme="minorHAnsi" w:hAnsiTheme="minorHAnsi" w:cstheme="minorHAnsi"/>
          <w:sz w:val="22"/>
          <w:szCs w:val="22"/>
        </w:rPr>
        <w:t>EQC rules on land</w:t>
      </w:r>
      <w:r w:rsidR="006754AA" w:rsidRPr="004B6248">
        <w:rPr>
          <w:rFonts w:asciiTheme="minorHAnsi" w:hAnsiTheme="minorHAnsi" w:cstheme="minorHAnsi"/>
          <w:sz w:val="22"/>
          <w:szCs w:val="22"/>
        </w:rPr>
        <w:t>-</w:t>
      </w:r>
      <w:r w:rsidR="004B692D" w:rsidRPr="004B6248">
        <w:rPr>
          <w:rFonts w:asciiTheme="minorHAnsi" w:hAnsiTheme="minorHAnsi" w:cstheme="minorHAnsi"/>
          <w:sz w:val="22"/>
          <w:szCs w:val="22"/>
        </w:rPr>
        <w:t>use coordination.</w:t>
      </w:r>
      <w:r w:rsidR="004B692D" w:rsidRPr="004B6248">
        <w:rPr>
          <w:rFonts w:ascii="Times New Roman" w:eastAsia="Times New Roman" w:hAnsi="Times New Roman" w:cs="Times New Roman"/>
          <w:sz w:val="22"/>
          <w:szCs w:val="22"/>
        </w:rPr>
        <w:t xml:space="preserve"> </w:t>
      </w:r>
      <w:r w:rsidR="004B692D" w:rsidRPr="004B6248">
        <w:rPr>
          <w:rFonts w:asciiTheme="minorHAnsi" w:eastAsia="Times New Roman" w:hAnsiTheme="minorHAnsi" w:cstheme="minorHAnsi"/>
          <w:sz w:val="22"/>
          <w:szCs w:val="22"/>
        </w:rPr>
        <w:t>Division 18</w:t>
      </w:r>
      <w:r w:rsidR="004B692D" w:rsidRPr="004B6248">
        <w:rPr>
          <w:rFonts w:asciiTheme="minorHAnsi" w:hAnsiTheme="minorHAnsi" w:cstheme="minorHAnsi"/>
          <w:sz w:val="22"/>
          <w:szCs w:val="22"/>
        </w:rPr>
        <w:t xml:space="preserve"> requires DEQ to determine whether proposed rules will significantly affect land use. If yes, how will DEQ:</w:t>
      </w:r>
    </w:p>
    <w:p w:rsidR="004B692D" w:rsidRPr="004B6248"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4B6248">
        <w:rPr>
          <w:rFonts w:asciiTheme="minorHAnsi" w:hAnsiTheme="minorHAnsi" w:cstheme="minorHAnsi"/>
          <w:sz w:val="22"/>
          <w:szCs w:val="22"/>
        </w:rPr>
        <w:t>Comply with statewide land</w:t>
      </w:r>
      <w:r w:rsidR="006754AA" w:rsidRPr="004B6248">
        <w:rPr>
          <w:rFonts w:asciiTheme="minorHAnsi" w:hAnsiTheme="minorHAnsi" w:cstheme="minorHAnsi"/>
          <w:sz w:val="22"/>
          <w:szCs w:val="22"/>
        </w:rPr>
        <w:t>-</w:t>
      </w:r>
      <w:r w:rsidRPr="004B6248">
        <w:rPr>
          <w:rFonts w:asciiTheme="minorHAnsi" w:hAnsiTheme="minorHAnsi" w:cstheme="minorHAnsi"/>
          <w:sz w:val="22"/>
          <w:szCs w:val="22"/>
        </w:rPr>
        <w:t xml:space="preserve">use goals, and </w:t>
      </w:r>
    </w:p>
    <w:p w:rsidR="004B692D" w:rsidRPr="004B6248"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4B6248">
        <w:rPr>
          <w:rFonts w:asciiTheme="minorHAnsi" w:hAnsiTheme="minorHAnsi" w:cstheme="minorHAnsi"/>
          <w:sz w:val="22"/>
          <w:szCs w:val="22"/>
        </w:rPr>
        <w:t xml:space="preserve">Ensure compatibility with acknowledged comprehensive plans, which DEQ most commonly achieves by requiring a </w:t>
      </w:r>
      <w:hyperlink r:id="rId29" w:history="1">
        <w:r w:rsidRPr="004B6248">
          <w:rPr>
            <w:rStyle w:val="Hyperlink"/>
            <w:rFonts w:asciiTheme="minorHAnsi" w:hAnsiTheme="minorHAnsi" w:cstheme="minorHAnsi"/>
            <w:sz w:val="22"/>
            <w:szCs w:val="22"/>
          </w:rPr>
          <w:t>Land Use Compatibility Statement</w:t>
        </w:r>
      </w:hyperlink>
      <w:r w:rsidRPr="004B6248">
        <w:rPr>
          <w:rFonts w:asciiTheme="minorHAnsi" w:hAnsiTheme="minorHAnsi" w:cstheme="minorHAnsi"/>
          <w:sz w:val="22"/>
          <w:szCs w:val="22"/>
        </w:rPr>
        <w:t>.</w:t>
      </w:r>
    </w:p>
    <w:p w:rsidR="000B685A" w:rsidRPr="004B6248"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248">
        <w:rPr>
          <w:rFonts w:ascii="Times New Roman" w:eastAsia="Times New Roman" w:hAnsi="Times New Roman" w:cs="Times New Roman"/>
          <w:bCs/>
          <w:sz w:val="22"/>
          <w:szCs w:val="22"/>
        </w:rPr>
        <w:t>DEQ’s mandate to protect public health and safety and the environment.</w:t>
      </w:r>
    </w:p>
    <w:p w:rsidR="00FF2CB9" w:rsidRPr="004B6248"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248">
        <w:rPr>
          <w:rFonts w:asciiTheme="minorHAnsi" w:eastAsia="Times New Roman" w:hAnsiTheme="minorHAnsi" w:cstheme="minorHAnsi"/>
          <w:color w:val="000000"/>
          <w:sz w:val="22"/>
          <w:szCs w:val="22"/>
        </w:rPr>
        <w:t>Whether DEQ is the primary authority that is responsible for land</w:t>
      </w:r>
      <w:r w:rsidR="006754AA" w:rsidRPr="004B6248">
        <w:rPr>
          <w:rFonts w:asciiTheme="minorHAnsi" w:eastAsia="Times New Roman" w:hAnsiTheme="minorHAnsi" w:cstheme="minorHAnsi"/>
          <w:color w:val="000000"/>
          <w:sz w:val="22"/>
          <w:szCs w:val="22"/>
        </w:rPr>
        <w:t>-</w:t>
      </w:r>
      <w:r w:rsidRPr="004B6248">
        <w:rPr>
          <w:rFonts w:asciiTheme="minorHAnsi" w:eastAsia="Times New Roman" w:hAnsiTheme="minorHAnsi" w:cstheme="minorHAnsi"/>
          <w:color w:val="000000"/>
          <w:sz w:val="22"/>
          <w:szCs w:val="22"/>
        </w:rPr>
        <w:t>use programs or actions in the proposed rules.</w:t>
      </w:r>
    </w:p>
    <w:p w:rsidR="000B685A" w:rsidRPr="004B6248" w:rsidRDefault="000B685A" w:rsidP="005F633D">
      <w:pPr>
        <w:pStyle w:val="ListParagraph"/>
        <w:numPr>
          <w:ilvl w:val="0"/>
          <w:numId w:val="4"/>
        </w:numPr>
        <w:ind w:left="1440" w:right="18"/>
        <w:rPr>
          <w:sz w:val="22"/>
          <w:szCs w:val="22"/>
        </w:rPr>
      </w:pPr>
      <w:r w:rsidRPr="004B6248">
        <w:rPr>
          <w:rFonts w:ascii="Times New Roman" w:eastAsia="Times New Roman" w:hAnsi="Times New Roman" w:cs="Times New Roman"/>
          <w:bCs/>
          <w:sz w:val="22"/>
          <w:szCs w:val="22"/>
        </w:rPr>
        <w:t>Present or future land uses identified in acknowledged comprehensive plans.</w:t>
      </w:r>
    </w:p>
    <w:p w:rsidR="00B34CF8" w:rsidRPr="004B6248" w:rsidRDefault="00B34CF8" w:rsidP="004B6248">
      <w:pPr>
        <w:spacing w:after="120"/>
        <w:ind w:left="0" w:right="18"/>
        <w:rPr>
          <w:rFonts w:asciiTheme="majorHAnsi" w:eastAsia="Times New Roman" w:hAnsiTheme="majorHAnsi" w:cstheme="majorHAnsi"/>
          <w:bCs/>
          <w:color w:val="504938"/>
          <w:sz w:val="22"/>
          <w:szCs w:val="22"/>
        </w:rPr>
      </w:pPr>
    </w:p>
    <w:p w:rsidR="002E4AA0" w:rsidRPr="004B6248" w:rsidRDefault="006416C7" w:rsidP="00B34CF8">
      <w:pPr>
        <w:spacing w:after="120"/>
        <w:ind w:left="360" w:right="18"/>
        <w:rPr>
          <w:rFonts w:asciiTheme="majorHAnsi" w:eastAsia="Times New Roman" w:hAnsiTheme="majorHAnsi" w:cstheme="majorHAnsi"/>
          <w:bCs/>
          <w:color w:val="504938"/>
          <w:sz w:val="22"/>
          <w:szCs w:val="22"/>
        </w:rPr>
      </w:pPr>
      <w:r w:rsidRPr="004B6248">
        <w:rPr>
          <w:rFonts w:asciiTheme="majorHAnsi" w:eastAsia="Times New Roman" w:hAnsiTheme="majorHAnsi" w:cstheme="majorHAnsi"/>
          <w:bCs/>
          <w:color w:val="504938"/>
          <w:sz w:val="22"/>
          <w:szCs w:val="22"/>
        </w:rPr>
        <w:t xml:space="preserve">Determination  </w:t>
      </w:r>
    </w:p>
    <w:p w:rsidR="005A3C33" w:rsidRPr="004B6248" w:rsidRDefault="005A3C33" w:rsidP="00B34CF8">
      <w:pPr>
        <w:ind w:left="720" w:right="18"/>
        <w:rPr>
          <w:rFonts w:ascii="Times New Roman" w:eastAsia="Times New Roman" w:hAnsi="Times New Roman" w:cs="Times New Roman"/>
          <w:color w:val="000000"/>
          <w:sz w:val="22"/>
          <w:szCs w:val="22"/>
        </w:rPr>
      </w:pPr>
      <w:r w:rsidRPr="004B6248">
        <w:rPr>
          <w:rFonts w:asciiTheme="minorHAnsi" w:eastAsia="Times New Roman" w:hAnsiTheme="minorHAnsi" w:cstheme="minorHAnsi"/>
          <w:color w:val="000000"/>
          <w:sz w:val="22"/>
          <w:szCs w:val="22"/>
        </w:rPr>
        <w:t xml:space="preserve">DEQ </w:t>
      </w:r>
      <w:r w:rsidR="00E11474" w:rsidRPr="004B6248">
        <w:rPr>
          <w:rFonts w:asciiTheme="minorHAnsi" w:eastAsia="Times New Roman" w:hAnsiTheme="minorHAnsi" w:cstheme="minorHAnsi"/>
          <w:color w:val="000000"/>
          <w:sz w:val="22"/>
          <w:szCs w:val="22"/>
        </w:rPr>
        <w:t xml:space="preserve">determined that the following proposed rules </w:t>
      </w:r>
      <w:r w:rsidR="00646664" w:rsidRPr="004B6248">
        <w:rPr>
          <w:rFonts w:ascii="Times New Roman" w:eastAsia="Times New Roman" w:hAnsi="Times New Roman" w:cs="Times New Roman"/>
          <w:color w:val="000000"/>
          <w:sz w:val="22"/>
          <w:szCs w:val="22"/>
        </w:rPr>
        <w:t xml:space="preserve">listed under the Chapter 340 Action section above </w:t>
      </w:r>
      <w:r w:rsidR="00E11474" w:rsidRPr="004B6248">
        <w:rPr>
          <w:rFonts w:asciiTheme="minorHAnsi" w:eastAsia="Times New Roman" w:hAnsiTheme="minorHAnsi" w:cstheme="minorHAnsi"/>
          <w:color w:val="000000"/>
          <w:sz w:val="22"/>
          <w:szCs w:val="22"/>
        </w:rPr>
        <w:t>are existing r</w:t>
      </w:r>
      <w:r w:rsidR="00E11474" w:rsidRPr="004B6248">
        <w:rPr>
          <w:rFonts w:asciiTheme="minorHAnsi" w:eastAsia="Times New Roman" w:hAnsiTheme="minorHAnsi" w:cstheme="minorHAnsi"/>
          <w:sz w:val="22"/>
          <w:szCs w:val="22"/>
        </w:rPr>
        <w:t xml:space="preserve">ules </w:t>
      </w:r>
      <w:r w:rsidR="007B080C" w:rsidRPr="004B6248">
        <w:rPr>
          <w:rFonts w:asciiTheme="minorHAnsi" w:eastAsia="Times New Roman" w:hAnsiTheme="minorHAnsi" w:cstheme="minorHAnsi"/>
          <w:sz w:val="22"/>
          <w:szCs w:val="22"/>
        </w:rPr>
        <w:t>that affect prog</w:t>
      </w:r>
      <w:r w:rsidR="007B080C" w:rsidRPr="004B6248">
        <w:rPr>
          <w:rFonts w:asciiTheme="minorHAnsi" w:eastAsia="Times New Roman" w:hAnsiTheme="minorHAnsi" w:cstheme="minorHAnsi"/>
          <w:color w:val="000000"/>
          <w:sz w:val="22"/>
          <w:szCs w:val="22"/>
        </w:rPr>
        <w:t xml:space="preserve">rams or activities that the </w:t>
      </w:r>
      <w:r w:rsidR="007B080C" w:rsidRPr="004B6248">
        <w:rPr>
          <w:rFonts w:ascii="Times New Roman" w:eastAsia="Times New Roman" w:hAnsi="Times New Roman" w:cs="Times New Roman"/>
          <w:color w:val="000000"/>
          <w:sz w:val="22"/>
          <w:szCs w:val="22"/>
        </w:rPr>
        <w:t xml:space="preserve">DEQ State Agency Coordination Program </w:t>
      </w:r>
      <w:r w:rsidRPr="004B6248">
        <w:rPr>
          <w:rFonts w:ascii="Times New Roman" w:eastAsia="Times New Roman" w:hAnsi="Times New Roman" w:cs="Times New Roman"/>
          <w:color w:val="000000"/>
          <w:sz w:val="22"/>
          <w:szCs w:val="22"/>
        </w:rPr>
        <w:t>consider</w:t>
      </w:r>
      <w:r w:rsidR="00646664" w:rsidRPr="004B6248">
        <w:rPr>
          <w:rFonts w:ascii="Times New Roman" w:eastAsia="Times New Roman" w:hAnsi="Times New Roman" w:cs="Times New Roman"/>
          <w:color w:val="000000"/>
          <w:sz w:val="22"/>
          <w:szCs w:val="22"/>
        </w:rPr>
        <w:t>s</w:t>
      </w:r>
      <w:r w:rsidRPr="004B6248">
        <w:rPr>
          <w:rFonts w:ascii="Times New Roman" w:eastAsia="Times New Roman" w:hAnsi="Times New Roman" w:cs="Times New Roman"/>
          <w:color w:val="000000"/>
          <w:sz w:val="22"/>
          <w:szCs w:val="22"/>
        </w:rPr>
        <w:t xml:space="preserve"> a </w:t>
      </w:r>
      <w:r w:rsidR="00025EC3" w:rsidRPr="004B6248">
        <w:rPr>
          <w:rFonts w:ascii="Times New Roman" w:eastAsia="Times New Roman" w:hAnsi="Times New Roman" w:cs="Times New Roman"/>
          <w:color w:val="000000"/>
          <w:sz w:val="22"/>
          <w:szCs w:val="22"/>
        </w:rPr>
        <w:t>land-use program</w:t>
      </w:r>
      <w:r w:rsidRPr="004B6248">
        <w:rPr>
          <w:rFonts w:ascii="Times New Roman" w:eastAsia="Times New Roman" w:hAnsi="Times New Roman" w:cs="Times New Roman"/>
          <w:color w:val="000000"/>
          <w:sz w:val="22"/>
          <w:szCs w:val="22"/>
        </w:rPr>
        <w:t xml:space="preserve">. </w:t>
      </w:r>
    </w:p>
    <w:p w:rsidR="00E11474" w:rsidRPr="004B6248" w:rsidRDefault="00E11474" w:rsidP="00E11474">
      <w:pPr>
        <w:ind w:left="1440" w:right="18"/>
        <w:rPr>
          <w:rFonts w:asciiTheme="minorHAnsi" w:eastAsia="Times New Roman" w:hAnsiTheme="minorHAnsi" w:cstheme="minorHAnsi"/>
          <w:color w:val="000000"/>
          <w:sz w:val="22"/>
          <w:szCs w:val="22"/>
        </w:rPr>
      </w:pPr>
    </w:p>
    <w:p w:rsidR="003077A5" w:rsidRPr="004B6248" w:rsidRDefault="00E11474" w:rsidP="00E11474">
      <w:pPr>
        <w:tabs>
          <w:tab w:val="left" w:pos="3600"/>
        </w:tabs>
        <w:ind w:left="3600" w:right="18" w:hanging="2160"/>
        <w:rPr>
          <w:rFonts w:asciiTheme="minorHAnsi" w:hAnsiTheme="minorHAnsi" w:cstheme="minorHAnsi"/>
          <w:bCs/>
          <w:color w:val="000000"/>
          <w:sz w:val="22"/>
          <w:szCs w:val="22"/>
          <w:shd w:val="clear" w:color="auto" w:fill="FFFFFF"/>
        </w:rPr>
      </w:pPr>
      <w:r w:rsidRPr="004B6248">
        <w:rPr>
          <w:rFonts w:asciiTheme="minorHAnsi" w:eastAsia="Times New Roman" w:hAnsiTheme="minorHAnsi" w:cstheme="minorHAnsi"/>
          <w:color w:val="000000"/>
          <w:sz w:val="22"/>
          <w:szCs w:val="22"/>
        </w:rPr>
        <w:t>O</w:t>
      </w:r>
      <w:r w:rsidR="00765B54" w:rsidRPr="004B6248">
        <w:rPr>
          <w:rFonts w:asciiTheme="minorHAnsi" w:eastAsia="Times New Roman" w:hAnsiTheme="minorHAnsi" w:cstheme="minorHAnsi"/>
          <w:color w:val="000000"/>
          <w:sz w:val="22"/>
          <w:szCs w:val="22"/>
        </w:rPr>
        <w:t>AR</w:t>
      </w:r>
      <w:r w:rsidRPr="004B6248">
        <w:rPr>
          <w:rFonts w:asciiTheme="minorHAnsi" w:eastAsia="Times New Roman" w:hAnsiTheme="minorHAnsi" w:cstheme="minorHAnsi"/>
          <w:color w:val="000000"/>
          <w:sz w:val="22"/>
          <w:szCs w:val="22"/>
        </w:rPr>
        <w:t xml:space="preserve"> 340-</w:t>
      </w:r>
      <w:r w:rsidR="00E70729" w:rsidRPr="004B6248">
        <w:rPr>
          <w:rFonts w:asciiTheme="minorHAnsi" w:eastAsia="Times New Roman" w:hAnsiTheme="minorHAnsi" w:cstheme="minorHAnsi"/>
          <w:color w:val="000000"/>
          <w:sz w:val="22"/>
          <w:szCs w:val="22"/>
        </w:rPr>
        <w:t>200-0400</w:t>
      </w:r>
      <w:r w:rsidRPr="004B6248">
        <w:rPr>
          <w:rFonts w:asciiTheme="minorHAnsi" w:eastAsia="Times New Roman" w:hAnsiTheme="minorHAnsi" w:cstheme="minorHAnsi"/>
          <w:color w:val="000000"/>
          <w:sz w:val="22"/>
          <w:szCs w:val="22"/>
        </w:rPr>
        <w:tab/>
      </w:r>
      <w:r w:rsidR="00E70729" w:rsidRPr="004B6248">
        <w:rPr>
          <w:rFonts w:asciiTheme="minorHAnsi" w:hAnsiTheme="minorHAnsi" w:cstheme="minorHAnsi"/>
          <w:bCs/>
          <w:color w:val="000000"/>
          <w:sz w:val="22"/>
          <w:szCs w:val="22"/>
          <w:shd w:val="clear" w:color="auto" w:fill="FFFFFF"/>
        </w:rPr>
        <w:t>State of Oregon Clean Air Act Implementation Plan</w:t>
      </w:r>
    </w:p>
    <w:p w:rsidR="00E11474" w:rsidRPr="004B6248" w:rsidRDefault="004B6248" w:rsidP="00E11474">
      <w:pPr>
        <w:tabs>
          <w:tab w:val="left" w:pos="3600"/>
        </w:tabs>
        <w:ind w:left="3600" w:right="18" w:hanging="2160"/>
        <w:rPr>
          <w:rFonts w:asciiTheme="minorHAnsi" w:eastAsia="Times New Roman" w:hAnsiTheme="minorHAnsi" w:cstheme="minorHAnsi"/>
          <w:color w:val="000000"/>
          <w:sz w:val="22"/>
          <w:szCs w:val="22"/>
        </w:rPr>
      </w:pPr>
      <w:r w:rsidRPr="004B6248">
        <w:rPr>
          <w:rFonts w:asciiTheme="minorHAnsi" w:eastAsia="Times New Roman" w:hAnsiTheme="minorHAnsi" w:cstheme="minorHAnsi"/>
          <w:color w:val="000000"/>
          <w:sz w:val="22"/>
          <w:szCs w:val="22"/>
        </w:rPr>
        <w:t xml:space="preserve">OAR </w:t>
      </w:r>
      <w:r w:rsidR="003077A5" w:rsidRPr="004B6248">
        <w:rPr>
          <w:rFonts w:asciiTheme="minorHAnsi" w:eastAsia="Times New Roman" w:hAnsiTheme="minorHAnsi" w:cstheme="minorHAnsi"/>
          <w:color w:val="000000"/>
          <w:sz w:val="22"/>
          <w:szCs w:val="22"/>
        </w:rPr>
        <w:t xml:space="preserve">340-018-0030   </w:t>
      </w:r>
      <w:r>
        <w:rPr>
          <w:rFonts w:asciiTheme="minorHAnsi" w:eastAsia="Times New Roman" w:hAnsiTheme="minorHAnsi" w:cstheme="minorHAnsi"/>
          <w:color w:val="000000"/>
          <w:sz w:val="22"/>
          <w:szCs w:val="22"/>
        </w:rPr>
        <w:tab/>
      </w:r>
      <w:r w:rsidR="003077A5" w:rsidRPr="004B6248">
        <w:rPr>
          <w:rFonts w:asciiTheme="minorHAnsi" w:eastAsia="Times New Roman" w:hAnsiTheme="minorHAnsi" w:cstheme="minorHAnsi"/>
          <w:color w:val="000000"/>
          <w:sz w:val="22"/>
          <w:szCs w:val="22"/>
        </w:rPr>
        <w:t>State Agency Coordination Program</w:t>
      </w:r>
      <w:r w:rsidR="00E11474" w:rsidRPr="004B6248">
        <w:rPr>
          <w:rFonts w:asciiTheme="minorHAnsi" w:eastAsia="Times New Roman" w:hAnsiTheme="minorHAnsi" w:cstheme="minorHAnsi"/>
          <w:color w:val="702C1C" w:themeColor="accent1" w:themeShade="80"/>
          <w:sz w:val="22"/>
          <w:szCs w:val="22"/>
        </w:rPr>
        <w:t xml:space="preserve"> </w:t>
      </w:r>
    </w:p>
    <w:p w:rsidR="00CD2E4D" w:rsidRPr="004B6248" w:rsidRDefault="00CD2E4D" w:rsidP="00B34CF8">
      <w:pPr>
        <w:ind w:left="720" w:right="18"/>
        <w:rPr>
          <w:rFonts w:ascii="Times New Roman" w:eastAsia="Times New Roman" w:hAnsi="Times New Roman" w:cs="Times New Roman"/>
          <w:color w:val="000000"/>
          <w:sz w:val="22"/>
          <w:szCs w:val="22"/>
        </w:rPr>
      </w:pPr>
    </w:p>
    <w:p w:rsidR="008A5343" w:rsidRPr="004B6248" w:rsidRDefault="00650BA0" w:rsidP="00B34CF8">
      <w:pPr>
        <w:pStyle w:val="ListParagraph"/>
        <w:ind w:right="18"/>
        <w:contextualSpacing w:val="0"/>
        <w:rPr>
          <w:rFonts w:ascii="Times New Roman" w:eastAsia="Times New Roman" w:hAnsi="Times New Roman" w:cs="Times New Roman"/>
          <w:color w:val="618889" w:themeColor="accent3" w:themeShade="BF"/>
          <w:sz w:val="22"/>
          <w:szCs w:val="22"/>
        </w:rPr>
      </w:pPr>
      <w:r w:rsidRPr="004B6248">
        <w:rPr>
          <w:rFonts w:asciiTheme="minorHAnsi" w:eastAsia="Times New Roman" w:hAnsiTheme="minorHAnsi" w:cstheme="minorHAnsi"/>
          <w:color w:val="000000"/>
          <w:sz w:val="22"/>
          <w:szCs w:val="22"/>
        </w:rPr>
        <w:t>DEQ’s s</w:t>
      </w:r>
      <w:r w:rsidR="005A3C33" w:rsidRPr="004B6248">
        <w:rPr>
          <w:rFonts w:asciiTheme="minorHAnsi" w:eastAsia="Times New Roman" w:hAnsiTheme="minorHAnsi" w:cstheme="minorHAnsi"/>
          <w:color w:val="000000"/>
          <w:sz w:val="22"/>
          <w:szCs w:val="22"/>
        </w:rPr>
        <w:t xml:space="preserve">tatewide goal compliance and local plan compatibility procedures adequately cover the proposed rules. </w:t>
      </w:r>
      <w:r w:rsidR="008A5343" w:rsidRPr="004B6248">
        <w:rPr>
          <w:rFonts w:ascii="Times New Roman" w:eastAsia="Times New Roman" w:hAnsi="Times New Roman" w:cs="Times New Roman"/>
          <w:sz w:val="22"/>
          <w:szCs w:val="22"/>
        </w:rPr>
        <w:t xml:space="preserve">1: </w:t>
      </w:r>
      <w:r w:rsidR="008A5343" w:rsidRPr="004B6248">
        <w:rPr>
          <w:rFonts w:asciiTheme="minorHAnsi" w:hAnsiTheme="minorHAnsi" w:cstheme="minorHAnsi"/>
          <w:sz w:val="22"/>
          <w:szCs w:val="22"/>
        </w:rPr>
        <w:t>340-018-0040(1) - compliance with statewide planning goals achieved by ensuring compatibility with a</w:t>
      </w:r>
      <w:r w:rsidR="00381C3C" w:rsidRPr="004B6248">
        <w:rPr>
          <w:rFonts w:asciiTheme="minorHAnsi" w:hAnsiTheme="minorHAnsi" w:cstheme="minorHAnsi"/>
          <w:sz w:val="22"/>
          <w:szCs w:val="22"/>
        </w:rPr>
        <w:t>cknowledged comprehensive plans</w:t>
      </w:r>
      <w:r w:rsidR="003077A5" w:rsidRPr="004B6248">
        <w:rPr>
          <w:rFonts w:asciiTheme="minorHAnsi" w:hAnsiTheme="minorHAnsi" w:cstheme="minorHAnsi"/>
          <w:sz w:val="22"/>
          <w:szCs w:val="22"/>
        </w:rPr>
        <w:t>.</w:t>
      </w:r>
      <w:r w:rsidR="008A5343" w:rsidRPr="004B6248">
        <w:rPr>
          <w:rFonts w:asciiTheme="minorHAnsi" w:hAnsiTheme="minorHAnsi" w:cstheme="minorHAnsi"/>
          <w:sz w:val="22"/>
          <w:szCs w:val="22"/>
        </w:rPr>
        <w:t xml:space="preserve"> 2: 340-018-0050(2</w:t>
      </w:r>
      <w:proofErr w:type="gramStart"/>
      <w:r w:rsidR="008A5343" w:rsidRPr="004B6248">
        <w:rPr>
          <w:rFonts w:asciiTheme="minorHAnsi" w:hAnsiTheme="minorHAnsi" w:cstheme="minorHAnsi"/>
          <w:sz w:val="22"/>
          <w:szCs w:val="22"/>
        </w:rPr>
        <w:t>)(</w:t>
      </w:r>
      <w:proofErr w:type="gramEnd"/>
      <w:r w:rsidR="008A5343" w:rsidRPr="004B6248">
        <w:rPr>
          <w:rFonts w:asciiTheme="minorHAnsi" w:hAnsiTheme="minorHAnsi" w:cstheme="minorHAnsi"/>
          <w:sz w:val="22"/>
          <w:szCs w:val="22"/>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B6248" w:rsidRDefault="001F2D3C" w:rsidP="004B624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E82718" w:rsidRPr="00765768" w:rsidRDefault="00E82718" w:rsidP="00E82718">
      <w:pPr>
        <w:ind w:left="720" w:right="828"/>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sz w:val="22"/>
          <w:szCs w:val="22"/>
        </w:rPr>
        <w:t xml:space="preserve">DEQ did not convene an advisory committee. </w:t>
      </w:r>
      <w:r w:rsidR="008D456D" w:rsidRPr="00765768">
        <w:rPr>
          <w:rFonts w:asciiTheme="minorHAnsi" w:eastAsia="Times New Roman" w:hAnsiTheme="minorHAnsi" w:cstheme="minorHAnsi"/>
          <w:sz w:val="22"/>
          <w:szCs w:val="22"/>
        </w:rPr>
        <w:t>This is an LRAPA rulemaking.</w:t>
      </w:r>
    </w:p>
    <w:p w:rsidR="00E82718" w:rsidRPr="00765768" w:rsidRDefault="00E82718" w:rsidP="0098048B">
      <w:pPr>
        <w:ind w:left="0" w:right="18"/>
        <w:outlineLvl w:val="0"/>
        <w:rPr>
          <w:rFonts w:asciiTheme="minorHAnsi" w:eastAsia="Times New Roman" w:hAnsiTheme="minorHAnsi" w:cstheme="minorHAnsi"/>
          <w:color w:val="415B5C" w:themeColor="accent3" w:themeShade="80"/>
          <w:sz w:val="22"/>
          <w:szCs w:val="22"/>
        </w:rPr>
      </w:pPr>
    </w:p>
    <w:p w:rsidR="008D456D" w:rsidRPr="00765768" w:rsidRDefault="008D456D" w:rsidP="0078435F">
      <w:pPr>
        <w:ind w:left="720"/>
        <w:outlineLvl w:val="0"/>
        <w:rPr>
          <w:rFonts w:asciiTheme="minorHAnsi" w:hAnsiTheme="minorHAnsi" w:cstheme="minorHAnsi"/>
          <w:sz w:val="22"/>
          <w:szCs w:val="22"/>
        </w:rPr>
      </w:pPr>
      <w:r w:rsidRPr="00765768">
        <w:rPr>
          <w:rFonts w:asciiTheme="minorHAnsi" w:eastAsia="Times New Roman" w:hAnsiTheme="minorHAnsi" w:cstheme="minorHAnsi"/>
          <w:color w:val="000000"/>
          <w:sz w:val="22"/>
          <w:szCs w:val="22"/>
        </w:rPr>
        <w:t xml:space="preserve">LRAPA convened the </w:t>
      </w:r>
      <w:r w:rsidR="0078435F" w:rsidRPr="00765768">
        <w:rPr>
          <w:rFonts w:asciiTheme="minorHAnsi" w:hAnsiTheme="minorHAnsi" w:cstheme="minorHAnsi"/>
          <w:sz w:val="22"/>
          <w:szCs w:val="22"/>
        </w:rPr>
        <w:t xml:space="preserve">LRAPA Advisory Committee – Industrial Rules Subcommittee (Industrial Rules Subcommittee) </w:t>
      </w:r>
      <w:r w:rsidRPr="00765768">
        <w:rPr>
          <w:rFonts w:asciiTheme="minorHAnsi" w:eastAsia="Times New Roman" w:hAnsiTheme="minorHAnsi" w:cstheme="minorHAnsi"/>
          <w:sz w:val="22"/>
          <w:szCs w:val="22"/>
        </w:rPr>
        <w:t xml:space="preserve">on </w:t>
      </w:r>
      <w:r w:rsidR="0078435F" w:rsidRPr="00765768">
        <w:rPr>
          <w:rFonts w:asciiTheme="minorHAnsi" w:eastAsia="Times New Roman" w:hAnsiTheme="minorHAnsi" w:cstheme="minorHAnsi"/>
          <w:color w:val="000000"/>
          <w:sz w:val="22"/>
          <w:szCs w:val="22"/>
        </w:rPr>
        <w:t>Dec</w:t>
      </w:r>
      <w:r w:rsidRPr="00765768">
        <w:rPr>
          <w:rFonts w:asciiTheme="minorHAnsi" w:eastAsia="Times New Roman" w:hAnsiTheme="minorHAnsi" w:cstheme="minorHAnsi"/>
          <w:color w:val="000000"/>
          <w:sz w:val="22"/>
          <w:szCs w:val="22"/>
        </w:rPr>
        <w:t>. 1</w:t>
      </w:r>
      <w:r w:rsidR="0078435F" w:rsidRPr="00765768">
        <w:rPr>
          <w:rFonts w:asciiTheme="minorHAnsi" w:eastAsia="Times New Roman" w:hAnsiTheme="minorHAnsi" w:cstheme="minorHAnsi"/>
          <w:color w:val="000000"/>
          <w:sz w:val="22"/>
          <w:szCs w:val="22"/>
        </w:rPr>
        <w:t>7</w:t>
      </w:r>
      <w:r w:rsidRPr="00765768">
        <w:rPr>
          <w:rFonts w:asciiTheme="minorHAnsi" w:eastAsia="Times New Roman" w:hAnsiTheme="minorHAnsi" w:cstheme="minorHAnsi"/>
          <w:color w:val="000000"/>
          <w:sz w:val="22"/>
          <w:szCs w:val="22"/>
        </w:rPr>
        <w:t>, 20</w:t>
      </w:r>
      <w:r w:rsidR="0078435F" w:rsidRPr="00765768">
        <w:rPr>
          <w:rFonts w:asciiTheme="minorHAnsi" w:eastAsia="Times New Roman" w:hAnsiTheme="minorHAnsi" w:cstheme="minorHAnsi"/>
          <w:color w:val="000000"/>
          <w:sz w:val="22"/>
          <w:szCs w:val="22"/>
        </w:rPr>
        <w:t>07</w:t>
      </w:r>
      <w:r w:rsidRPr="00765768">
        <w:rPr>
          <w:rFonts w:asciiTheme="minorHAnsi" w:eastAsia="Times New Roman" w:hAnsiTheme="minorHAnsi" w:cstheme="minorHAnsi"/>
          <w:color w:val="000000"/>
          <w:sz w:val="22"/>
          <w:szCs w:val="22"/>
        </w:rPr>
        <w:t>.</w:t>
      </w:r>
      <w:r w:rsidR="0078435F" w:rsidRPr="00765768">
        <w:rPr>
          <w:rFonts w:asciiTheme="minorHAnsi" w:eastAsia="Times New Roman" w:hAnsiTheme="minorHAnsi" w:cstheme="minorHAnsi"/>
          <w:color w:val="000000"/>
          <w:sz w:val="22"/>
          <w:szCs w:val="22"/>
        </w:rPr>
        <w:t xml:space="preserve">  </w:t>
      </w:r>
      <w:r w:rsidRPr="00765768">
        <w:rPr>
          <w:rFonts w:asciiTheme="minorHAnsi" w:hAnsiTheme="minorHAnsi" w:cstheme="minorHAnsi"/>
          <w:sz w:val="22"/>
          <w:szCs w:val="22"/>
        </w:rPr>
        <w:t xml:space="preserve">The LRAPA Advisory Committee </w:t>
      </w:r>
      <w:r w:rsidR="00AE53FB" w:rsidRPr="00765768">
        <w:rPr>
          <w:rFonts w:asciiTheme="minorHAnsi" w:hAnsiTheme="minorHAnsi" w:cstheme="minorHAnsi"/>
          <w:sz w:val="22"/>
          <w:szCs w:val="22"/>
        </w:rPr>
        <w:t xml:space="preserve">is a 12-member committee and </w:t>
      </w:r>
      <w:r w:rsidRPr="00765768">
        <w:rPr>
          <w:rFonts w:asciiTheme="minorHAnsi" w:hAnsiTheme="minorHAnsi" w:cstheme="minorHAnsi"/>
          <w:sz w:val="22"/>
          <w:szCs w:val="22"/>
        </w:rPr>
        <w:t xml:space="preserve">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w:t>
      </w:r>
      <w:r w:rsidR="0078435F" w:rsidRPr="00765768">
        <w:rPr>
          <w:rFonts w:asciiTheme="minorHAnsi" w:hAnsiTheme="minorHAnsi" w:cstheme="minorHAnsi"/>
          <w:sz w:val="22"/>
          <w:szCs w:val="22"/>
        </w:rPr>
        <w:t xml:space="preserve">adopted with some minor changes.  </w:t>
      </w:r>
      <w:r w:rsidRPr="00765768">
        <w:rPr>
          <w:rFonts w:asciiTheme="minorHAnsi" w:hAnsiTheme="minorHAnsi" w:cstheme="minorHAnsi"/>
          <w:sz w:val="22"/>
          <w:szCs w:val="22"/>
        </w:rPr>
        <w:t xml:space="preserve">The evaluation of the proposed rules by the Industrial Rules Subcommittee was requested by the </w:t>
      </w:r>
      <w:r w:rsidR="0078435F" w:rsidRPr="00765768">
        <w:rPr>
          <w:rFonts w:asciiTheme="minorHAnsi" w:hAnsiTheme="minorHAnsi" w:cstheme="minorHAnsi"/>
          <w:sz w:val="22"/>
          <w:szCs w:val="22"/>
        </w:rPr>
        <w:t xml:space="preserve">LRAPA </w:t>
      </w:r>
      <w:r w:rsidRPr="00765768">
        <w:rPr>
          <w:rFonts w:asciiTheme="minorHAnsi" w:hAnsiTheme="minorHAnsi" w:cstheme="minorHAnsi"/>
          <w:sz w:val="22"/>
          <w:szCs w:val="22"/>
        </w:rPr>
        <w:t>Board of Directors at their October 2007 meeting.</w:t>
      </w:r>
    </w:p>
    <w:p w:rsidR="00D50F25" w:rsidRPr="00765768" w:rsidRDefault="00D50F25" w:rsidP="0078435F">
      <w:pPr>
        <w:ind w:left="720"/>
        <w:outlineLvl w:val="0"/>
        <w:rPr>
          <w:rFonts w:asciiTheme="minorHAnsi" w:hAnsiTheme="minorHAnsi" w:cstheme="minorHAnsi"/>
          <w:sz w:val="22"/>
          <w:szCs w:val="22"/>
        </w:rPr>
      </w:pPr>
    </w:p>
    <w:p w:rsidR="0078435F" w:rsidRPr="00765768" w:rsidRDefault="0078435F" w:rsidP="0078435F">
      <w:pPr>
        <w:ind w:left="720"/>
        <w:outlineLvl w:val="0"/>
        <w:rPr>
          <w:rFonts w:asciiTheme="minorHAnsi" w:eastAsia="Times New Roman" w:hAnsiTheme="minorHAnsi" w:cstheme="minorHAnsi"/>
          <w:color w:val="702C1C" w:themeColor="accent1" w:themeShade="80"/>
          <w:sz w:val="22"/>
          <w:szCs w:val="22"/>
        </w:rPr>
      </w:pPr>
      <w:r w:rsidRPr="00765768">
        <w:rPr>
          <w:rFonts w:asciiTheme="minorHAnsi" w:eastAsia="Times New Roman" w:hAnsiTheme="minorHAnsi" w:cstheme="minorHAnsi"/>
          <w:sz w:val="22"/>
          <w:szCs w:val="22"/>
        </w:rPr>
        <w:t xml:space="preserve">The 5-member </w:t>
      </w:r>
      <w:r w:rsidR="00AE53FB" w:rsidRPr="00765768">
        <w:rPr>
          <w:rFonts w:asciiTheme="minorHAnsi" w:eastAsia="Times New Roman" w:hAnsiTheme="minorHAnsi" w:cstheme="minorHAnsi"/>
          <w:sz w:val="22"/>
          <w:szCs w:val="22"/>
        </w:rPr>
        <w:t>sub</w:t>
      </w:r>
      <w:r w:rsidRPr="00765768">
        <w:rPr>
          <w:rFonts w:asciiTheme="minorHAnsi" w:eastAsia="Times New Roman" w:hAnsiTheme="minorHAnsi" w:cstheme="minorHAnsi"/>
          <w:sz w:val="22"/>
          <w:szCs w:val="22"/>
        </w:rPr>
        <w:t xml:space="preserve">committee included representatives from large industry and the general public. </w:t>
      </w:r>
      <w:r w:rsidRPr="00765768">
        <w:rPr>
          <w:rFonts w:asciiTheme="minorHAnsi" w:eastAsia="Times New Roman" w:hAnsiTheme="minorHAnsi" w:cstheme="minorHAnsi"/>
          <w:color w:val="000000" w:themeColor="text1"/>
          <w:sz w:val="22"/>
          <w:szCs w:val="22"/>
        </w:rPr>
        <w:t>The committee met 6 times over 5 months. In additional to the recommendations described under the Statement of Fiscal and Economic Impact section above, t</w:t>
      </w:r>
      <w:r w:rsidRPr="00765768">
        <w:rPr>
          <w:rFonts w:asciiTheme="minorHAnsi" w:eastAsia="Times New Roman" w:hAnsiTheme="minorHAnsi" w:cstheme="minorHAnsi"/>
          <w:sz w:val="22"/>
          <w:szCs w:val="22"/>
        </w:rPr>
        <w:t>he committee also evaluated the overall rule stringency and the New Source Review (NSR) stringency.</w:t>
      </w:r>
    </w:p>
    <w:p w:rsidR="008D456D" w:rsidRDefault="008D456D" w:rsidP="008D456D">
      <w:pPr>
        <w:ind w:left="360" w:right="18"/>
        <w:outlineLvl w:val="0"/>
        <w:rPr>
          <w:rFonts w:asciiTheme="minorHAnsi" w:eastAsia="Times New Roman" w:hAnsiTheme="minorHAnsi" w:cstheme="minorHAnsi"/>
        </w:rPr>
      </w:pPr>
    </w:p>
    <w:p w:rsidR="0098048B" w:rsidRDefault="0098048B" w:rsidP="0098048B">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78435F" w:rsidTr="0078435F">
        <w:trPr>
          <w:cnfStyle w:val="100000000000"/>
          <w:trHeight w:val="406"/>
        </w:trPr>
        <w:tc>
          <w:tcPr>
            <w:tcW w:w="4590" w:type="dxa"/>
            <w:tcBorders>
              <w:right w:val="single" w:sz="4" w:space="0" w:color="auto"/>
            </w:tcBorders>
          </w:tcPr>
          <w:p w:rsidR="0078435F" w:rsidRPr="00A01BB8" w:rsidRDefault="0078435F" w:rsidP="0078435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78435F" w:rsidRPr="00A01BB8" w:rsidRDefault="0078435F" w:rsidP="0078435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78435F" w:rsidTr="0078435F">
        <w:trPr>
          <w:cnfStyle w:val="00000010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78435F">
              <w:rPr>
                <w:rFonts w:asciiTheme="minorHAnsi" w:eastAsia="Times New Roman" w:hAnsiTheme="minorHAnsi" w:cstheme="minorHAnsi"/>
              </w:rPr>
              <w:t>, Chair</w:t>
            </w:r>
            <w:r>
              <w:rPr>
                <w:rFonts w:asciiTheme="minorHAnsi" w:eastAsia="Times New Roman" w:hAnsiTheme="minorHAnsi" w:cstheme="minorHAnsi"/>
              </w:rPr>
              <w:t xml:space="preserve"> (subcommittee)</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78435F" w:rsidTr="0078435F">
        <w:trPr>
          <w:cnfStyle w:val="000000010000"/>
          <w:trHeight w:val="353"/>
        </w:trPr>
        <w:tc>
          <w:tcPr>
            <w:tcW w:w="4590" w:type="dxa"/>
            <w:tcBorders>
              <w:right w:val="single" w:sz="4" w:space="0" w:color="auto"/>
            </w:tcBorders>
          </w:tcPr>
          <w:p w:rsidR="0078435F" w:rsidRDefault="00AE53FB" w:rsidP="004B6248">
            <w:pPr>
              <w:ind w:right="630"/>
              <w:outlineLvl w:val="0"/>
              <w:rPr>
                <w:rFonts w:asciiTheme="minorHAnsi" w:eastAsia="Times New Roman" w:hAnsiTheme="minorHAnsi" w:cstheme="minorHAnsi"/>
              </w:rPr>
            </w:pPr>
            <w:r>
              <w:rPr>
                <w:rFonts w:asciiTheme="minorHAnsi" w:eastAsia="Times New Roman" w:hAnsiTheme="minorHAnsi" w:cstheme="minorHAnsi"/>
              </w:rPr>
              <w:t>Amy Peccia</w:t>
            </w:r>
            <w:r w:rsidR="0078435F">
              <w:rPr>
                <w:rFonts w:asciiTheme="minorHAnsi" w:eastAsia="Times New Roman" w:hAnsiTheme="minorHAnsi" w:cstheme="minorHAnsi"/>
              </w:rPr>
              <w:t xml:space="preserve">, </w:t>
            </w:r>
            <w:r w:rsidR="004B6248">
              <w:rPr>
                <w:rFonts w:asciiTheme="minorHAnsi" w:eastAsia="Times New Roman" w:hAnsiTheme="minorHAnsi" w:cstheme="minorHAnsi"/>
              </w:rPr>
              <w:t>Member</w:t>
            </w:r>
            <w:r>
              <w:rPr>
                <w:rFonts w:asciiTheme="minorHAnsi" w:eastAsia="Times New Roman" w:hAnsiTheme="minorHAnsi" w:cstheme="minorHAnsi"/>
              </w:rPr>
              <w:t xml:space="preserve"> (subcommittee)</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78435F" w:rsidTr="0078435F">
        <w:trPr>
          <w:cnfStyle w:val="00000010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Hugh Larkin</w:t>
            </w:r>
            <w:r w:rsidR="0078435F">
              <w:rPr>
                <w:rFonts w:asciiTheme="minorHAnsi" w:eastAsia="Times New Roman" w:hAnsiTheme="minorHAnsi" w:cstheme="minorHAnsi"/>
              </w:rPr>
              <w:t>, Member</w:t>
            </w:r>
            <w:r>
              <w:rPr>
                <w:rFonts w:asciiTheme="minorHAnsi" w:eastAsia="Times New Roman" w:hAnsiTheme="minorHAnsi" w:cstheme="minorHAnsi"/>
              </w:rPr>
              <w:t xml:space="preserve"> (subcommittee)</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78435F" w:rsidTr="0078435F">
        <w:trPr>
          <w:cnfStyle w:val="00000001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Maurie Denner, Member (subcommittee)</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78435F" w:rsidTr="0078435F">
        <w:trPr>
          <w:cnfStyle w:val="00000010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 xml:space="preserve">Earl </w:t>
            </w:r>
            <w:r w:rsidR="00907C33">
              <w:rPr>
                <w:rFonts w:asciiTheme="minorHAnsi" w:eastAsia="Times New Roman" w:hAnsiTheme="minorHAnsi" w:cstheme="minorHAnsi"/>
              </w:rPr>
              <w:t>Koenig</w:t>
            </w:r>
            <w:r>
              <w:rPr>
                <w:rFonts w:asciiTheme="minorHAnsi" w:eastAsia="Times New Roman" w:hAnsiTheme="minorHAnsi" w:cstheme="minorHAnsi"/>
              </w:rPr>
              <w:t>, Member (subcommittee)</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78435F" w:rsidTr="0078435F">
        <w:trPr>
          <w:cnfStyle w:val="000000010000"/>
          <w:trHeight w:val="353"/>
        </w:trPr>
        <w:tc>
          <w:tcPr>
            <w:tcW w:w="4590" w:type="dxa"/>
            <w:tcBorders>
              <w:right w:val="single" w:sz="4" w:space="0" w:color="auto"/>
            </w:tcBorders>
          </w:tcPr>
          <w:p w:rsidR="0078435F" w:rsidRDefault="00AE53FB" w:rsidP="00AE53FB">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78435F" w:rsidTr="0078435F">
        <w:trPr>
          <w:cnfStyle w:val="00000010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78435F" w:rsidTr="0078435F">
        <w:trPr>
          <w:cnfStyle w:val="00000001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78435F" w:rsidTr="00AE53FB">
        <w:trPr>
          <w:cnfStyle w:val="000000100000"/>
          <w:trHeight w:val="353"/>
        </w:trPr>
        <w:tc>
          <w:tcPr>
            <w:tcW w:w="4590" w:type="dxa"/>
            <w:tcBorders>
              <w:righ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78435F"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E53FB" w:rsidTr="00AE53FB">
        <w:trPr>
          <w:cnfStyle w:val="000000010000"/>
          <w:trHeight w:val="353"/>
        </w:trPr>
        <w:tc>
          <w:tcPr>
            <w:tcW w:w="4590" w:type="dxa"/>
            <w:tcBorders>
              <w:right w:val="single" w:sz="4"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Gery Vander Meer, Member</w:t>
            </w:r>
          </w:p>
        </w:tc>
        <w:tc>
          <w:tcPr>
            <w:tcW w:w="4950" w:type="dxa"/>
            <w:tcBorders>
              <w:left w:val="single" w:sz="4"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E53FB" w:rsidTr="00AE53FB">
        <w:trPr>
          <w:cnfStyle w:val="000000100000"/>
          <w:trHeight w:val="353"/>
        </w:trPr>
        <w:tc>
          <w:tcPr>
            <w:tcW w:w="4590" w:type="dxa"/>
            <w:tcBorders>
              <w:right w:val="single" w:sz="4"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Paul Engelking, Member</w:t>
            </w:r>
          </w:p>
        </w:tc>
        <w:tc>
          <w:tcPr>
            <w:tcW w:w="4950" w:type="dxa"/>
            <w:tcBorders>
              <w:left w:val="single" w:sz="4"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E53FB" w:rsidTr="0078435F">
        <w:trPr>
          <w:cnfStyle w:val="000000010000"/>
          <w:trHeight w:val="353"/>
        </w:trPr>
        <w:tc>
          <w:tcPr>
            <w:tcW w:w="4590" w:type="dxa"/>
            <w:tcBorders>
              <w:right w:val="single" w:sz="4"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AE53FB" w:rsidRDefault="00AE53FB" w:rsidP="0078435F">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78435F" w:rsidRPr="0078435F" w:rsidRDefault="0078435F" w:rsidP="008D456D">
      <w:pPr>
        <w:ind w:left="360" w:right="18"/>
        <w:outlineLvl w:val="0"/>
        <w:rPr>
          <w:rFonts w:asciiTheme="minorHAnsi" w:eastAsia="Times New Roman" w:hAnsiTheme="minorHAnsi" w:cstheme="minorHAnsi"/>
        </w:rPr>
      </w:pPr>
    </w:p>
    <w:p w:rsidR="008D456D" w:rsidRPr="00765768" w:rsidRDefault="008D456D" w:rsidP="008D456D">
      <w:pPr>
        <w:ind w:left="720" w:right="18"/>
        <w:outlineLvl w:val="0"/>
        <w:rPr>
          <w:rFonts w:asciiTheme="minorHAnsi" w:eastAsia="Times New Roman" w:hAnsiTheme="minorHAnsi" w:cstheme="minorHAnsi"/>
          <w:sz w:val="22"/>
          <w:szCs w:val="22"/>
        </w:rPr>
      </w:pPr>
      <w:r w:rsidRPr="00765768">
        <w:rPr>
          <w:rFonts w:asciiTheme="minorHAnsi" w:hAnsiTheme="minorHAnsi" w:cstheme="minorHAnsi"/>
          <w:sz w:val="22"/>
          <w:szCs w:val="22"/>
        </w:rPr>
        <w:t>The Industrial Rules Subcommittee would like to thank George Davis from the Oregon Department of Environmental Quality and the LRAPA staff for helping the Subcommittee with information and materials.</w:t>
      </w:r>
    </w:p>
    <w:p w:rsidR="008D456D" w:rsidRPr="00765768" w:rsidRDefault="008D456D" w:rsidP="008D456D">
      <w:pPr>
        <w:ind w:left="360" w:right="18"/>
        <w:outlineLvl w:val="0"/>
        <w:rPr>
          <w:rFonts w:asciiTheme="minorHAnsi" w:eastAsia="Times New Roman" w:hAnsiTheme="minorHAnsi" w:cstheme="minorHAnsi"/>
          <w:sz w:val="22"/>
          <w:szCs w:val="22"/>
        </w:rPr>
      </w:pPr>
    </w:p>
    <w:p w:rsidR="008D456D" w:rsidRPr="00765768" w:rsidRDefault="008D456D" w:rsidP="008D456D">
      <w:pPr>
        <w:ind w:left="720" w:right="18"/>
        <w:rPr>
          <w:rFonts w:asciiTheme="minorHAnsi" w:hAnsiTheme="minorHAnsi" w:cstheme="minorHAnsi"/>
          <w:iCs/>
          <w:sz w:val="22"/>
          <w:szCs w:val="22"/>
        </w:rPr>
      </w:pPr>
      <w:r w:rsidRPr="00765768">
        <w:rPr>
          <w:rFonts w:asciiTheme="minorHAnsi" w:eastAsia="Times New Roman" w:hAnsiTheme="minorHAnsi" w:cstheme="minorHAnsi"/>
          <w:sz w:val="22"/>
          <w:szCs w:val="22"/>
        </w:rPr>
        <w:t>The committee reviewed several aspects of the proposed rule changes and documented its recommendation in</w:t>
      </w:r>
      <w:r w:rsidRPr="00765768">
        <w:rPr>
          <w:rFonts w:asciiTheme="minorHAnsi" w:hAnsiTheme="minorHAnsi" w:cstheme="minorHAnsi"/>
          <w:iCs/>
          <w:sz w:val="22"/>
          <w:szCs w:val="22"/>
        </w:rPr>
        <w:t xml:space="preserve"> the following documents</w:t>
      </w:r>
      <w:r w:rsidRPr="00765768">
        <w:rPr>
          <w:rFonts w:asciiTheme="minorHAnsi" w:hAnsiTheme="minorHAnsi" w:cstheme="minorHAnsi"/>
          <w:iCs/>
          <w:color w:val="0D0D0D" w:themeColor="text1" w:themeTint="F2"/>
          <w:sz w:val="22"/>
          <w:szCs w:val="22"/>
        </w:rPr>
        <w:t xml:space="preserve"> </w:t>
      </w:r>
      <w:r w:rsidRPr="00765768">
        <w:rPr>
          <w:rFonts w:asciiTheme="minorHAnsi" w:hAnsiTheme="minorHAnsi" w:cstheme="minorHAnsi"/>
          <w:iCs/>
          <w:color w:val="000000" w:themeColor="text1"/>
          <w:sz w:val="22"/>
          <w:szCs w:val="22"/>
        </w:rPr>
        <w:t xml:space="preserve">approved minutes dated </w:t>
      </w:r>
      <w:r w:rsidRPr="00765768">
        <w:rPr>
          <w:rFonts w:asciiTheme="minorHAnsi" w:eastAsia="Times New Roman" w:hAnsiTheme="minorHAnsi" w:cstheme="minorHAnsi"/>
          <w:color w:val="000000"/>
          <w:sz w:val="22"/>
          <w:szCs w:val="22"/>
        </w:rPr>
        <w:t>Feb. 20, 2008.</w:t>
      </w:r>
    </w:p>
    <w:p w:rsidR="008D456D" w:rsidRPr="0078435F" w:rsidRDefault="008D456D" w:rsidP="0078435F">
      <w:pPr>
        <w:ind w:left="0"/>
        <w:rPr>
          <w:rFonts w:asciiTheme="minorHAnsi" w:hAnsiTheme="minorHAnsi" w:cstheme="minorHAnsi"/>
        </w:rPr>
      </w:pPr>
    </w:p>
    <w:p w:rsidR="008D456D" w:rsidRPr="00765768" w:rsidRDefault="008D456D" w:rsidP="0078435F">
      <w:pPr>
        <w:pStyle w:val="ListParagraph"/>
        <w:numPr>
          <w:ilvl w:val="0"/>
          <w:numId w:val="18"/>
        </w:numPr>
        <w:spacing w:after="200" w:line="276" w:lineRule="auto"/>
        <w:ind w:left="1080"/>
        <w:rPr>
          <w:rFonts w:asciiTheme="minorHAnsi" w:hAnsiTheme="minorHAnsi" w:cstheme="minorHAnsi"/>
          <w:sz w:val="22"/>
          <w:szCs w:val="22"/>
        </w:rPr>
      </w:pPr>
      <w:r w:rsidRPr="00765768">
        <w:rPr>
          <w:rFonts w:asciiTheme="minorHAnsi" w:hAnsiTheme="minorHAnsi" w:cstheme="minorHAnsi"/>
          <w:sz w:val="22"/>
          <w:szCs w:val="22"/>
        </w:rPr>
        <w:t xml:space="preserve">Rules Stringency Analysis –Evaluates the 24 different proposed rule sections against five separate criteria.  </w:t>
      </w:r>
      <w:r w:rsidR="00765768" w:rsidRPr="00765768">
        <w:rPr>
          <w:rFonts w:asciiTheme="minorHAnsi" w:hAnsiTheme="minorHAnsi" w:cstheme="minorHAnsi"/>
          <w:sz w:val="22"/>
          <w:szCs w:val="22"/>
        </w:rPr>
        <w:t xml:space="preserve">[See ‘Attachment A- Rule Summary and Stringency Analysis’ in the LRAPA Board October 14, 2008 </w:t>
      </w:r>
      <w:r w:rsidR="00765768" w:rsidRPr="00765768">
        <w:rPr>
          <w:rFonts w:asciiTheme="minorHAnsi" w:hAnsiTheme="minorHAnsi" w:cstheme="minorHAnsi"/>
          <w:sz w:val="22"/>
          <w:szCs w:val="22"/>
        </w:rPr>
        <w:lastRenderedPageBreak/>
        <w:t>Agenda Item 6 - Adoption of Proposed Industrial Permitting Rules (Including Attachments ‘A’ – ‘J’) in the ‘</w:t>
      </w:r>
      <w:r w:rsidR="00765768" w:rsidRPr="00765768">
        <w:rPr>
          <w:rFonts w:asciiTheme="minorHAnsi" w:eastAsia="Times New Roman" w:hAnsiTheme="minorHAnsi" w:cstheme="minorHAnsi"/>
          <w:bCs/>
          <w:sz w:val="22"/>
          <w:szCs w:val="22"/>
        </w:rPr>
        <w:t>Documents relied on for fiscal and economic impact’</w:t>
      </w:r>
      <w:r w:rsidR="00765768" w:rsidRPr="00765768">
        <w:rPr>
          <w:rFonts w:asciiTheme="minorHAnsi" w:hAnsiTheme="minorHAnsi" w:cstheme="minorHAnsi"/>
          <w:sz w:val="22"/>
          <w:szCs w:val="22"/>
        </w:rPr>
        <w:t xml:space="preserve"> above]</w:t>
      </w:r>
    </w:p>
    <w:p w:rsidR="008D456D" w:rsidRPr="00765768" w:rsidRDefault="008D456D" w:rsidP="0078435F">
      <w:pPr>
        <w:pStyle w:val="ListParagraph"/>
        <w:numPr>
          <w:ilvl w:val="0"/>
          <w:numId w:val="18"/>
        </w:numPr>
        <w:spacing w:after="200" w:line="276" w:lineRule="auto"/>
        <w:ind w:left="1080"/>
        <w:rPr>
          <w:rFonts w:asciiTheme="minorHAnsi" w:hAnsiTheme="minorHAnsi" w:cstheme="minorHAnsi"/>
          <w:sz w:val="22"/>
          <w:szCs w:val="22"/>
        </w:rPr>
      </w:pPr>
      <w:r w:rsidRPr="00765768">
        <w:rPr>
          <w:rFonts w:asciiTheme="minorHAnsi" w:hAnsiTheme="minorHAnsi" w:cstheme="minorHAnsi"/>
          <w:sz w:val="22"/>
          <w:szCs w:val="22"/>
        </w:rPr>
        <w:t xml:space="preserve">New Source Review Stringency Analysis –Supports and expands on Item 9 of the Rule Stringency Analysis. </w:t>
      </w:r>
      <w:r w:rsidR="00765768"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00765768" w:rsidRPr="00765768">
        <w:rPr>
          <w:rFonts w:asciiTheme="minorHAnsi" w:eastAsia="Times New Roman" w:hAnsiTheme="minorHAnsi" w:cstheme="minorHAnsi"/>
          <w:bCs/>
          <w:sz w:val="22"/>
          <w:szCs w:val="22"/>
        </w:rPr>
        <w:t xml:space="preserve">Documents relied on for fiscal and economic impact’ </w:t>
      </w:r>
      <w:r w:rsidR="00765768" w:rsidRPr="00765768">
        <w:rPr>
          <w:rFonts w:asciiTheme="minorHAnsi" w:hAnsiTheme="minorHAnsi" w:cstheme="minorHAnsi"/>
          <w:sz w:val="22"/>
          <w:szCs w:val="22"/>
        </w:rPr>
        <w:t>above ]</w:t>
      </w:r>
    </w:p>
    <w:p w:rsidR="008D456D" w:rsidRPr="00765768" w:rsidRDefault="008D456D" w:rsidP="0078435F">
      <w:pPr>
        <w:pStyle w:val="ListParagraph"/>
        <w:numPr>
          <w:ilvl w:val="0"/>
          <w:numId w:val="18"/>
        </w:numPr>
        <w:spacing w:after="200" w:line="276" w:lineRule="auto"/>
        <w:ind w:left="1080"/>
        <w:rPr>
          <w:rFonts w:asciiTheme="minorHAnsi" w:hAnsiTheme="minorHAnsi" w:cstheme="minorHAnsi"/>
          <w:sz w:val="22"/>
          <w:szCs w:val="22"/>
        </w:rPr>
      </w:pPr>
      <w:r w:rsidRPr="00765768">
        <w:rPr>
          <w:rFonts w:asciiTheme="minorHAnsi" w:hAnsiTheme="minorHAnsi" w:cstheme="minorHAnsi"/>
          <w:sz w:val="22"/>
          <w:szCs w:val="22"/>
        </w:rPr>
        <w:t xml:space="preserve">Fee and Workload Analysis –Supports and provides further detail on the expected fee and workload changes expected under the proposed rule changes. </w:t>
      </w:r>
      <w:r w:rsidR="00765768"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00765768" w:rsidRPr="00765768">
        <w:rPr>
          <w:rFonts w:asciiTheme="minorHAnsi" w:eastAsia="Times New Roman" w:hAnsiTheme="minorHAnsi" w:cstheme="minorHAnsi"/>
          <w:bCs/>
          <w:sz w:val="22"/>
          <w:szCs w:val="22"/>
        </w:rPr>
        <w:t xml:space="preserve">Documents relied on for fiscal and economic impact’ </w:t>
      </w:r>
      <w:r w:rsidR="00765768" w:rsidRPr="00765768">
        <w:rPr>
          <w:rFonts w:asciiTheme="minorHAnsi" w:hAnsiTheme="minorHAnsi" w:cstheme="minorHAnsi"/>
          <w:sz w:val="22"/>
          <w:szCs w:val="22"/>
        </w:rPr>
        <w:t>above]</w:t>
      </w:r>
      <w:r w:rsidRPr="00765768">
        <w:rPr>
          <w:rFonts w:asciiTheme="minorHAnsi" w:hAnsiTheme="minorHAnsi" w:cstheme="minorHAnsi"/>
          <w:sz w:val="22"/>
          <w:szCs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765768" w:rsidRDefault="00C9239E" w:rsidP="00B34CF8">
      <w:pPr>
        <w:spacing w:after="120"/>
        <w:ind w:left="360" w:right="18"/>
        <w:outlineLvl w:val="0"/>
        <w:rPr>
          <w:rFonts w:asciiTheme="minorHAnsi" w:eastAsia="Times New Roman" w:hAnsiTheme="minorHAnsi" w:cstheme="minorHAnsi"/>
          <w:bCs/>
          <w:color w:val="504938"/>
          <w:sz w:val="22"/>
          <w:szCs w:val="22"/>
        </w:rPr>
      </w:pPr>
      <w:r w:rsidRPr="00B15DF7">
        <w:rPr>
          <w:rFonts w:ascii="Cambria" w:eastAsia="Times New Roman" w:hAnsi="Cambria" w:cs="Times New Roman"/>
          <w:color w:val="000000"/>
          <w:sz w:val="22"/>
          <w:szCs w:val="22"/>
        </w:rPr>
        <w:t> </w:t>
      </w:r>
      <w:r w:rsidR="00DC04D1" w:rsidRPr="00765768">
        <w:rPr>
          <w:rFonts w:asciiTheme="majorHAnsi" w:eastAsia="Times New Roman" w:hAnsiTheme="majorHAnsi" w:cstheme="majorHAnsi"/>
          <w:bCs/>
          <w:color w:val="504938"/>
          <w:sz w:val="22"/>
          <w:szCs w:val="22"/>
        </w:rPr>
        <w:t xml:space="preserve">EQC </w:t>
      </w:r>
      <w:r w:rsidR="00A74227" w:rsidRPr="00765768">
        <w:rPr>
          <w:rFonts w:asciiTheme="majorHAnsi" w:eastAsia="Times New Roman" w:hAnsiTheme="majorHAnsi" w:cstheme="majorHAnsi"/>
          <w:bCs/>
          <w:color w:val="504938"/>
          <w:sz w:val="22"/>
          <w:szCs w:val="22"/>
        </w:rPr>
        <w:t>prior involvement</w:t>
      </w:r>
    </w:p>
    <w:p w:rsidR="001F2D3C" w:rsidRPr="00765768" w:rsidRDefault="00356F31" w:rsidP="00B34CF8">
      <w:pPr>
        <w:ind w:left="810" w:right="18"/>
        <w:outlineLvl w:val="0"/>
        <w:rPr>
          <w:rFonts w:ascii="Times New Roman" w:eastAsia="Times New Roman" w:hAnsi="Times New Roman" w:cs="Times New Roman"/>
          <w:sz w:val="22"/>
          <w:szCs w:val="22"/>
        </w:rPr>
      </w:pPr>
      <w:r w:rsidRPr="00765768">
        <w:rPr>
          <w:rFonts w:asciiTheme="minorHAnsi" w:eastAsia="Times New Roman" w:hAnsiTheme="minorHAnsi" w:cstheme="minorHAnsi"/>
          <w:bCs/>
          <w:sz w:val="22"/>
          <w:szCs w:val="22"/>
        </w:rPr>
        <w:t xml:space="preserve">DEQ shares general rulemaking information with EQC through the annual DEQ Rulemaking Plan review and monthly status report. DEQ did not present additional information specific to this proposed rule revision beyond the annual rulemaking plan and the monthly </w:t>
      </w:r>
      <w:r w:rsidR="00107B12" w:rsidRPr="00765768">
        <w:rPr>
          <w:rFonts w:asciiTheme="minorHAnsi" w:eastAsia="Times New Roman" w:hAnsiTheme="minorHAnsi" w:cstheme="minorHAnsi"/>
          <w:bCs/>
          <w:sz w:val="22"/>
          <w:szCs w:val="22"/>
        </w:rPr>
        <w:t xml:space="preserve">rulemaking </w:t>
      </w:r>
      <w:r w:rsidRPr="00765768">
        <w:rPr>
          <w:rFonts w:asciiTheme="minorHAnsi" w:eastAsia="Times New Roman" w:hAnsiTheme="minorHAnsi" w:cstheme="minorHAnsi"/>
          <w:bCs/>
          <w:sz w:val="22"/>
          <w:szCs w:val="22"/>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765768" w:rsidRDefault="00803A21" w:rsidP="00B34CF8">
      <w:pPr>
        <w:spacing w:after="120"/>
        <w:ind w:left="720" w:right="18"/>
        <w:outlineLvl w:val="0"/>
        <w:rPr>
          <w:rFonts w:asciiTheme="minorHAnsi" w:eastAsia="Times New Roman" w:hAnsiTheme="minorHAnsi" w:cstheme="minorHAnsi"/>
          <w:color w:val="000000" w:themeColor="text1"/>
          <w:sz w:val="22"/>
          <w:szCs w:val="22"/>
        </w:rPr>
      </w:pPr>
      <w:proofErr w:type="gramStart"/>
      <w:r w:rsidRPr="00765768">
        <w:rPr>
          <w:rFonts w:asciiTheme="minorHAnsi" w:eastAsia="Times New Roman" w:hAnsiTheme="minorHAnsi" w:cstheme="minorHAnsi"/>
          <w:bCs/>
          <w:color w:val="000000" w:themeColor="text1"/>
          <w:sz w:val="22"/>
          <w:szCs w:val="22"/>
        </w:rPr>
        <w:t xml:space="preserve">The </w:t>
      </w:r>
      <w:r w:rsidR="0098048B" w:rsidRPr="00765768">
        <w:rPr>
          <w:rFonts w:asciiTheme="minorHAnsi" w:eastAsia="Times New Roman" w:hAnsiTheme="minorHAnsi" w:cstheme="minorHAnsi"/>
          <w:bCs/>
          <w:color w:val="000000" w:themeColor="text1"/>
          <w:sz w:val="22"/>
          <w:szCs w:val="22"/>
        </w:rPr>
        <w:t>October</w:t>
      </w:r>
      <w:r w:rsidR="00F97D7C" w:rsidRPr="00765768">
        <w:rPr>
          <w:rFonts w:asciiTheme="minorHAnsi" w:eastAsia="Times New Roman" w:hAnsiTheme="minorHAnsi" w:cstheme="minorHAnsi"/>
          <w:bCs/>
          <w:color w:val="000000" w:themeColor="text1"/>
          <w:sz w:val="22"/>
          <w:szCs w:val="22"/>
        </w:rPr>
        <w:t xml:space="preserve"> 2013</w:t>
      </w:r>
      <w:r w:rsidR="00F97D7C" w:rsidRPr="00765768">
        <w:rPr>
          <w:rFonts w:asciiTheme="minorHAnsi" w:eastAsia="Times New Roman" w:hAnsiTheme="minorHAnsi" w:cstheme="minorHAnsi"/>
          <w:bCs/>
          <w:i/>
          <w:color w:val="000000" w:themeColor="text1"/>
          <w:sz w:val="22"/>
          <w:szCs w:val="22"/>
        </w:rPr>
        <w:t xml:space="preserve"> </w:t>
      </w:r>
      <w:hyperlink r:id="rId30" w:history="1">
        <w:r w:rsidRPr="00765768">
          <w:rPr>
            <w:rStyle w:val="Hyperlink"/>
            <w:rFonts w:asciiTheme="minorHAnsi" w:eastAsia="Times New Roman" w:hAnsiTheme="minorHAnsi" w:cstheme="minorHAnsi"/>
            <w:bCs/>
            <w:i/>
            <w:sz w:val="22"/>
            <w:szCs w:val="22"/>
          </w:rPr>
          <w:t>Oregon Bulletin</w:t>
        </w:r>
      </w:hyperlink>
      <w:r w:rsidRPr="00765768">
        <w:rPr>
          <w:rFonts w:asciiTheme="minorHAnsi" w:eastAsia="Times New Roman" w:hAnsiTheme="minorHAnsi" w:cstheme="minorHAnsi"/>
          <w:bCs/>
          <w:color w:val="000000" w:themeColor="text1"/>
          <w:sz w:val="22"/>
          <w:szCs w:val="22"/>
        </w:rPr>
        <w:t xml:space="preserve"> will publish t</w:t>
      </w:r>
      <w:r w:rsidR="00CB2EED" w:rsidRPr="00765768">
        <w:rPr>
          <w:rFonts w:asciiTheme="minorHAnsi" w:eastAsia="Times New Roman" w:hAnsiTheme="minorHAnsi" w:cstheme="minorHAnsi"/>
          <w:bCs/>
          <w:color w:val="000000" w:themeColor="text1"/>
          <w:sz w:val="22"/>
          <w:szCs w:val="22"/>
        </w:rPr>
        <w:t>he Notice of Proposed Rulemaking with Hearing for this rulemaking.</w:t>
      </w:r>
      <w:proofErr w:type="gramEnd"/>
      <w:r w:rsidR="00CB2EED" w:rsidRPr="00765768">
        <w:rPr>
          <w:rFonts w:asciiTheme="minorHAnsi" w:eastAsia="Times New Roman" w:hAnsiTheme="minorHAnsi" w:cstheme="minorHAnsi"/>
          <w:bCs/>
          <w:color w:val="000000" w:themeColor="text1"/>
          <w:sz w:val="22"/>
          <w:szCs w:val="22"/>
        </w:rPr>
        <w:t xml:space="preserve">  </w:t>
      </w:r>
      <w:r w:rsidR="00866F57" w:rsidRPr="00765768">
        <w:rPr>
          <w:rFonts w:asciiTheme="minorHAnsi" w:eastAsia="Times New Roman" w:hAnsiTheme="minorHAnsi" w:cstheme="minorHAnsi"/>
          <w:bCs/>
          <w:color w:val="000000" w:themeColor="text1"/>
          <w:sz w:val="22"/>
          <w:szCs w:val="22"/>
        </w:rPr>
        <w:t xml:space="preserve">DEQ </w:t>
      </w:r>
      <w:r w:rsidR="00724CF1" w:rsidRPr="00765768">
        <w:rPr>
          <w:rFonts w:asciiTheme="minorHAnsi" w:eastAsia="Times New Roman" w:hAnsiTheme="minorHAnsi" w:cstheme="minorHAnsi"/>
          <w:bCs/>
          <w:color w:val="000000" w:themeColor="text1"/>
          <w:sz w:val="22"/>
          <w:szCs w:val="22"/>
        </w:rPr>
        <w:t>also</w:t>
      </w:r>
      <w:r w:rsidR="00A74227" w:rsidRPr="00765768">
        <w:rPr>
          <w:rFonts w:asciiTheme="minorHAnsi" w:eastAsia="Times New Roman" w:hAnsiTheme="minorHAnsi" w:cstheme="minorHAnsi"/>
          <w:bCs/>
          <w:color w:val="000000" w:themeColor="text1"/>
          <w:sz w:val="22"/>
          <w:szCs w:val="22"/>
        </w:rPr>
        <w:t>:</w:t>
      </w:r>
      <w:r w:rsidR="00A74227" w:rsidRPr="00765768">
        <w:rPr>
          <w:rFonts w:asciiTheme="minorHAnsi" w:eastAsia="Times New Roman" w:hAnsiTheme="minorHAnsi" w:cstheme="minorHAnsi"/>
          <w:color w:val="000000" w:themeColor="text1"/>
          <w:sz w:val="22"/>
          <w:szCs w:val="22"/>
        </w:rPr>
        <w:t xml:space="preserve"> </w:t>
      </w:r>
    </w:p>
    <w:p w:rsidR="001F2D3C" w:rsidRPr="00765768"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sz w:val="22"/>
          <w:szCs w:val="22"/>
        </w:rPr>
      </w:pPr>
      <w:r w:rsidRPr="00765768">
        <w:rPr>
          <w:rFonts w:asciiTheme="minorHAnsi" w:eastAsia="Times New Roman" w:hAnsiTheme="minorHAnsi" w:cstheme="minorHAnsi"/>
          <w:color w:val="000000" w:themeColor="text1"/>
          <w:sz w:val="22"/>
          <w:szCs w:val="22"/>
        </w:rPr>
        <w:t xml:space="preserve">Posted </w:t>
      </w:r>
      <w:r w:rsidR="00866F57" w:rsidRPr="00765768">
        <w:rPr>
          <w:rFonts w:asciiTheme="minorHAnsi" w:eastAsia="Times New Roman" w:hAnsiTheme="minorHAnsi" w:cstheme="minorHAnsi"/>
          <w:color w:val="000000" w:themeColor="text1"/>
          <w:sz w:val="22"/>
          <w:szCs w:val="22"/>
        </w:rPr>
        <w:t xml:space="preserve">notice on </w:t>
      </w:r>
      <w:r w:rsidRPr="00765768">
        <w:rPr>
          <w:rFonts w:asciiTheme="minorHAnsi" w:eastAsia="Times New Roman" w:hAnsiTheme="minorHAnsi" w:cstheme="minorHAnsi"/>
          <w:color w:val="000000" w:themeColor="text1"/>
          <w:sz w:val="22"/>
          <w:szCs w:val="22"/>
        </w:rPr>
        <w:t>DEQ</w:t>
      </w:r>
      <w:r w:rsidR="00866F57" w:rsidRPr="00765768">
        <w:rPr>
          <w:rFonts w:asciiTheme="minorHAnsi" w:eastAsia="Times New Roman" w:hAnsiTheme="minorHAnsi" w:cstheme="minorHAnsi"/>
          <w:color w:val="000000" w:themeColor="text1"/>
          <w:sz w:val="22"/>
          <w:szCs w:val="22"/>
        </w:rPr>
        <w:t xml:space="preserve">’s </w:t>
      </w:r>
      <w:r w:rsidRPr="00765768">
        <w:rPr>
          <w:rFonts w:asciiTheme="minorHAnsi" w:eastAsia="Times New Roman" w:hAnsiTheme="minorHAnsi" w:cstheme="minorHAnsi"/>
          <w:color w:val="000000" w:themeColor="text1"/>
          <w:sz w:val="22"/>
          <w:szCs w:val="22"/>
        </w:rPr>
        <w:t xml:space="preserve">webpage </w:t>
      </w:r>
      <w:hyperlink r:id="rId31" w:history="1">
        <w:r w:rsidRPr="00765768">
          <w:rPr>
            <w:rFonts w:asciiTheme="minorHAnsi" w:eastAsia="Times New Roman" w:hAnsiTheme="minorHAnsi" w:cstheme="minorHAnsi"/>
            <w:color w:val="000000"/>
            <w:sz w:val="22"/>
            <w:szCs w:val="22"/>
            <w:u w:val="single"/>
          </w:rPr>
          <w:t>http://www.deq.state.or.us/regulations/proposedrules.htm</w:t>
        </w:r>
      </w:hyperlink>
      <w:r w:rsidRPr="00765768">
        <w:rPr>
          <w:rFonts w:asciiTheme="minorHAnsi" w:hAnsiTheme="minorHAnsi" w:cstheme="minorHAnsi"/>
          <w:sz w:val="22"/>
          <w:szCs w:val="22"/>
        </w:rPr>
        <w:t xml:space="preserve"> </w:t>
      </w:r>
      <w:r w:rsidRPr="00765768">
        <w:rPr>
          <w:rFonts w:asciiTheme="minorHAnsi" w:eastAsia="Times New Roman" w:hAnsiTheme="minorHAnsi" w:cstheme="minorHAnsi"/>
          <w:color w:val="000000" w:themeColor="text1"/>
          <w:sz w:val="22"/>
          <w:szCs w:val="22"/>
        </w:rPr>
        <w:t xml:space="preserve">on </w:t>
      </w:r>
      <w:proofErr w:type="spellStart"/>
      <w:r w:rsidR="00F867C6" w:rsidRPr="00765768">
        <w:rPr>
          <w:rFonts w:asciiTheme="minorHAnsi" w:eastAsia="Times New Roman" w:hAnsiTheme="minorHAnsi" w:cstheme="minorHAnsi"/>
          <w:bCs/>
          <w:color w:val="000000" w:themeColor="text1"/>
          <w:sz w:val="22"/>
          <w:szCs w:val="22"/>
          <w:highlight w:val="lightGray"/>
        </w:rPr>
        <w:t>mmm</w:t>
      </w:r>
      <w:proofErr w:type="spellEnd"/>
      <w:r w:rsidR="00F867C6" w:rsidRPr="00765768">
        <w:rPr>
          <w:rFonts w:asciiTheme="minorHAnsi" w:eastAsia="Times New Roman" w:hAnsiTheme="minorHAnsi" w:cstheme="minorHAnsi"/>
          <w:bCs/>
          <w:color w:val="000000" w:themeColor="text1"/>
          <w:sz w:val="22"/>
          <w:szCs w:val="22"/>
          <w:highlight w:val="lightGray"/>
        </w:rPr>
        <w:t xml:space="preserve"> </w:t>
      </w:r>
      <w:proofErr w:type="spellStart"/>
      <w:r w:rsidR="00F867C6" w:rsidRPr="00765768">
        <w:rPr>
          <w:rFonts w:asciiTheme="minorHAnsi" w:eastAsia="Times New Roman" w:hAnsiTheme="minorHAnsi" w:cstheme="minorHAnsi"/>
          <w:bCs/>
          <w:color w:val="000000" w:themeColor="text1"/>
          <w:sz w:val="22"/>
          <w:szCs w:val="22"/>
          <w:highlight w:val="lightGray"/>
        </w:rPr>
        <w:t>dd</w:t>
      </w:r>
      <w:proofErr w:type="spellEnd"/>
      <w:r w:rsidR="00F867C6" w:rsidRPr="00765768">
        <w:rPr>
          <w:rFonts w:asciiTheme="minorHAnsi" w:eastAsia="Times New Roman" w:hAnsiTheme="minorHAnsi" w:cstheme="minorHAnsi"/>
          <w:bCs/>
          <w:color w:val="000000" w:themeColor="text1"/>
          <w:sz w:val="22"/>
          <w:szCs w:val="22"/>
          <w:highlight w:val="lightGray"/>
        </w:rPr>
        <w:t>, yyyy</w:t>
      </w:r>
      <w:r w:rsidRPr="00765768">
        <w:rPr>
          <w:rFonts w:asciiTheme="minorHAnsi" w:eastAsia="Times New Roman" w:hAnsiTheme="minorHAnsi" w:cstheme="minorHAnsi"/>
          <w:color w:val="000000" w:themeColor="text1"/>
          <w:sz w:val="22"/>
          <w:szCs w:val="22"/>
        </w:rPr>
        <w:t>.</w:t>
      </w:r>
    </w:p>
    <w:p w:rsidR="00A74227" w:rsidRPr="00765768"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rPr>
        <w:t>E</w:t>
      </w:r>
      <w:r w:rsidR="009C6788" w:rsidRPr="00765768">
        <w:rPr>
          <w:rFonts w:asciiTheme="minorHAnsi" w:eastAsia="Times New Roman" w:hAnsiTheme="minorHAnsi" w:cstheme="minorHAnsi"/>
          <w:color w:val="000000" w:themeColor="text1"/>
          <w:sz w:val="22"/>
          <w:szCs w:val="22"/>
        </w:rPr>
        <w:t>-</w:t>
      </w:r>
      <w:r w:rsidRPr="00765768">
        <w:rPr>
          <w:rFonts w:asciiTheme="minorHAnsi" w:eastAsia="Times New Roman" w:hAnsiTheme="minorHAnsi" w:cstheme="minorHAnsi"/>
          <w:color w:val="000000" w:themeColor="text1"/>
          <w:sz w:val="22"/>
          <w:szCs w:val="22"/>
        </w:rPr>
        <w:t xml:space="preserve">mailed </w:t>
      </w:r>
      <w:r w:rsidR="00866F57" w:rsidRPr="00765768">
        <w:rPr>
          <w:rFonts w:asciiTheme="minorHAnsi" w:eastAsia="Times New Roman" w:hAnsiTheme="minorHAnsi" w:cstheme="minorHAnsi"/>
          <w:color w:val="000000" w:themeColor="text1"/>
          <w:sz w:val="22"/>
          <w:szCs w:val="22"/>
        </w:rPr>
        <w:t xml:space="preserve">notice </w:t>
      </w:r>
      <w:r w:rsidR="00016F5E" w:rsidRPr="00765768">
        <w:rPr>
          <w:rFonts w:asciiTheme="minorHAnsi" w:eastAsia="Times New Roman" w:hAnsiTheme="minorHAnsi" w:cstheme="minorHAnsi"/>
          <w:color w:val="000000" w:themeColor="text1"/>
          <w:sz w:val="22"/>
          <w:szCs w:val="22"/>
        </w:rPr>
        <w:t xml:space="preserve">on </w:t>
      </w:r>
      <w:r w:rsidR="00016F5E" w:rsidRPr="00765768">
        <w:rPr>
          <w:rFonts w:asciiTheme="minorHAnsi" w:eastAsia="Times New Roman" w:hAnsiTheme="minorHAnsi" w:cstheme="minorHAnsi"/>
          <w:bCs/>
          <w:color w:val="000000" w:themeColor="text1"/>
          <w:sz w:val="22"/>
          <w:szCs w:val="22"/>
          <w:highlight w:val="lightGray"/>
        </w:rPr>
        <w:t>mmm dd, yyyy</w:t>
      </w:r>
      <w:r w:rsidR="00016F5E" w:rsidRPr="00765768">
        <w:rPr>
          <w:rFonts w:asciiTheme="minorHAnsi" w:eastAsia="Times New Roman" w:hAnsiTheme="minorHAnsi" w:cstheme="minorHAnsi"/>
          <w:color w:val="000000" w:themeColor="text1"/>
          <w:sz w:val="22"/>
          <w:szCs w:val="22"/>
        </w:rPr>
        <w:t xml:space="preserve"> </w:t>
      </w:r>
      <w:r w:rsidRPr="00765768">
        <w:rPr>
          <w:rFonts w:asciiTheme="minorHAnsi" w:eastAsia="Times New Roman" w:hAnsiTheme="minorHAnsi" w:cstheme="minorHAnsi"/>
          <w:color w:val="000000" w:themeColor="text1"/>
          <w:sz w:val="22"/>
          <w:szCs w:val="22"/>
        </w:rPr>
        <w:t>to:</w:t>
      </w:r>
    </w:p>
    <w:p w:rsidR="00C22E0C" w:rsidRPr="00765768"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rPr>
        <w:t xml:space="preserve">Approximately </w:t>
      </w:r>
      <w:r w:rsidR="00A74227" w:rsidRPr="00765768">
        <w:rPr>
          <w:rFonts w:asciiTheme="minorHAnsi" w:eastAsia="Times New Roman" w:hAnsiTheme="minorHAnsi" w:cstheme="minorHAnsi"/>
          <w:color w:val="000000" w:themeColor="text1"/>
          <w:sz w:val="22"/>
          <w:szCs w:val="22"/>
          <w:highlight w:val="lightGray"/>
        </w:rPr>
        <w:t>####</w:t>
      </w:r>
      <w:r w:rsidR="00A74227" w:rsidRPr="00765768">
        <w:rPr>
          <w:rFonts w:asciiTheme="minorHAnsi" w:eastAsia="Times New Roman" w:hAnsiTheme="minorHAnsi" w:cstheme="minorHAnsi"/>
          <w:color w:val="000000" w:themeColor="text1"/>
          <w:sz w:val="22"/>
          <w:szCs w:val="22"/>
        </w:rPr>
        <w:t xml:space="preserve"> interested parties through </w:t>
      </w:r>
      <w:r w:rsidR="001F2D3C" w:rsidRPr="00765768">
        <w:rPr>
          <w:rFonts w:asciiTheme="minorHAnsi" w:eastAsia="Times New Roman" w:hAnsiTheme="minorHAnsi" w:cstheme="minorHAnsi"/>
          <w:color w:val="000000" w:themeColor="text1"/>
          <w:sz w:val="22"/>
          <w:szCs w:val="22"/>
        </w:rPr>
        <w:t xml:space="preserve">GovDelivery </w:t>
      </w:r>
      <w:r w:rsidR="00C22E0C" w:rsidRPr="00765768">
        <w:rPr>
          <w:rFonts w:asciiTheme="minorHAnsi" w:eastAsia="Times New Roman" w:hAnsiTheme="minorHAnsi" w:cstheme="minorHAnsi"/>
          <w:color w:val="000000" w:themeColor="text1"/>
          <w:sz w:val="22"/>
          <w:szCs w:val="22"/>
        </w:rPr>
        <w:t xml:space="preserve">on </w:t>
      </w:r>
      <w:r w:rsidR="00016F5E" w:rsidRPr="00765768">
        <w:rPr>
          <w:rFonts w:asciiTheme="minorHAnsi" w:eastAsia="Times New Roman" w:hAnsiTheme="minorHAnsi" w:cstheme="minorHAnsi"/>
          <w:bCs/>
          <w:color w:val="000000" w:themeColor="text1"/>
          <w:sz w:val="22"/>
          <w:szCs w:val="22"/>
          <w:highlight w:val="lightGray"/>
        </w:rPr>
        <w:t>mmm dd, yyyy</w:t>
      </w:r>
      <w:r w:rsidR="00C22E0C" w:rsidRPr="00765768">
        <w:rPr>
          <w:rFonts w:asciiTheme="minorHAnsi" w:eastAsia="Times New Roman" w:hAnsiTheme="minorHAnsi" w:cstheme="minorHAnsi"/>
          <w:color w:val="000000" w:themeColor="text1"/>
          <w:sz w:val="22"/>
          <w:szCs w:val="22"/>
        </w:rPr>
        <w:t>.</w:t>
      </w:r>
    </w:p>
    <w:p w:rsidR="00C22E0C" w:rsidRPr="0076576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highlight w:val="lightGray"/>
        </w:rPr>
        <w:t>###</w:t>
      </w:r>
      <w:proofErr w:type="gramStart"/>
      <w:r w:rsidRPr="00765768">
        <w:rPr>
          <w:rFonts w:asciiTheme="minorHAnsi" w:eastAsia="Times New Roman" w:hAnsiTheme="minorHAnsi" w:cstheme="minorHAnsi"/>
          <w:color w:val="000000" w:themeColor="text1"/>
          <w:sz w:val="22"/>
          <w:szCs w:val="22"/>
          <w:highlight w:val="lightGray"/>
        </w:rPr>
        <w:t>#</w:t>
      </w:r>
      <w:r w:rsidRPr="00765768">
        <w:rPr>
          <w:rFonts w:asciiTheme="minorHAnsi" w:eastAsia="Times New Roman" w:hAnsiTheme="minorHAnsi" w:cstheme="minorHAnsi"/>
          <w:color w:val="000000" w:themeColor="text1"/>
          <w:sz w:val="22"/>
          <w:szCs w:val="22"/>
        </w:rPr>
        <w:t xml:space="preserve"> </w:t>
      </w:r>
      <w:r w:rsidR="00C22E0C" w:rsidRPr="00765768">
        <w:rPr>
          <w:rFonts w:asciiTheme="minorHAnsi" w:eastAsia="Times New Roman" w:hAnsiTheme="minorHAnsi" w:cstheme="minorHAnsi"/>
          <w:color w:val="70481C" w:themeColor="accent6" w:themeShade="80"/>
          <w:sz w:val="22"/>
          <w:szCs w:val="22"/>
        </w:rPr>
        <w:t xml:space="preserve"> </w:t>
      </w:r>
      <w:r w:rsidR="00C22E0C" w:rsidRPr="00765768">
        <w:rPr>
          <w:rFonts w:asciiTheme="minorHAnsi" w:eastAsia="Times New Roman" w:hAnsiTheme="minorHAnsi" w:cstheme="minorHAnsi"/>
          <w:color w:val="000000" w:themeColor="text1"/>
          <w:sz w:val="22"/>
          <w:szCs w:val="22"/>
        </w:rPr>
        <w:t>stakeholder</w:t>
      </w:r>
      <w:r w:rsidR="009C1B9E" w:rsidRPr="00765768">
        <w:rPr>
          <w:rFonts w:asciiTheme="minorHAnsi" w:eastAsia="Times New Roman" w:hAnsiTheme="minorHAnsi" w:cstheme="minorHAnsi"/>
          <w:color w:val="000000" w:themeColor="text1"/>
          <w:sz w:val="22"/>
          <w:szCs w:val="22"/>
        </w:rPr>
        <w:t>s</w:t>
      </w:r>
      <w:proofErr w:type="gramEnd"/>
      <w:r w:rsidR="00C22E0C" w:rsidRPr="00765768">
        <w:rPr>
          <w:rFonts w:asciiTheme="minorHAnsi" w:eastAsia="Times New Roman" w:hAnsiTheme="minorHAnsi" w:cstheme="minorHAnsi"/>
          <w:color w:val="000000" w:themeColor="text1"/>
          <w:sz w:val="22"/>
          <w:szCs w:val="22"/>
        </w:rPr>
        <w:t xml:space="preserve"> on the </w:t>
      </w:r>
      <w:r w:rsidRPr="00765768">
        <w:rPr>
          <w:rFonts w:asciiTheme="minorHAnsi" w:eastAsia="Times New Roman" w:hAnsiTheme="minorHAnsi" w:cstheme="minorHAnsi"/>
          <w:color w:val="000000" w:themeColor="text1"/>
          <w:sz w:val="22"/>
          <w:szCs w:val="22"/>
          <w:highlight w:val="lightGray"/>
        </w:rPr>
        <w:t>Enter other mailing lists here</w:t>
      </w:r>
      <w:r w:rsidRPr="00765768">
        <w:rPr>
          <w:rFonts w:asciiTheme="minorHAnsi" w:eastAsia="Times New Roman" w:hAnsiTheme="minorHAnsi" w:cstheme="minorHAnsi"/>
          <w:color w:val="000000" w:themeColor="text1"/>
          <w:sz w:val="22"/>
          <w:szCs w:val="22"/>
        </w:rPr>
        <w:t>.</w:t>
      </w:r>
    </w:p>
    <w:p w:rsidR="001F2D3C" w:rsidRPr="0076576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rPr>
        <w:t xml:space="preserve">The following </w:t>
      </w:r>
      <w:r w:rsidR="00C22E0C" w:rsidRPr="00765768">
        <w:rPr>
          <w:rFonts w:asciiTheme="minorHAnsi" w:eastAsia="Times New Roman" w:hAnsiTheme="minorHAnsi" w:cstheme="minorHAnsi"/>
          <w:color w:val="000000" w:themeColor="text1"/>
          <w:sz w:val="22"/>
          <w:szCs w:val="22"/>
        </w:rPr>
        <w:t xml:space="preserve">key legislators required under </w:t>
      </w:r>
      <w:hyperlink r:id="rId32" w:history="1">
        <w:r w:rsidR="00C22E0C" w:rsidRPr="00765768">
          <w:rPr>
            <w:rFonts w:asciiTheme="minorHAnsi" w:eastAsia="Times New Roman" w:hAnsiTheme="minorHAnsi" w:cstheme="minorHAnsi"/>
            <w:color w:val="000000" w:themeColor="text1"/>
            <w:sz w:val="22"/>
            <w:szCs w:val="22"/>
            <w:u w:val="single"/>
          </w:rPr>
          <w:t>ORS 183.335</w:t>
        </w:r>
      </w:hyperlink>
      <w:r w:rsidRPr="00765768">
        <w:rPr>
          <w:sz w:val="22"/>
          <w:szCs w:val="22"/>
        </w:rPr>
        <w:t>:</w:t>
      </w:r>
    </w:p>
    <w:p w:rsidR="00C22E0C" w:rsidRPr="00765768"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sz w:val="22"/>
          <w:szCs w:val="22"/>
          <w:highlight w:val="lightGray"/>
        </w:rPr>
      </w:pPr>
      <w:r w:rsidRPr="00765768">
        <w:rPr>
          <w:rFonts w:asciiTheme="minorHAnsi" w:eastAsia="Times New Roman" w:hAnsiTheme="minorHAnsi" w:cstheme="minorHAnsi"/>
          <w:color w:val="000000" w:themeColor="text1"/>
          <w:sz w:val="22"/>
          <w:szCs w:val="22"/>
          <w:highlight w:val="lightGray"/>
        </w:rPr>
        <w:t>Enter n</w:t>
      </w:r>
      <w:r w:rsidR="00C22E0C" w:rsidRPr="00765768">
        <w:rPr>
          <w:rFonts w:asciiTheme="minorHAnsi" w:eastAsia="Times New Roman" w:hAnsiTheme="minorHAnsi" w:cstheme="minorHAnsi"/>
          <w:color w:val="000000" w:themeColor="text1"/>
          <w:sz w:val="22"/>
          <w:szCs w:val="22"/>
          <w:highlight w:val="lightGray"/>
        </w:rPr>
        <w:t xml:space="preserve">ame, </w:t>
      </w:r>
      <w:r w:rsidRPr="00765768">
        <w:rPr>
          <w:rFonts w:asciiTheme="minorHAnsi" w:eastAsia="Times New Roman" w:hAnsiTheme="minorHAnsi" w:cstheme="minorHAnsi"/>
          <w:color w:val="000000" w:themeColor="text1"/>
          <w:sz w:val="22"/>
          <w:szCs w:val="22"/>
          <w:highlight w:val="lightGray"/>
        </w:rPr>
        <w:t>t</w:t>
      </w:r>
      <w:r w:rsidR="00C22E0C" w:rsidRPr="00765768">
        <w:rPr>
          <w:rFonts w:asciiTheme="minorHAnsi" w:eastAsia="Times New Roman" w:hAnsiTheme="minorHAnsi" w:cstheme="minorHAnsi"/>
          <w:color w:val="000000" w:themeColor="text1"/>
          <w:sz w:val="22"/>
          <w:szCs w:val="22"/>
          <w:highlight w:val="lightGray"/>
        </w:rPr>
        <w:t xml:space="preserve">itle, </w:t>
      </w:r>
      <w:r w:rsidRPr="00765768">
        <w:rPr>
          <w:rFonts w:asciiTheme="minorHAnsi" w:eastAsia="Times New Roman" w:hAnsiTheme="minorHAnsi" w:cstheme="minorHAnsi"/>
          <w:color w:val="000000" w:themeColor="text1"/>
          <w:sz w:val="22"/>
          <w:szCs w:val="22"/>
          <w:highlight w:val="lightGray"/>
        </w:rPr>
        <w:t>c</w:t>
      </w:r>
      <w:r w:rsidR="00C22E0C" w:rsidRPr="00765768">
        <w:rPr>
          <w:rFonts w:asciiTheme="minorHAnsi" w:eastAsia="Times New Roman" w:hAnsiTheme="minorHAnsi" w:cstheme="minorHAnsi"/>
          <w:color w:val="000000" w:themeColor="text1"/>
          <w:sz w:val="22"/>
          <w:szCs w:val="22"/>
          <w:highlight w:val="lightGray"/>
        </w:rPr>
        <w:t>ommitte</w:t>
      </w:r>
      <w:r w:rsidRPr="00765768">
        <w:rPr>
          <w:rFonts w:asciiTheme="minorHAnsi" w:eastAsia="Times New Roman" w:hAnsiTheme="minorHAnsi" w:cstheme="minorHAnsi"/>
          <w:color w:val="000000" w:themeColor="text1"/>
          <w:sz w:val="22"/>
          <w:szCs w:val="22"/>
          <w:highlight w:val="lightGray"/>
        </w:rPr>
        <w:t>e here</w:t>
      </w:r>
      <w:r w:rsidRPr="00765768">
        <w:rPr>
          <w:rFonts w:asciiTheme="minorHAnsi" w:eastAsia="Times New Roman" w:hAnsiTheme="minorHAnsi" w:cstheme="minorHAnsi"/>
          <w:color w:val="000000" w:themeColor="text1"/>
          <w:sz w:val="22"/>
          <w:szCs w:val="22"/>
        </w:rPr>
        <w:t>.</w:t>
      </w:r>
    </w:p>
    <w:p w:rsidR="00016F5E" w:rsidRPr="00765768"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sz w:val="22"/>
          <w:szCs w:val="22"/>
          <w:highlight w:val="lightGray"/>
        </w:rPr>
      </w:pPr>
      <w:r w:rsidRPr="00765768">
        <w:rPr>
          <w:rFonts w:asciiTheme="minorHAnsi" w:eastAsia="Times New Roman" w:hAnsiTheme="minorHAnsi" w:cstheme="minorHAnsi"/>
          <w:color w:val="000000" w:themeColor="text1"/>
          <w:sz w:val="22"/>
          <w:szCs w:val="22"/>
          <w:highlight w:val="lightGray"/>
        </w:rPr>
        <w:t>Enter name, title, committee here</w:t>
      </w:r>
      <w:r w:rsidRPr="00765768">
        <w:rPr>
          <w:rFonts w:asciiTheme="minorHAnsi" w:eastAsia="Times New Roman" w:hAnsiTheme="minorHAnsi" w:cstheme="minorHAnsi"/>
          <w:color w:val="000000" w:themeColor="text1"/>
          <w:sz w:val="22"/>
          <w:szCs w:val="22"/>
        </w:rPr>
        <w:t>.</w:t>
      </w:r>
    </w:p>
    <w:p w:rsidR="00016F5E" w:rsidRPr="00765768"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sz w:val="22"/>
          <w:szCs w:val="22"/>
          <w:highlight w:val="lightGray"/>
        </w:rPr>
      </w:pPr>
      <w:r w:rsidRPr="00765768">
        <w:rPr>
          <w:rFonts w:asciiTheme="minorHAnsi" w:eastAsia="Times New Roman" w:hAnsiTheme="minorHAnsi" w:cstheme="minorHAnsi"/>
          <w:color w:val="000000" w:themeColor="text1"/>
          <w:sz w:val="22"/>
          <w:szCs w:val="22"/>
          <w:highlight w:val="lightGray"/>
        </w:rPr>
        <w:t>Enter name, title, committee here</w:t>
      </w:r>
      <w:r w:rsidRPr="00765768">
        <w:rPr>
          <w:rFonts w:asciiTheme="minorHAnsi" w:eastAsia="Times New Roman" w:hAnsiTheme="minorHAnsi" w:cstheme="minorHAnsi"/>
          <w:color w:val="000000" w:themeColor="text1"/>
          <w:sz w:val="22"/>
          <w:szCs w:val="22"/>
        </w:rPr>
        <w:t>.</w:t>
      </w:r>
    </w:p>
    <w:p w:rsidR="00C22E0C" w:rsidRPr="00765768"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rPr>
        <w:t>Members of the advisory committee.</w:t>
      </w:r>
    </w:p>
    <w:p w:rsidR="001F2D3C" w:rsidRPr="00765768"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sz w:val="22"/>
          <w:szCs w:val="22"/>
        </w:rPr>
      </w:pPr>
      <w:r w:rsidRPr="00765768">
        <w:rPr>
          <w:rFonts w:asciiTheme="minorHAnsi" w:eastAsia="Times New Roman" w:hAnsiTheme="minorHAnsi" w:cstheme="minorHAnsi"/>
          <w:color w:val="000000" w:themeColor="text1"/>
          <w:sz w:val="22"/>
          <w:szCs w:val="22"/>
        </w:rPr>
        <w:t>Mailed</w:t>
      </w:r>
      <w:r w:rsidR="00B4779D" w:rsidRPr="00765768">
        <w:rPr>
          <w:rFonts w:asciiTheme="minorHAnsi" w:eastAsia="Times New Roman" w:hAnsiTheme="minorHAnsi" w:cstheme="minorHAnsi"/>
          <w:color w:val="000000" w:themeColor="text1"/>
          <w:sz w:val="22"/>
          <w:szCs w:val="22"/>
        </w:rPr>
        <w:t xml:space="preserve"> </w:t>
      </w:r>
      <w:r w:rsidR="00866F57" w:rsidRPr="00765768">
        <w:rPr>
          <w:rFonts w:asciiTheme="minorHAnsi" w:eastAsia="Times New Roman" w:hAnsiTheme="minorHAnsi" w:cstheme="minorHAnsi"/>
          <w:color w:val="000000" w:themeColor="text1"/>
          <w:sz w:val="22"/>
          <w:szCs w:val="22"/>
        </w:rPr>
        <w:t xml:space="preserve">the notice </w:t>
      </w:r>
      <w:r w:rsidR="00B4779D" w:rsidRPr="00765768">
        <w:rPr>
          <w:rFonts w:asciiTheme="minorHAnsi" w:eastAsia="Times New Roman" w:hAnsiTheme="minorHAnsi" w:cstheme="minorHAnsi"/>
          <w:color w:val="000000" w:themeColor="text1"/>
          <w:sz w:val="22"/>
          <w:szCs w:val="22"/>
        </w:rPr>
        <w:t xml:space="preserve">by </w:t>
      </w:r>
      <w:r w:rsidR="001F2D3C" w:rsidRPr="00765768">
        <w:rPr>
          <w:rFonts w:asciiTheme="minorHAnsi" w:eastAsia="Times New Roman" w:hAnsiTheme="minorHAnsi" w:cstheme="minorHAnsi"/>
          <w:color w:val="000000" w:themeColor="text1"/>
          <w:sz w:val="22"/>
          <w:szCs w:val="22"/>
        </w:rPr>
        <w:t>U.S. Postal Service</w:t>
      </w:r>
      <w:r w:rsidR="00B4779D" w:rsidRPr="00765768">
        <w:rPr>
          <w:rFonts w:asciiTheme="minorHAnsi" w:eastAsia="Times New Roman" w:hAnsiTheme="minorHAnsi" w:cstheme="minorHAnsi"/>
          <w:color w:val="000000" w:themeColor="text1"/>
          <w:sz w:val="22"/>
          <w:szCs w:val="22"/>
        </w:rPr>
        <w:t xml:space="preserve"> to</w:t>
      </w:r>
      <w:r w:rsidR="00B4779D" w:rsidRPr="00765768">
        <w:rPr>
          <w:rFonts w:asciiTheme="minorHAnsi" w:eastAsia="Times New Roman" w:hAnsiTheme="minorHAnsi" w:cstheme="minorHAnsi"/>
          <w:color w:val="70481C" w:themeColor="accent6" w:themeShade="80"/>
          <w:sz w:val="22"/>
          <w:szCs w:val="22"/>
        </w:rPr>
        <w:t xml:space="preserve"> </w:t>
      </w:r>
      <w:r w:rsidR="00B4779D" w:rsidRPr="00765768">
        <w:rPr>
          <w:rFonts w:asciiTheme="minorHAnsi" w:eastAsia="Times New Roman" w:hAnsiTheme="minorHAnsi" w:cstheme="minorHAnsi"/>
          <w:color w:val="000000" w:themeColor="text1"/>
          <w:sz w:val="22"/>
          <w:szCs w:val="22"/>
          <w:highlight w:val="lightGray"/>
        </w:rPr>
        <w:t>##</w:t>
      </w:r>
      <w:r w:rsidR="00B4779D" w:rsidRPr="00765768">
        <w:rPr>
          <w:rFonts w:asciiTheme="minorHAnsi" w:eastAsia="Times New Roman" w:hAnsiTheme="minorHAnsi" w:cstheme="minorHAnsi"/>
          <w:color w:val="000000" w:themeColor="text1"/>
          <w:sz w:val="22"/>
          <w:szCs w:val="22"/>
        </w:rPr>
        <w:t xml:space="preserve"> interested parties</w:t>
      </w:r>
      <w:r w:rsidR="00016F5E" w:rsidRPr="00765768">
        <w:rPr>
          <w:rFonts w:asciiTheme="minorHAnsi" w:eastAsia="Times New Roman" w:hAnsiTheme="minorHAnsi" w:cstheme="minorHAnsi"/>
          <w:color w:val="000000" w:themeColor="text1"/>
          <w:sz w:val="22"/>
          <w:szCs w:val="22"/>
        </w:rPr>
        <w:t xml:space="preserve"> on </w:t>
      </w:r>
      <w:r w:rsidR="00016F5E" w:rsidRPr="00765768">
        <w:rPr>
          <w:rFonts w:asciiTheme="minorHAnsi" w:eastAsia="Times New Roman" w:hAnsiTheme="minorHAnsi" w:cstheme="minorHAnsi"/>
          <w:bCs/>
          <w:color w:val="000000" w:themeColor="text1"/>
          <w:sz w:val="22"/>
          <w:szCs w:val="22"/>
          <w:highlight w:val="lightGray"/>
        </w:rPr>
        <w:t>mmm dd, yyyy</w:t>
      </w:r>
      <w:r w:rsidR="00B4779D" w:rsidRPr="00765768">
        <w:rPr>
          <w:rFonts w:asciiTheme="minorHAnsi" w:eastAsia="Times New Roman" w:hAnsiTheme="minorHAnsi" w:cstheme="minorHAnsi"/>
          <w:color w:val="000000" w:themeColor="text1"/>
          <w:sz w:val="22"/>
          <w:szCs w:val="22"/>
        </w:rPr>
        <w:t>.</w:t>
      </w:r>
    </w:p>
    <w:p w:rsidR="00016F5E" w:rsidRPr="00765768"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sz w:val="22"/>
          <w:szCs w:val="22"/>
        </w:rPr>
      </w:pPr>
      <w:r w:rsidRPr="00765768">
        <w:rPr>
          <w:rFonts w:asciiTheme="minorHAnsi" w:eastAsia="Times New Roman" w:hAnsiTheme="minorHAnsi" w:cstheme="minorHAnsi"/>
          <w:color w:val="000000" w:themeColor="text1"/>
          <w:sz w:val="22"/>
          <w:szCs w:val="22"/>
        </w:rPr>
        <w:t>Sent notice to EPA</w:t>
      </w:r>
      <w:r w:rsidR="00016F5E" w:rsidRPr="00765768">
        <w:rPr>
          <w:rFonts w:asciiTheme="minorHAnsi" w:eastAsia="Times New Roman" w:hAnsiTheme="minorHAnsi" w:cstheme="minorHAnsi"/>
          <w:color w:val="000000" w:themeColor="text1"/>
          <w:sz w:val="22"/>
          <w:szCs w:val="22"/>
        </w:rPr>
        <w:t xml:space="preserve"> on </w:t>
      </w:r>
      <w:r w:rsidR="00016F5E" w:rsidRPr="00765768">
        <w:rPr>
          <w:rFonts w:asciiTheme="minorHAnsi" w:eastAsia="Times New Roman" w:hAnsiTheme="minorHAnsi" w:cstheme="minorHAnsi"/>
          <w:bCs/>
          <w:color w:val="000000" w:themeColor="text1"/>
          <w:sz w:val="22"/>
          <w:szCs w:val="22"/>
          <w:highlight w:val="lightGray"/>
        </w:rPr>
        <w:t>mmm dd, yyyy</w:t>
      </w:r>
      <w:r w:rsidRPr="00765768">
        <w:rPr>
          <w:rFonts w:asciiTheme="minorHAnsi" w:eastAsia="Times New Roman" w:hAnsiTheme="minorHAnsi" w:cstheme="minorHAnsi"/>
          <w:color w:val="000000" w:themeColor="text1"/>
          <w:sz w:val="22"/>
          <w:szCs w:val="22"/>
        </w:rPr>
        <w:t>.</w:t>
      </w:r>
      <w:r w:rsidR="001F2D3C" w:rsidRPr="00765768">
        <w:rPr>
          <w:rFonts w:asciiTheme="minorHAnsi" w:eastAsia="Times New Roman" w:hAnsiTheme="minorHAnsi" w:cstheme="minorHAnsi"/>
          <w:sz w:val="22"/>
          <w:szCs w:val="22"/>
        </w:rPr>
        <w:t> </w:t>
      </w:r>
    </w:p>
    <w:p w:rsidR="008B471D" w:rsidRPr="00765768"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sz w:val="22"/>
          <w:szCs w:val="22"/>
        </w:rPr>
      </w:pPr>
      <w:r w:rsidRPr="00765768">
        <w:rPr>
          <w:rFonts w:asciiTheme="minorHAnsi" w:eastAsia="Times New Roman" w:hAnsiTheme="minorHAnsi" w:cstheme="minorHAnsi"/>
          <w:sz w:val="22"/>
          <w:szCs w:val="22"/>
          <w:highlight w:val="lightGray"/>
        </w:rPr>
        <w:t>Enter other notices here</w:t>
      </w:r>
      <w:r w:rsidRPr="00765768">
        <w:rPr>
          <w:rFonts w:asciiTheme="minorHAnsi" w:eastAsia="Times New Roman" w:hAnsiTheme="minorHAnsi" w:cstheme="minorHAnsi"/>
          <w:sz w:val="22"/>
          <w:szCs w:val="22"/>
        </w:rPr>
        <w:t xml:space="preserve"> </w:t>
      </w:r>
      <w:r w:rsidRPr="00765768">
        <w:rPr>
          <w:rFonts w:asciiTheme="minorHAnsi" w:eastAsia="Times New Roman" w:hAnsiTheme="minorHAnsi" w:cstheme="minorHAnsi"/>
          <w:color w:val="000000" w:themeColor="text1"/>
          <w:sz w:val="22"/>
          <w:szCs w:val="22"/>
        </w:rPr>
        <w:t xml:space="preserve">on </w:t>
      </w:r>
      <w:r w:rsidRPr="00765768">
        <w:rPr>
          <w:rFonts w:asciiTheme="minorHAnsi" w:eastAsia="Times New Roman" w:hAnsiTheme="minorHAnsi" w:cstheme="minorHAnsi"/>
          <w:bCs/>
          <w:color w:val="000000" w:themeColor="text1"/>
          <w:sz w:val="22"/>
          <w:szCs w:val="22"/>
          <w:highlight w:val="lightGray"/>
        </w:rPr>
        <w:t>mmm dd, yyyy</w:t>
      </w:r>
      <w:r w:rsidRPr="00765768">
        <w:rPr>
          <w:rFonts w:asciiTheme="minorHAnsi" w:eastAsia="Times New Roman" w:hAnsiTheme="minorHAnsi" w:cstheme="minorHAnsi"/>
          <w:bCs/>
          <w:color w:val="000000" w:themeColor="text1"/>
          <w:sz w:val="22"/>
          <w:szCs w:val="22"/>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8048B" w:rsidRPr="004B6248">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457A29">
        <w:rPr>
          <w:rFonts w:asciiTheme="minorHAnsi" w:eastAsia="Times New Roman" w:hAnsiTheme="minorHAnsi" w:cstheme="minorHAnsi"/>
          <w:bCs/>
          <w:color w:val="000000" w:themeColor="text1"/>
        </w:rPr>
        <w:t>. The table</w:t>
      </w:r>
      <w:r w:rsidR="00D74378">
        <w:rPr>
          <w:rFonts w:asciiTheme="minorHAnsi" w:eastAsia="Times New Roman" w:hAnsiTheme="minorHAnsi" w:cstheme="minorHAnsi"/>
          <w:bCs/>
          <w:color w:val="000000" w:themeColor="text1"/>
        </w:rPr>
        <w:t xml:space="preserve">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4B6248">
        <w:rPr>
          <w:rFonts w:asciiTheme="minorHAnsi" w:eastAsia="Times New Roman" w:hAnsiTheme="minorHAnsi" w:cstheme="minorHAnsi"/>
          <w:color w:val="70481C" w:themeColor="accent6" w:themeShade="80"/>
        </w:rPr>
        <w:t>/</w:t>
      </w:r>
      <w:r w:rsidR="00C32274">
        <w:rPr>
          <w:rFonts w:ascii="Times New Roman" w:hAnsi="Times New Roman" w:cs="Times New Roman"/>
        </w:rPr>
        <w:t>staff presenter will s</w:t>
      </w:r>
      <w:r w:rsidR="00C32274" w:rsidRPr="008B7C03">
        <w:rPr>
          <w:rFonts w:ascii="Times New Roman" w:hAnsi="Times New Roman" w:cs="Times New Roman"/>
        </w:rPr>
        <w:t xml:space="preserve">ummarized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lastRenderedPageBreak/>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FD324F" w:rsidRDefault="00FD324F" w:rsidP="00264248">
      <w:pPr>
        <w:ind w:left="0" w:right="18"/>
        <w:rPr>
          <w:b/>
          <w:bCs/>
          <w:color w:val="1F497D"/>
          <w:sz w:val="28"/>
          <w:szCs w:val="28"/>
        </w:rPr>
      </w:pPr>
    </w:p>
    <w:bookmarkStart w:id="8" w:name="_MON_1421138453"/>
    <w:bookmarkEnd w:id="8"/>
    <w:p w:rsidR="00982C6B" w:rsidRDefault="00264248" w:rsidP="00B34CF8">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187.5pt" o:ole="">
            <v:imagedata r:id="rId35" o:title=""/>
          </v:shape>
          <o:OLEObject Type="Embed" ProgID="Excel.Sheet.12" ShapeID="_x0000_i1025" DrawAspect="Content" ObjectID="_1436866094" r:id="rId36"/>
        </w:object>
      </w:r>
    </w:p>
    <w:p w:rsidR="00982C6B" w:rsidRDefault="00982C6B" w:rsidP="00264248">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8048B">
        <w:rPr>
          <w:rFonts w:asciiTheme="minorHAnsi" w:eastAsia="Times New Roman" w:hAnsiTheme="minorHAnsi" w:cstheme="minorHAnsi"/>
          <w:bCs/>
          <w:color w:val="000000" w:themeColor="text1"/>
        </w:rPr>
        <w:t>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98048B">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3B" w:rsidRDefault="0088143B" w:rsidP="009328AF">
      <w:r>
        <w:separator/>
      </w:r>
    </w:p>
  </w:endnote>
  <w:endnote w:type="continuationSeparator" w:id="0">
    <w:p w:rsidR="0088143B" w:rsidRDefault="0088143B" w:rsidP="00932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3B" w:rsidRDefault="0088143B" w:rsidP="009328AF">
      <w:r>
        <w:separator/>
      </w:r>
    </w:p>
  </w:footnote>
  <w:footnote w:type="continuationSeparator" w:id="0">
    <w:p w:rsidR="0088143B" w:rsidRDefault="0088143B" w:rsidP="00932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88143B" w:rsidRPr="009328AF" w:rsidRDefault="0088143B" w:rsidP="009328AF">
        <w:pPr>
          <w:jc w:val="right"/>
          <w:rPr>
            <w:sz w:val="20"/>
            <w:szCs w:val="20"/>
          </w:rPr>
        </w:pPr>
        <w:r w:rsidRPr="009328AF">
          <w:rPr>
            <w:sz w:val="20"/>
            <w:szCs w:val="20"/>
          </w:rPr>
          <w:t>LRAPA Industrial Streamlining Rules</w:t>
        </w:r>
      </w:p>
      <w:p w:rsidR="0088143B" w:rsidRDefault="0088143B" w:rsidP="009328AF">
        <w:pPr>
          <w:jc w:val="right"/>
        </w:pPr>
        <w:r w:rsidRPr="009328AF">
          <w:rPr>
            <w:sz w:val="20"/>
            <w:szCs w:val="20"/>
          </w:rPr>
          <w:t xml:space="preserve">Page </w:t>
        </w:r>
        <w:r w:rsidRPr="009328AF">
          <w:rPr>
            <w:sz w:val="20"/>
            <w:szCs w:val="20"/>
          </w:rPr>
          <w:fldChar w:fldCharType="begin"/>
        </w:r>
        <w:r w:rsidRPr="009328AF">
          <w:rPr>
            <w:sz w:val="20"/>
            <w:szCs w:val="20"/>
          </w:rPr>
          <w:instrText xml:space="preserve"> PAGE </w:instrText>
        </w:r>
        <w:r w:rsidRPr="009328AF">
          <w:rPr>
            <w:sz w:val="20"/>
            <w:szCs w:val="20"/>
          </w:rPr>
          <w:fldChar w:fldCharType="separate"/>
        </w:r>
        <w:r w:rsidR="00445E94">
          <w:rPr>
            <w:noProof/>
            <w:sz w:val="20"/>
            <w:szCs w:val="20"/>
          </w:rPr>
          <w:t>23</w:t>
        </w:r>
        <w:r w:rsidRPr="009328AF">
          <w:rPr>
            <w:sz w:val="20"/>
            <w:szCs w:val="20"/>
          </w:rPr>
          <w:fldChar w:fldCharType="end"/>
        </w:r>
        <w:r w:rsidRPr="009328AF">
          <w:rPr>
            <w:sz w:val="20"/>
            <w:szCs w:val="20"/>
          </w:rPr>
          <w:t xml:space="preserve"> of </w:t>
        </w:r>
        <w:r w:rsidRPr="009328AF">
          <w:rPr>
            <w:sz w:val="20"/>
            <w:szCs w:val="20"/>
          </w:rPr>
          <w:fldChar w:fldCharType="begin"/>
        </w:r>
        <w:r w:rsidRPr="009328AF">
          <w:rPr>
            <w:sz w:val="20"/>
            <w:szCs w:val="20"/>
          </w:rPr>
          <w:instrText xml:space="preserve"> NUMPAGES  </w:instrText>
        </w:r>
        <w:r w:rsidRPr="009328AF">
          <w:rPr>
            <w:sz w:val="20"/>
            <w:szCs w:val="20"/>
          </w:rPr>
          <w:fldChar w:fldCharType="separate"/>
        </w:r>
        <w:r w:rsidR="00445E94">
          <w:rPr>
            <w:noProof/>
            <w:sz w:val="20"/>
            <w:szCs w:val="20"/>
          </w:rPr>
          <w:t>23</w:t>
        </w:r>
        <w:r w:rsidRPr="009328AF">
          <w:rPr>
            <w:sz w:val="20"/>
            <w:szCs w:val="20"/>
          </w:rPr>
          <w:fldChar w:fldCharType="end"/>
        </w:r>
      </w:p>
    </w:sdtContent>
  </w:sdt>
  <w:p w:rsidR="0088143B" w:rsidRDefault="008814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3"/>
  </w:num>
  <w:num w:numId="4">
    <w:abstractNumId w:val="3"/>
  </w:num>
  <w:num w:numId="5">
    <w:abstractNumId w:val="1"/>
  </w:num>
  <w:num w:numId="6">
    <w:abstractNumId w:val="12"/>
  </w:num>
  <w:num w:numId="7">
    <w:abstractNumId w:val="6"/>
  </w:num>
  <w:num w:numId="8">
    <w:abstractNumId w:val="15"/>
  </w:num>
  <w:num w:numId="9">
    <w:abstractNumId w:val="16"/>
  </w:num>
  <w:num w:numId="10">
    <w:abstractNumId w:val="10"/>
  </w:num>
  <w:num w:numId="11">
    <w:abstractNumId w:val="4"/>
  </w:num>
  <w:num w:numId="12">
    <w:abstractNumId w:val="8"/>
  </w:num>
  <w:num w:numId="13">
    <w:abstractNumId w:val="17"/>
  </w:num>
  <w:num w:numId="14">
    <w:abstractNumId w:val="7"/>
  </w:num>
  <w:num w:numId="15">
    <w:abstractNumId w:val="2"/>
  </w:num>
  <w:num w:numId="16">
    <w:abstractNumId w:val="11"/>
  </w:num>
  <w:num w:numId="17">
    <w:abstractNumId w:val="9"/>
  </w:num>
  <w:num w:numId="18">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0"/>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7648"/>
    <w:rsid w:val="002405F8"/>
    <w:rsid w:val="0024501F"/>
    <w:rsid w:val="002452D4"/>
    <w:rsid w:val="0024580A"/>
    <w:rsid w:val="00250E7E"/>
    <w:rsid w:val="00257D81"/>
    <w:rsid w:val="00262AC3"/>
    <w:rsid w:val="00264248"/>
    <w:rsid w:val="00264FDD"/>
    <w:rsid w:val="002675D1"/>
    <w:rsid w:val="0027111E"/>
    <w:rsid w:val="002A5ACA"/>
    <w:rsid w:val="002B0C9C"/>
    <w:rsid w:val="002B6888"/>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2CBE"/>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F0606"/>
    <w:rsid w:val="003F413E"/>
    <w:rsid w:val="003F45CC"/>
    <w:rsid w:val="003F7283"/>
    <w:rsid w:val="004009BC"/>
    <w:rsid w:val="00401019"/>
    <w:rsid w:val="00417482"/>
    <w:rsid w:val="0042225B"/>
    <w:rsid w:val="004229AB"/>
    <w:rsid w:val="004344A1"/>
    <w:rsid w:val="004369FF"/>
    <w:rsid w:val="00445E94"/>
    <w:rsid w:val="00446FF4"/>
    <w:rsid w:val="00447281"/>
    <w:rsid w:val="0045366E"/>
    <w:rsid w:val="004536FD"/>
    <w:rsid w:val="0045480F"/>
    <w:rsid w:val="00455080"/>
    <w:rsid w:val="004577C0"/>
    <w:rsid w:val="00457A29"/>
    <w:rsid w:val="00457B9D"/>
    <w:rsid w:val="00470AD8"/>
    <w:rsid w:val="004905F1"/>
    <w:rsid w:val="00496A70"/>
    <w:rsid w:val="00497709"/>
    <w:rsid w:val="004A5282"/>
    <w:rsid w:val="004A5AB9"/>
    <w:rsid w:val="004B020E"/>
    <w:rsid w:val="004B18D2"/>
    <w:rsid w:val="004B22BC"/>
    <w:rsid w:val="004B6248"/>
    <w:rsid w:val="004B692D"/>
    <w:rsid w:val="004C1BAD"/>
    <w:rsid w:val="004C5246"/>
    <w:rsid w:val="004C5F43"/>
    <w:rsid w:val="004C6F60"/>
    <w:rsid w:val="004D47EF"/>
    <w:rsid w:val="004D5553"/>
    <w:rsid w:val="004F4B6D"/>
    <w:rsid w:val="004F673A"/>
    <w:rsid w:val="005102CA"/>
    <w:rsid w:val="005115F8"/>
    <w:rsid w:val="0051405A"/>
    <w:rsid w:val="00515EC7"/>
    <w:rsid w:val="00516FBC"/>
    <w:rsid w:val="0052145B"/>
    <w:rsid w:val="00522209"/>
    <w:rsid w:val="0052233E"/>
    <w:rsid w:val="00526006"/>
    <w:rsid w:val="00526E3C"/>
    <w:rsid w:val="00533461"/>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336E9"/>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A2CE3"/>
    <w:rsid w:val="006B2476"/>
    <w:rsid w:val="006B481C"/>
    <w:rsid w:val="006B643D"/>
    <w:rsid w:val="006C0AFF"/>
    <w:rsid w:val="006D34D0"/>
    <w:rsid w:val="006D6F9D"/>
    <w:rsid w:val="006D724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61C1E"/>
    <w:rsid w:val="00764239"/>
    <w:rsid w:val="00765768"/>
    <w:rsid w:val="00765B54"/>
    <w:rsid w:val="007667BF"/>
    <w:rsid w:val="007677D5"/>
    <w:rsid w:val="00772447"/>
    <w:rsid w:val="00772D5F"/>
    <w:rsid w:val="00773184"/>
    <w:rsid w:val="00775068"/>
    <w:rsid w:val="0078154A"/>
    <w:rsid w:val="0078370D"/>
    <w:rsid w:val="0078435F"/>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5C99"/>
    <w:rsid w:val="0085122C"/>
    <w:rsid w:val="008520FC"/>
    <w:rsid w:val="00854517"/>
    <w:rsid w:val="00866F57"/>
    <w:rsid w:val="00875153"/>
    <w:rsid w:val="0088143B"/>
    <w:rsid w:val="00882392"/>
    <w:rsid w:val="00884683"/>
    <w:rsid w:val="0089125F"/>
    <w:rsid w:val="008971A4"/>
    <w:rsid w:val="008A154D"/>
    <w:rsid w:val="008A4E47"/>
    <w:rsid w:val="008A4FB1"/>
    <w:rsid w:val="008A5343"/>
    <w:rsid w:val="008A5348"/>
    <w:rsid w:val="008A5C06"/>
    <w:rsid w:val="008A6893"/>
    <w:rsid w:val="008A7A06"/>
    <w:rsid w:val="008B0B0B"/>
    <w:rsid w:val="008B2468"/>
    <w:rsid w:val="008B471D"/>
    <w:rsid w:val="008C2AEB"/>
    <w:rsid w:val="008C744F"/>
    <w:rsid w:val="008C7798"/>
    <w:rsid w:val="008D456D"/>
    <w:rsid w:val="008D52B1"/>
    <w:rsid w:val="008F2AA3"/>
    <w:rsid w:val="008F5048"/>
    <w:rsid w:val="00902DAC"/>
    <w:rsid w:val="0090574E"/>
    <w:rsid w:val="00906139"/>
    <w:rsid w:val="00907C33"/>
    <w:rsid w:val="00917583"/>
    <w:rsid w:val="0091792B"/>
    <w:rsid w:val="009300CE"/>
    <w:rsid w:val="00930372"/>
    <w:rsid w:val="0093182A"/>
    <w:rsid w:val="009322D3"/>
    <w:rsid w:val="009328AF"/>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6B8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90062"/>
    <w:rsid w:val="00D9108B"/>
    <w:rsid w:val="00DB6D3B"/>
    <w:rsid w:val="00DC04D1"/>
    <w:rsid w:val="00DC4107"/>
    <w:rsid w:val="00DD11D4"/>
    <w:rsid w:val="00DD419A"/>
    <w:rsid w:val="00DD4819"/>
    <w:rsid w:val="00DD5959"/>
    <w:rsid w:val="00DF543F"/>
    <w:rsid w:val="00E046C6"/>
    <w:rsid w:val="00E07FE1"/>
    <w:rsid w:val="00E11474"/>
    <w:rsid w:val="00E13C70"/>
    <w:rsid w:val="00E16478"/>
    <w:rsid w:val="00E17DC5"/>
    <w:rsid w:val="00E221D5"/>
    <w:rsid w:val="00E23CBC"/>
    <w:rsid w:val="00E278B9"/>
    <w:rsid w:val="00E33649"/>
    <w:rsid w:val="00E34247"/>
    <w:rsid w:val="00E34B53"/>
    <w:rsid w:val="00E364BC"/>
    <w:rsid w:val="00E368CA"/>
    <w:rsid w:val="00E51F15"/>
    <w:rsid w:val="00E53CF7"/>
    <w:rsid w:val="00E541B5"/>
    <w:rsid w:val="00E54670"/>
    <w:rsid w:val="00E55F16"/>
    <w:rsid w:val="00E6175F"/>
    <w:rsid w:val="00E61A63"/>
    <w:rsid w:val="00E61C21"/>
    <w:rsid w:val="00E62FF8"/>
    <w:rsid w:val="00E63447"/>
    <w:rsid w:val="00E70729"/>
    <w:rsid w:val="00E713C9"/>
    <w:rsid w:val="00E71C3C"/>
    <w:rsid w:val="00E73090"/>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2478"/>
    <w:rsid w:val="00F3457A"/>
    <w:rsid w:val="00F42724"/>
    <w:rsid w:val="00F44E4D"/>
    <w:rsid w:val="00F516F6"/>
    <w:rsid w:val="00F6038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 w:type="paragraph" w:styleId="Header">
    <w:name w:val="header"/>
    <w:basedOn w:val="Normal"/>
    <w:link w:val="HeaderChar"/>
    <w:uiPriority w:val="99"/>
    <w:semiHidden/>
    <w:unhideWhenUsed/>
    <w:rsid w:val="009328AF"/>
    <w:pPr>
      <w:tabs>
        <w:tab w:val="center" w:pos="4680"/>
        <w:tab w:val="right" w:pos="9360"/>
      </w:tabs>
    </w:pPr>
  </w:style>
  <w:style w:type="character" w:customStyle="1" w:styleId="HeaderChar">
    <w:name w:val="Header Char"/>
    <w:basedOn w:val="DefaultParagraphFont"/>
    <w:link w:val="Header"/>
    <w:uiPriority w:val="99"/>
    <w:semiHidden/>
    <w:rsid w:val="009328AF"/>
    <w:rPr>
      <w:rFonts w:ascii="Arial" w:hAnsi="Arial" w:cs="Arial"/>
      <w:sz w:val="24"/>
      <w:szCs w:val="24"/>
    </w:rPr>
  </w:style>
  <w:style w:type="paragraph" w:styleId="Footer">
    <w:name w:val="footer"/>
    <w:basedOn w:val="Normal"/>
    <w:link w:val="FooterChar"/>
    <w:uiPriority w:val="99"/>
    <w:semiHidden/>
    <w:unhideWhenUsed/>
    <w:rsid w:val="009328AF"/>
    <w:pPr>
      <w:tabs>
        <w:tab w:val="center" w:pos="4680"/>
        <w:tab w:val="right" w:pos="9360"/>
      </w:tabs>
    </w:pPr>
  </w:style>
  <w:style w:type="character" w:customStyle="1" w:styleId="FooterChar">
    <w:name w:val="Footer Char"/>
    <w:basedOn w:val="DefaultParagraphFont"/>
    <w:link w:val="Footer"/>
    <w:uiPriority w:val="99"/>
    <w:semiHidden/>
    <w:rsid w:val="009328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rapa.org/rules_and_regulations/index.php"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apa.org/rules_and_regulations/index.php"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endnotes" Target="endnotes.xml"/><Relationship Id="rId19" Type="http://schemas.openxmlformats.org/officeDocument/2006/relationships/hyperlink" Target="http://www.deq.state.or.us/regulations/rules.htm"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rules.htm" TargetMode="External"/><Relationship Id="rId22" Type="http://schemas.openxmlformats.org/officeDocument/2006/relationships/hyperlink" Target="http://www.leg.state.or.us/ors/468a.html"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590639A-6A48-40E2-B95E-B6AA7F05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23</Pages>
  <Words>8674</Words>
  <Characters>49447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Max Hueftle</cp:lastModifiedBy>
  <cp:revision>21</cp:revision>
  <cp:lastPrinted>2013-08-01T18:48:00Z</cp:lastPrinted>
  <dcterms:created xsi:type="dcterms:W3CDTF">2013-07-25T15:52:00Z</dcterms:created>
  <dcterms:modified xsi:type="dcterms:W3CDTF">2013-08-01T19:42:00Z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