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6314B" w:rsidP="00B34CF8">
      <w:pPr>
        <w:spacing w:after="120"/>
        <w:ind w:left="0" w:right="18"/>
        <w:outlineLvl w:val="0"/>
        <w:rPr>
          <w:rFonts w:ascii="Times New Roman" w:eastAsia="Times New Roman" w:hAnsi="Times New Roman" w:cs="Times New Roman"/>
          <w:color w:val="000000"/>
        </w:rPr>
      </w:pPr>
      <w:r w:rsidRPr="00D6314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5130BD" w:rsidRPr="00C74D58" w:rsidRDefault="005130BD" w:rsidP="006751BA">
                  <w:pPr>
                    <w:tabs>
                      <w:tab w:val="left" w:pos="16582"/>
                    </w:tabs>
                    <w:ind w:left="0"/>
                    <w:jc w:val="center"/>
                    <w:rPr>
                      <w:rFonts w:ascii="Times New Roman" w:eastAsia="Times New Roman" w:hAnsi="Times New Roman" w:cs="Times New Roman"/>
                      <w:b/>
                      <w:color w:val="000000"/>
                    </w:rPr>
                  </w:pPr>
                </w:p>
                <w:p w:rsidR="005130BD" w:rsidRPr="00C74D58" w:rsidRDefault="005130B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130BD" w:rsidRPr="00C74D58" w:rsidRDefault="005130BD" w:rsidP="006751BA">
                  <w:pPr>
                    <w:tabs>
                      <w:tab w:val="left" w:pos="908"/>
                      <w:tab w:val="left" w:pos="16582"/>
                    </w:tabs>
                    <w:ind w:left="108"/>
                    <w:jc w:val="center"/>
                    <w:rPr>
                      <w:rFonts w:ascii="Times New Roman" w:eastAsia="Times New Roman" w:hAnsi="Times New Roman" w:cs="Times New Roman"/>
                      <w:b/>
                      <w:color w:val="000000"/>
                    </w:rPr>
                  </w:pPr>
                </w:p>
                <w:p w:rsidR="005130BD" w:rsidRPr="00A019B4" w:rsidRDefault="005130B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w:t>
                  </w:r>
                  <w:r w:rsidR="00566C5E">
                    <w:rPr>
                      <w:rFonts w:eastAsia="Times New Roman"/>
                      <w:b/>
                      <w:color w:val="00494F"/>
                      <w:sz w:val="28"/>
                      <w:szCs w:val="28"/>
                    </w:rPr>
                    <w:t>9</w:t>
                  </w:r>
                  <w:r>
                    <w:rPr>
                      <w:rFonts w:eastAsia="Times New Roman"/>
                      <w:b/>
                      <w:color w:val="00494F"/>
                      <w:sz w:val="28"/>
                      <w:szCs w:val="28"/>
                    </w:rPr>
                    <w:t>, 2013</w:t>
                  </w:r>
                </w:p>
                <w:p w:rsidR="005130BD" w:rsidRPr="00A019B4" w:rsidRDefault="005130B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2E73E0">
        <w:rPr>
          <w:rFonts w:ascii="Times New Roman" w:hAnsi="Times New Roman" w:cs="Times New Roman"/>
        </w:rPr>
        <w:t xml:space="preserve">The rules </w:t>
      </w:r>
      <w:r w:rsidR="00FD217A" w:rsidRPr="002E73E0">
        <w:rPr>
          <w:rFonts w:ascii="Times New Roman" w:hAnsi="Times New Roman" w:cs="Times New Roman"/>
        </w:rPr>
        <w:t xml:space="preserve">revisions </w:t>
      </w:r>
      <w:r w:rsidRPr="002E73E0">
        <w:rPr>
          <w:rFonts w:ascii="Times New Roman" w:hAnsi="Times New Roman" w:cs="Times New Roman"/>
        </w:rPr>
        <w:t>were adopted by the LRAPA Board</w:t>
      </w:r>
      <w:r w:rsidRPr="008F6C2D">
        <w:rPr>
          <w:rFonts w:ascii="Times New Roman" w:eastAsia="Times New Roman" w:hAnsi="Times New Roman" w:cs="Times New Roman"/>
          <w:color w:val="000000"/>
        </w:rPr>
        <w:t xml:space="preserve">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p>
    <w:p w:rsid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w:t>
      </w:r>
      <w:r w:rsidR="00CF6A07">
        <w:t>25</w:t>
      </w:r>
      <w:r w:rsidR="009608D9" w:rsidRPr="009608D9">
        <w:t>,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w:t>
      </w:r>
      <w:r w:rsidRPr="00F4674D">
        <w:lastRenderedPageBreak/>
        <w:t xml:space="preserve">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w:t>
      </w:r>
      <w:r w:rsidR="00FD217A">
        <w:rPr>
          <w:rFonts w:ascii="Times New Roman" w:hAnsi="Times New Roman" w:cs="Times New Roman"/>
        </w:rPr>
        <w:t xml:space="preserve">immediately </w:t>
      </w:r>
      <w:r>
        <w:rPr>
          <w:rFonts w:ascii="Times New Roman" w:hAnsi="Times New Roman" w:cs="Times New Roman"/>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F62C6"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imes New Roman" w:eastAsia="Times New Roman" w:hAnsi="Times New Roman" w:cs="Times New Roman"/>
        </w:rPr>
        <w:t xml:space="preserve">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w:t>
      </w:r>
      <w:r w:rsidR="00941B8C">
        <w:rPr>
          <w:rFonts w:ascii="Times New Roman" w:eastAsia="Times New Roman" w:hAnsi="Times New Roman" w:cs="Times New Roman"/>
        </w:rPr>
        <w:t xml:space="preserve"> </w:t>
      </w:r>
      <w:r>
        <w:rPr>
          <w:rFonts w:ascii="Times New Roman" w:eastAsia="Times New Roman" w:hAnsi="Times New Roman" w:cs="Times New Roman"/>
        </w:rPr>
        <w:t>This rulemaking also regulates motor vehicle and mobile equipment surface coating and met</w:t>
      </w:r>
      <w:r w:rsidRPr="00812D22">
        <w:rPr>
          <w:rFonts w:ascii="Times New Roman" w:eastAsia="Times New Roman" w:hAnsi="Times New Roman" w:cs="Times New Roman"/>
        </w:rPr>
        <w:t xml:space="preserve">al fabrication facilities subject to new and modified </w:t>
      </w:r>
      <w:r w:rsidR="00441DF8" w:rsidRPr="00812D22">
        <w:rPr>
          <w:rFonts w:ascii="Times New Roman" w:eastAsia="Times New Roman" w:hAnsi="Times New Roman" w:cs="Times New Roman"/>
        </w:rPr>
        <w:t>National Emission Standards for Hazardous Air Pollutants</w:t>
      </w:r>
      <w:r w:rsidRPr="00812D22">
        <w:rPr>
          <w:rFonts w:ascii="Times New Roman" w:eastAsia="Times New Roman" w:hAnsi="Times New Roman" w:cs="Times New Roman"/>
        </w:rPr>
        <w:t>.</w:t>
      </w:r>
      <w:r>
        <w:rPr>
          <w:rFonts w:ascii="Times New Roman" w:eastAsia="Times New Roman" w:hAnsi="Times New Roman" w:cs="Times New Roman"/>
        </w:rPr>
        <w:t xml:space="preserve"> </w:t>
      </w:r>
      <w:r w:rsidR="00812D22">
        <w:rPr>
          <w:rFonts w:ascii="Times New Roman" w:eastAsia="Times New Roman" w:hAnsi="Times New Roman" w:cs="Times New Roman"/>
        </w:rPr>
        <w:t>The regulated parties are subject to LRAPA’s Air Contaminant Discharge Permit requirements and Title V Operating Permit requirements.</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r w:rsidR="00BB3070">
        <w:rPr>
          <w:color w:val="000000"/>
        </w:rPr>
        <w:t>Title V</w:t>
      </w:r>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LRAPA’s rules</w:t>
      </w:r>
      <w:r w:rsidR="001E75B3">
        <w:rPr>
          <w:color w:val="000000"/>
        </w:rPr>
        <w:t>,</w:t>
      </w:r>
      <w:r w:rsidR="00EF7C55" w:rsidRPr="00941B8C">
        <w:rPr>
          <w:color w:val="000000"/>
        </w:rPr>
        <w:t xml:space="preserve"> adopted </w:t>
      </w:r>
      <w:r w:rsidR="009608D9" w:rsidRPr="00941B8C">
        <w:rPr>
          <w:color w:val="000000"/>
        </w:rPr>
        <w:t>by reference</w:t>
      </w:r>
      <w:r w:rsidR="001E75B3">
        <w:rPr>
          <w:color w:val="000000"/>
        </w:rPr>
        <w:t>,</w:t>
      </w:r>
      <w:r w:rsidR="009608D9" w:rsidRPr="00941B8C">
        <w:rPr>
          <w:color w:val="000000"/>
        </w:rPr>
        <w:t xml:space="preserve"> </w:t>
      </w:r>
      <w:r w:rsidR="001E75B3">
        <w:rPr>
          <w:color w:val="000000"/>
        </w:rPr>
        <w:t xml:space="preserve">include </w:t>
      </w:r>
      <w:r w:rsidR="009608D9" w:rsidRPr="00941B8C">
        <w:rPr>
          <w:color w:val="000000"/>
        </w:rPr>
        <w:t>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The rules also 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C90105">
        <w:rPr>
          <w:color w:val="000000"/>
        </w:rPr>
        <w:t>local</w:t>
      </w:r>
      <w:r w:rsidR="00C90105" w:rsidRPr="00941B8C">
        <w:rPr>
          <w:color w:val="000000"/>
        </w:rPr>
        <w:t xml:space="preserve"> </w:t>
      </w:r>
      <w:r w:rsidR="00941B8C" w:rsidRPr="00941B8C">
        <w:rPr>
          <w:color w:val="000000"/>
        </w:rPr>
        <w:t>energy projects</w:t>
      </w:r>
      <w:r w:rsidR="00C90105">
        <w:rPr>
          <w:color w:val="000000"/>
        </w:rPr>
        <w:t xml:space="preserve"> by</w:t>
      </w:r>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3A07C8" w:rsidP="00195D36">
      <w:pPr>
        <w:pStyle w:val="NormalWeb"/>
        <w:ind w:left="1080"/>
        <w:rPr>
          <w:color w:val="000000"/>
        </w:rPr>
      </w:pPr>
      <w:r w:rsidRPr="003A07C8">
        <w:rPr>
          <w:color w:val="000000"/>
        </w:rPr>
        <w:t xml:space="preserve">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 LRAPA also adopted an exemption for emergency generators and small electric power generating units to reduce the regulatory burden on these sources. </w:t>
      </w:r>
      <w:r w:rsidR="00195D36">
        <w:rPr>
          <w:color w:val="000000"/>
        </w:rPr>
        <w:t>LRAPA’s</w:t>
      </w:r>
      <w:r w:rsidRPr="003A07C8">
        <w:rPr>
          <w:color w:val="000000"/>
        </w:rPr>
        <w:t xml:space="preserve"> rules also contain corrections to rule citations and additions and changes to the definitions of terms</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243FDA" w:rsidRDefault="00D6314B" w:rsidP="00B34CF8">
            <w:pPr>
              <w:ind w:left="72" w:right="18"/>
            </w:pPr>
            <w:hyperlink r:id="rId15" w:history="1">
              <w:r w:rsidR="00441DF8" w:rsidRPr="00243FDA">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BF62C6"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D6314B" w:rsidP="00B34CF8">
            <w:pPr>
              <w:ind w:left="72" w:right="18"/>
              <w:rPr>
                <w:rFonts w:asciiTheme="minorHAnsi" w:eastAsia="Times New Roman" w:hAnsiTheme="minorHAnsi" w:cstheme="minorHAnsi"/>
                <w:bCs/>
                <w:color w:val="000000" w:themeColor="text1"/>
              </w:rPr>
            </w:pPr>
            <w:hyperlink r:id="rId16" w:history="1">
              <w:r w:rsidR="00BF62C6" w:rsidRPr="00243FDA">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D6314B" w:rsidP="00B34CF8">
            <w:pPr>
              <w:ind w:left="72" w:right="18"/>
              <w:rPr>
                <w:rFonts w:asciiTheme="minorHAnsi" w:eastAsia="Times New Roman" w:hAnsiTheme="minorHAnsi" w:cstheme="minorHAnsi"/>
                <w:bCs/>
                <w:color w:val="000000" w:themeColor="text1"/>
              </w:rPr>
            </w:pPr>
            <w:hyperlink r:id="rId17" w:history="1">
              <w:r w:rsidR="00BF62C6" w:rsidRPr="00243FDA">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headerReference w:type="default" r:id="rId1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F72835" w:rsidRDefault="00C90105">
      <w:pPr>
        <w:ind w:left="360"/>
        <w:rPr>
          <w:rFonts w:ascii="Times New Roman" w:hAnsi="Times New Roman" w:cs="Times New Roman"/>
        </w:rPr>
      </w:pPr>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003A07C8" w:rsidRPr="003A07C8">
        <w:rPr>
          <w:rFonts w:ascii="Times New Roman" w:hAnsi="Times New Roman" w:cs="Times New Roman"/>
        </w:rPr>
        <w:t xml:space="preserve">nd because the rules applied in Lane County upon the legislature’s adoption. </w:t>
      </w:r>
    </w:p>
    <w:p w:rsidR="00F72835" w:rsidRDefault="00F72835">
      <w:pPr>
        <w:ind w:left="360"/>
        <w:rPr>
          <w:rFonts w:ascii="Times New Roman" w:hAnsi="Times New Roman" w:cs="Times New Roman"/>
        </w:rPr>
      </w:pPr>
    </w:p>
    <w:p w:rsidR="00F72835" w:rsidRDefault="003A07C8">
      <w:pPr>
        <w:ind w:left="360"/>
        <w:rPr>
          <w:rFonts w:asciiTheme="majorHAnsi" w:eastAsia="Times New Roman" w:hAnsiTheme="majorHAnsi" w:cstheme="majorHAnsi"/>
          <w:bCs/>
          <w:color w:val="786E54"/>
          <w:sz w:val="22"/>
          <w:szCs w:val="22"/>
        </w:rPr>
      </w:pPr>
      <w:r w:rsidRPr="003A07C8">
        <w:rPr>
          <w:rFonts w:ascii="Times New Roman" w:hAnsi="Times New Roman" w:cs="Times New Roman"/>
        </w:rPr>
        <w:t>EPA’s standards for new electric power generating units that were adopted by the LRAPA board on January 12, 2010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The rules adopted by LRAPA </w:t>
      </w:r>
      <w:r w:rsidR="00C90105">
        <w:rPr>
          <w:rFonts w:ascii="Times New Roman" w:hAnsi="Times New Roman" w:cs="Times New Roman"/>
        </w:rPr>
        <w:t xml:space="preserve">on April, </w:t>
      </w:r>
      <w:r w:rsidR="00CF6A07">
        <w:rPr>
          <w:rFonts w:ascii="Times New Roman" w:hAnsi="Times New Roman" w:cs="Times New Roman"/>
        </w:rPr>
        <w:t>25</w:t>
      </w:r>
      <w:r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reduce the regulatory burden on these sources</w:t>
      </w:r>
    </w:p>
    <w:p w:rsidR="00C90105" w:rsidRDefault="00C90105"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w:t>
      </w:r>
      <w:r w:rsidRPr="00E830E8">
        <w:rPr>
          <w:rFonts w:ascii="Times New Roman" w:hAnsi="Times New Roman" w:cs="Times New Roman"/>
        </w:rPr>
        <w:lastRenderedPageBreak/>
        <w:t xml:space="preserve">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 xml:space="preserve">portions of the LRAPA rules. Additionally, proposed new facilities in Lane County that would </w:t>
      </w:r>
      <w:r w:rsidRPr="00E830E8">
        <w:rPr>
          <w:rFonts w:asciiTheme="minorHAnsi" w:hAnsiTheme="minorHAnsi" w:cstheme="minorHAnsi"/>
        </w:rPr>
        <w:lastRenderedPageBreak/>
        <w:t>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w:t>
            </w:r>
            <w:r w:rsidR="000F2AB2" w:rsidRPr="002E3FE7">
              <w:rPr>
                <w:rFonts w:ascii="Times New Roman" w:hAnsi="Times New Roman" w:cs="Times New Roman"/>
                <w:iCs/>
                <w:sz w:val="24"/>
                <w:szCs w:val="24"/>
              </w:rPr>
              <w:lastRenderedPageBreak/>
              <w:t>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w:t>
            </w:r>
            <w:r w:rsidR="008135BC" w:rsidRPr="002E3FE7">
              <w:rPr>
                <w:rFonts w:asciiTheme="minorHAnsi" w:eastAsia="Times New Roman" w:hAnsiTheme="minorHAnsi" w:cstheme="minorHAnsi"/>
                <w:sz w:val="24"/>
                <w:szCs w:val="24"/>
              </w:rPr>
              <w:lastRenderedPageBreak/>
              <w:t xml:space="preserve">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 xml:space="preserve">The application fee alone </w:t>
            </w:r>
            <w:r w:rsidR="008135BC" w:rsidRPr="002E3FE7">
              <w:rPr>
                <w:rFonts w:asciiTheme="minorHAnsi" w:hAnsiTheme="minorHAnsi" w:cstheme="minorHAnsi"/>
                <w:iCs/>
                <w:sz w:val="24"/>
                <w:szCs w:val="24"/>
              </w:rPr>
              <w:lastRenderedPageBreak/>
              <w:t>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Ferroalloy Production Facilities </w:t>
            </w:r>
            <w:r w:rsidRPr="00C1038D">
              <w:rPr>
                <w:rFonts w:ascii="Times New Roman" w:eastAsia="Times New Roman" w:hAnsi="Times New Roman" w:cs="Times New Roman"/>
                <w:color w:val="000000" w:themeColor="text1"/>
              </w:rPr>
              <w:lastRenderedPageBreak/>
              <w:t>(6Y)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A17341">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A17341">
            <w:pPr>
              <w:ind w:left="72" w:right="18"/>
            </w:pP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A17341">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243FDA" w:rsidRDefault="00D6314B" w:rsidP="00A17341">
            <w:pPr>
              <w:ind w:left="72" w:right="18"/>
            </w:pPr>
            <w:hyperlink r:id="rId22" w:history="1">
              <w:r w:rsidR="00243FDA" w:rsidRPr="00243FDA">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D6314B" w:rsidP="00A17341">
            <w:pPr>
              <w:ind w:left="72" w:right="18"/>
              <w:rPr>
                <w:rFonts w:asciiTheme="minorHAnsi" w:eastAsia="Times New Roman" w:hAnsiTheme="minorHAnsi" w:cstheme="minorHAnsi"/>
                <w:bCs/>
                <w:color w:val="000000" w:themeColor="text1"/>
              </w:rPr>
            </w:pPr>
            <w:hyperlink r:id="rId23" w:history="1">
              <w:r w:rsidR="00243FDA" w:rsidRPr="00243FDA">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D6314B" w:rsidP="00A17341">
            <w:pPr>
              <w:ind w:left="72" w:right="18"/>
              <w:rPr>
                <w:rFonts w:asciiTheme="minorHAnsi" w:eastAsia="Times New Roman" w:hAnsiTheme="minorHAnsi" w:cstheme="minorHAnsi"/>
                <w:bCs/>
                <w:color w:val="000000" w:themeColor="text1"/>
              </w:rPr>
            </w:pPr>
            <w:hyperlink r:id="rId24" w:history="1">
              <w:r w:rsidR="00243FDA" w:rsidRPr="00243FDA">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rules are “in addition to federal requirements.” </w:t>
      </w:r>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3A07C8">
        <w:rPr>
          <w:rFonts w:asciiTheme="minorHAnsi" w:hAnsiTheme="minorHAnsi" w:cstheme="minorHAnsi"/>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which are more stringent for Class II and Class III for environmental and administrative reasons.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 xml:space="preserve">LRAPA adopted </w:t>
      </w:r>
      <w:r w:rsidRPr="003A07C8">
        <w:rPr>
          <w:rFonts w:asciiTheme="minorHAnsi" w:hAnsiTheme="minorHAnsi" w:cstheme="minorHAnsi"/>
          <w:color w:val="000000"/>
        </w:rPr>
        <w:lastRenderedPageBreak/>
        <w:t>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 xml:space="preserve">Oregon’s New Source Review and Prevention of Significant Deterioration program was used as one of the models to support the development of the federal New Source Review reform rules. In particular, Oregon’s Plant Site Emission Limit was a model for the federal </w:t>
      </w:r>
      <w:proofErr w:type="spellStart"/>
      <w:r w:rsidR="003A07C8" w:rsidRPr="003A07C8">
        <w:rPr>
          <w:rFonts w:asciiTheme="minorHAnsi" w:hAnsiTheme="minorHAnsi" w:cstheme="minorHAnsi"/>
          <w:color w:val="000000"/>
        </w:rPr>
        <w:t>Plantwide</w:t>
      </w:r>
      <w:proofErr w:type="spellEnd"/>
      <w:r w:rsidR="003A07C8" w:rsidRPr="003A07C8">
        <w:rPr>
          <w:rFonts w:asciiTheme="minorHAnsi" w:hAnsiTheme="minorHAnsi" w:cstheme="minorHAnsi"/>
          <w:color w:val="000000"/>
        </w:rPr>
        <w:t xml:space="preserv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w:t>
      </w:r>
      <w:r w:rsidRPr="003A07C8">
        <w:rPr>
          <w:rFonts w:asciiTheme="minorHAnsi" w:hAnsiTheme="minorHAnsi" w:cstheme="minorHAnsi"/>
          <w:color w:val="000000"/>
        </w:rPr>
        <w:lastRenderedPageBreak/>
        <w:t xml:space="preserve">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u w:val="single"/>
        </w:rPr>
        <w:lastRenderedPageBreak/>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3A07C8">
        <w:rPr>
          <w:rFonts w:asciiTheme="minorHAnsi" w:hAnsiTheme="minorHAnsi" w:cstheme="minorHAnsi"/>
          <w:u w:val="single"/>
        </w:rPr>
        <w:lastRenderedPageBreak/>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D6314B"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r w:rsidR="006C2265">
        <w:rPr>
          <w:rFonts w:asciiTheme="minorHAnsi" w:eastAsia="Times New Roman" w:hAnsiTheme="minorHAnsi" w:cstheme="minorHAnsi"/>
          <w:color w:val="000000"/>
        </w:rPr>
        <w:t>0</w:t>
      </w:r>
      <w:r>
        <w:rPr>
          <w:rFonts w:asciiTheme="minorHAnsi" w:eastAsia="Times New Roman" w:hAnsiTheme="minorHAnsi" w:cstheme="minorHAnsi"/>
          <w:color w:val="000000"/>
        </w:rPr>
        <w:t>40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FB7149" w:rsidRDefault="00650BA0" w:rsidP="003830C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 xml:space="preserve">LRAPA will implement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w:t>
      </w:r>
      <w:r w:rsidR="003A07C8" w:rsidRPr="003A07C8">
        <w:rPr>
          <w:rFonts w:asciiTheme="minorHAnsi" w:eastAsia="Times New Roman" w:hAnsiTheme="minorHAnsi" w:cstheme="minorHAnsi"/>
          <w:color w:val="000000"/>
        </w:rPr>
        <w:lastRenderedPageBreak/>
        <w:t xml:space="preserve">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5"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566C5E">
        <w:rPr>
          <w:rFonts w:asciiTheme="minorHAnsi" w:eastAsia="Times New Roman" w:hAnsiTheme="minorHAnsi" w:cstheme="minorHAnsi"/>
          <w:color w:val="000000" w:themeColor="text1"/>
        </w:rPr>
        <w:t>9</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566C5E">
        <w:rPr>
          <w:rFonts w:asciiTheme="minorHAnsi" w:eastAsia="Times New Roman" w:hAnsiTheme="minorHAnsi" w:cstheme="minorHAnsi"/>
          <w:color w:val="000000" w:themeColor="text1"/>
        </w:rPr>
        <w:t>9</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6"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proofErr w:type="spellStart"/>
      <w:r>
        <w:rPr>
          <w:rFonts w:asciiTheme="minorHAnsi" w:eastAsia="Times New Roman" w:hAnsiTheme="minorHAnsi" w:cstheme="minorHAnsi"/>
          <w:color w:val="000000" w:themeColor="text1"/>
        </w:rPr>
        <w:t>Dembrow</w:t>
      </w:r>
      <w:proofErr w:type="spellEnd"/>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566C5E">
        <w:rPr>
          <w:rFonts w:asciiTheme="minorHAnsi" w:hAnsiTheme="minorHAnsi"/>
          <w:color w:val="000000" w:themeColor="text1"/>
        </w:rPr>
        <w:t>9</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566C5E">
        <w:rPr>
          <w:rFonts w:asciiTheme="minorHAnsi" w:eastAsia="Times New Roman" w:hAnsiTheme="minorHAnsi" w:cstheme="minorHAnsi"/>
        </w:rPr>
        <w:t>9</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8"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3830C8" w:rsidP="003830C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154.05pt" o:ole="" o:bordertopcolor="this" o:borderleftcolor="this" o:borderbottomcolor="this" o:borderrightcolor="this">
            <v:imagedata r:id="rId39" o:title=""/>
            <w10:bordertop type="single" width="4"/>
            <w10:borderleft type="single" width="4"/>
            <w10:borderbottom type="single" width="4"/>
            <w10:borderright type="single" width="4"/>
          </v:shape>
          <o:OLEObject Type="Embed" ProgID="Excel.Sheet.12" ShapeID="_x0000_i1025" DrawAspect="Content" ObjectID="_1447569555" r:id="rId40"/>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58" w:rsidRDefault="004C4B58" w:rsidP="00364FB7">
      <w:r>
        <w:separator/>
      </w:r>
    </w:p>
  </w:endnote>
  <w:endnote w:type="continuationSeparator" w:id="0">
    <w:p w:rsidR="004C4B58" w:rsidRDefault="004C4B58"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58" w:rsidRDefault="004C4B58" w:rsidP="00364FB7">
      <w:r>
        <w:separator/>
      </w:r>
    </w:p>
  </w:footnote>
  <w:footnote w:type="continuationSeparator" w:id="0">
    <w:p w:rsidR="004C4B58" w:rsidRDefault="004C4B58"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0BD" w:rsidRDefault="005130BD" w:rsidP="00364FB7">
    <w:pPr>
      <w:jc w:val="right"/>
    </w:pPr>
  </w:p>
  <w:p w:rsidR="005130BD" w:rsidRDefault="005130BD"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B3E64"/>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4378"/>
    <w:rsid w:val="00D74DD4"/>
    <w:rsid w:val="00D90062"/>
    <w:rsid w:val="00D9108B"/>
    <w:rsid w:val="00DB6D3B"/>
    <w:rsid w:val="00DC04D1"/>
    <w:rsid w:val="00DD11D4"/>
    <w:rsid w:val="00DD419A"/>
    <w:rsid w:val="00DD4819"/>
    <w:rsid w:val="00DD5959"/>
    <w:rsid w:val="00DE0B0B"/>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www.leg.state.or.us/ors/468a.html" TargetMode="External"/><Relationship Id="rId39"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09dec/P-NESHAP.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about/eqc/agendas/attachments/2011apr/D-GHG.pdf"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oregon.gov/deq/RulesandRegulations/Pages/2013/LRAPAFED.aspx"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0544C5C-79F9-4D8D-96FF-22854E7E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7088</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2013-12-03T17:53:00Z</dcterms:created>
  <dcterms:modified xsi:type="dcterms:W3CDTF">2013-12-03T17:53:00Z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