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85CCD"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D644CD" w:rsidRPr="00C74D58" w:rsidRDefault="00D644CD"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644CD" w:rsidRPr="00C74D58" w:rsidRDefault="00D644CD" w:rsidP="00250E7E">
                  <w:pPr>
                    <w:tabs>
                      <w:tab w:val="left" w:pos="908"/>
                      <w:tab w:val="left" w:pos="16582"/>
                    </w:tabs>
                    <w:ind w:left="108"/>
                    <w:jc w:val="center"/>
                    <w:rPr>
                      <w:rFonts w:ascii="Times New Roman" w:eastAsia="Times New Roman" w:hAnsi="Times New Roman"/>
                      <w:b/>
                      <w:color w:val="000000"/>
                    </w:rPr>
                  </w:pPr>
                </w:p>
                <w:p w:rsidR="00D644CD" w:rsidRPr="00A019B4" w:rsidRDefault="001D1BB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December  , 2013</w:t>
                  </w:r>
                </w:p>
                <w:p w:rsidR="00D644CD" w:rsidRPr="00A019B4" w:rsidRDefault="00D644CD"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644CD" w:rsidRPr="00A019B4" w:rsidRDefault="00D644CD"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185CCD"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r w:rsidRPr="00707818">
        <w:rPr>
          <w:rFonts w:asciiTheme="minorHAnsi" w:hAnsiTheme="minorHAnsi" w:cstheme="minorHAnsi"/>
        </w:rPr>
        <w:t>address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Pr>
          <w:rFonts w:asciiTheme="minorHAnsi" w:hAnsiTheme="minorHAnsi" w:cstheme="minorHAnsi"/>
        </w:rPr>
        <w:t>establish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w:t>
      </w:r>
      <w:r w:rsidRPr="00F4508E">
        <w:rPr>
          <w:rFonts w:asciiTheme="minorHAnsi" w:hAnsiTheme="minorHAnsi" w:cstheme="minorHAnsi"/>
        </w:rPr>
        <w:lastRenderedPageBreak/>
        <w:t>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sidR="00AA7987">
        <w:rPr>
          <w:rFonts w:asciiTheme="minorHAnsi" w:hAnsiTheme="minorHAnsi" w:cstheme="minorHAnsi"/>
        </w:rPr>
        <w:t xml:space="preserve">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185CCD" w:rsidP="00BE0544">
            <w:pPr>
              <w:ind w:left="72" w:right="18"/>
              <w:rPr>
                <w:rFonts w:ascii="Times New Roman" w:eastAsia="Times New Roman" w:hAnsi="Times New Roman" w:cs="Times New Roman"/>
                <w:bCs/>
                <w:color w:val="0000FF"/>
                <w:sz w:val="24"/>
                <w:szCs w:val="24"/>
                <w:u w:val="single"/>
              </w:rPr>
            </w:pPr>
            <w:hyperlink r:id="rId11"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185CCD" w:rsidP="00BE0544">
            <w:pPr>
              <w:ind w:left="72" w:right="18"/>
              <w:rPr>
                <w:rFonts w:asciiTheme="minorHAnsi" w:hAnsiTheme="minorHAnsi" w:cstheme="minorHAnsi"/>
                <w:color w:val="0000FF"/>
                <w:u w:val="single"/>
              </w:rPr>
            </w:pPr>
            <w:hyperlink r:id="rId12"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185CCD" w:rsidP="00BE0544">
            <w:pPr>
              <w:ind w:left="72" w:right="18"/>
              <w:rPr>
                <w:rFonts w:ascii="Times New Roman" w:eastAsia="Times New Roman" w:hAnsi="Times New Roman" w:cs="Times New Roman"/>
                <w:bCs/>
                <w:color w:val="0000FF"/>
                <w:u w:val="single"/>
              </w:rPr>
            </w:pPr>
            <w:hyperlink r:id="rId13"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86BBC">
            <w:pPr>
              <w:ind w:left="0" w:right="18"/>
              <w:rPr>
                <w:rFonts w:asciiTheme="minorHAnsi" w:hAnsiTheme="minorHAnsi" w:cstheme="minorHAnsi"/>
              </w:rPr>
            </w:pPr>
            <w:r>
              <w:rPr>
                <w:rFonts w:asciiTheme="minorHAnsi" w:hAnsiTheme="minorHAnsi" w:cstheme="minorHAnsi"/>
              </w:rPr>
              <w:t>Oregon Administrative Rules, Chapter 340 Divisions 011</w:t>
            </w:r>
            <w:r w:rsidR="00A37044">
              <w:rPr>
                <w:rFonts w:asciiTheme="minorHAnsi" w:hAnsiTheme="minorHAnsi" w:cstheme="minorHAnsi"/>
              </w:rPr>
              <w:t xml:space="preserve"> and</w:t>
            </w:r>
            <w:r w:rsidR="00B86BBC">
              <w:rPr>
                <w:rFonts w:asciiTheme="minorHAnsi" w:hAnsiTheme="minorHAnsi" w:cstheme="minorHAnsi"/>
              </w:rPr>
              <w:t xml:space="preserve"> </w:t>
            </w:r>
            <w:r>
              <w:rPr>
                <w:rFonts w:asciiTheme="minorHAnsi" w:hAnsiTheme="minorHAnsi" w:cstheme="minorHAnsi"/>
              </w:rPr>
              <w:t>012</w:t>
            </w:r>
          </w:p>
        </w:tc>
        <w:tc>
          <w:tcPr>
            <w:tcW w:w="4950" w:type="dxa"/>
            <w:tcBorders>
              <w:right w:val="double" w:sz="4" w:space="0" w:color="auto"/>
            </w:tcBorders>
          </w:tcPr>
          <w:p w:rsidR="00F1571A" w:rsidRPr="00FC3E5F" w:rsidRDefault="00185CCD"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185CCD" w:rsidP="00BE0544">
            <w:pPr>
              <w:ind w:left="72" w:right="18"/>
              <w:rPr>
                <w:rFonts w:asciiTheme="minorHAnsi" w:hAnsiTheme="minorHAnsi" w:cstheme="minorHAnsi"/>
                <w:color w:val="0000FF"/>
                <w:u w:val="single"/>
              </w:rPr>
            </w:pPr>
            <w:hyperlink r:id="rId15"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185CCD" w:rsidP="00F1571A">
      <w:pPr>
        <w:ind w:left="1080" w:right="630"/>
        <w:rPr>
          <w:rFonts w:ascii="Times New Roman" w:eastAsia="Times New Roman" w:hAnsi="Times New Roman" w:cs="Times New Roman"/>
          <w:color w:val="000000" w:themeColor="text1"/>
        </w:rPr>
      </w:pPr>
      <w:hyperlink r:id="rId16"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2"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3"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3"/>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bookmarkStart w:id="4" w:name="RANGE!A226:B243"/>
      <w:bookmarkEnd w:id="4"/>
      <w:r>
        <w:br w:type="page"/>
      </w:r>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penalties in 2011 and 2012 under the Division 12 matrices,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185CCD" w:rsidP="00BE0544">
            <w:pPr>
              <w:ind w:left="72" w:right="18"/>
              <w:rPr>
                <w:rFonts w:ascii="Times New Roman" w:eastAsia="Times New Roman" w:hAnsi="Times New Roman" w:cs="Times New Roman"/>
                <w:bCs/>
                <w:color w:val="546D79" w:themeColor="accent5"/>
                <w:sz w:val="24"/>
                <w:szCs w:val="24"/>
              </w:rPr>
            </w:pPr>
            <w:hyperlink r:id="rId19"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185CCD" w:rsidP="00BE0544">
            <w:pPr>
              <w:ind w:left="72" w:right="18"/>
              <w:rPr>
                <w:rFonts w:ascii="Times New Roman" w:eastAsia="Times New Roman" w:hAnsi="Times New Roman" w:cs="Times New Roman"/>
                <w:bCs/>
                <w:color w:val="000000" w:themeColor="text1"/>
                <w:sz w:val="24"/>
                <w:szCs w:val="24"/>
              </w:rPr>
            </w:pPr>
            <w:hyperlink r:id="rId20"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1"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2"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3"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 xml:space="preserve">OAR </w:t>
        </w:r>
        <w:r w:rsidR="00091BA5">
          <w:rPr>
            <w:rFonts w:ascii="Times New Roman" w:eastAsia="Times New Roman" w:hAnsi="Times New Roman" w:cs="Times New Roman"/>
            <w:color w:val="504938"/>
            <w:sz w:val="16"/>
            <w:u w:val="single"/>
          </w:rPr>
          <w:t>340-018-0010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185CCD"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0"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DEQ shared information about the 2013 legislative session that included Water Quality Policy Option Package #120 during the December 7, 201</w:t>
      </w:r>
      <w:r w:rsidR="007A6225">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 xml:space="preserve">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4"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6"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F85D7D" w:rsidRDefault="002644FA" w:rsidP="002B6F0E">
      <w:pPr>
        <w:spacing w:after="120"/>
        <w:ind w:left="2430" w:right="630" w:hanging="1350"/>
        <w:outlineLvl w:val="0"/>
        <w:rPr>
          <w:rFonts w:asciiTheme="minorHAnsi" w:eastAsia="Times New Roman" w:hAnsiTheme="minorHAnsi" w:cstheme="minorHAnsi"/>
          <w:bCs/>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sidRPr="00F85D7D">
        <w:rPr>
          <w:rFonts w:asciiTheme="minorHAnsi" w:eastAsia="Times New Roman" w:hAnsiTheme="minorHAnsi" w:cstheme="minorHAnsi"/>
          <w:bCs/>
        </w:rPr>
        <w:t xml:space="preserve">The rule would </w:t>
      </w:r>
      <w:r w:rsidR="0046235A" w:rsidRPr="00F85D7D">
        <w:rPr>
          <w:rFonts w:asciiTheme="minorHAnsi" w:eastAsia="Times New Roman" w:hAnsiTheme="minorHAnsi" w:cstheme="minorHAnsi"/>
          <w:bCs/>
        </w:rPr>
        <w:t xml:space="preserve">not preclude </w:t>
      </w:r>
      <w:r w:rsidR="00EA62E9" w:rsidRPr="00F85D7D">
        <w:rPr>
          <w:rFonts w:asciiTheme="minorHAnsi" w:eastAsia="Times New Roman" w:hAnsiTheme="minorHAnsi" w:cstheme="minorHAnsi"/>
          <w:bCs/>
        </w:rPr>
        <w:t>alternative means of estimating economic benefit when appropriate</w:t>
      </w:r>
      <w:r w:rsidR="00AC607B" w:rsidRPr="00F85D7D">
        <w:rPr>
          <w:rFonts w:asciiTheme="minorHAnsi" w:eastAsia="Times New Roman" w:hAnsiTheme="minorHAnsi" w:cstheme="minorHAnsi"/>
          <w:bCs/>
        </w:rPr>
        <w:t xml:space="preserve">.  </w:t>
      </w:r>
      <w:r w:rsidR="0046235A" w:rsidRPr="00F85D7D">
        <w:rPr>
          <w:rFonts w:asciiTheme="minorHAnsi" w:eastAsia="Times New Roman" w:hAnsiTheme="minorHAnsi" w:cstheme="minorHAnsi"/>
          <w:bCs/>
        </w:rPr>
        <w:t>T</w:t>
      </w:r>
      <w:r w:rsidR="001A3DF7" w:rsidRPr="00F85D7D">
        <w:rPr>
          <w:rFonts w:asciiTheme="minorHAnsi" w:eastAsia="Times New Roman" w:hAnsiTheme="minorHAnsi" w:cstheme="minorHAnsi"/>
          <w:bCs/>
        </w:rPr>
        <w:t xml:space="preserve">he </w:t>
      </w:r>
      <w:r w:rsidR="005F3D02" w:rsidRPr="00F85D7D">
        <w:rPr>
          <w:rFonts w:asciiTheme="minorHAnsi" w:eastAsia="Times New Roman" w:hAnsiTheme="minorHAnsi" w:cstheme="minorHAnsi"/>
          <w:bCs/>
        </w:rPr>
        <w:t>term</w:t>
      </w:r>
      <w:r w:rsidR="001A3DF7" w:rsidRPr="00F85D7D">
        <w:rPr>
          <w:rFonts w:asciiTheme="minorHAnsi" w:eastAsia="Times New Roman" w:hAnsiTheme="minorHAnsi" w:cstheme="minorHAnsi"/>
          <w:bCs/>
        </w:rPr>
        <w:t xml:space="preserve"> “will” </w:t>
      </w:r>
      <w:r w:rsidR="0046235A" w:rsidRPr="00F85D7D">
        <w:rPr>
          <w:rFonts w:asciiTheme="minorHAnsi" w:eastAsia="Times New Roman" w:hAnsiTheme="minorHAnsi" w:cstheme="minorHAnsi"/>
          <w:bCs/>
        </w:rPr>
        <w:t>indicates that DEQ intends to use BEN unless there is a situation in which it would be inappropriate. T</w:t>
      </w:r>
      <w:r w:rsidR="00AC607B" w:rsidRPr="00F85D7D">
        <w:rPr>
          <w:rFonts w:asciiTheme="minorHAnsi" w:eastAsia="Times New Roman" w:hAnsiTheme="minorHAnsi" w:cstheme="minorHAnsi"/>
          <w:bCs/>
        </w:rPr>
        <w:t xml:space="preserve">he rule does not specify that </w:t>
      </w:r>
      <w:r w:rsidR="00AD3151" w:rsidRPr="00F85D7D">
        <w:rPr>
          <w:rFonts w:asciiTheme="minorHAnsi" w:eastAsia="Times New Roman" w:hAnsiTheme="minorHAnsi" w:cstheme="minorHAnsi"/>
          <w:bCs/>
        </w:rPr>
        <w:t xml:space="preserve">DEQ’s intent is to use </w:t>
      </w:r>
      <w:r w:rsidR="00AC607B" w:rsidRPr="00F85D7D">
        <w:rPr>
          <w:rFonts w:asciiTheme="minorHAnsi" w:eastAsia="Times New Roman" w:hAnsiTheme="minorHAnsi" w:cstheme="minorHAnsi"/>
          <w:bCs/>
          <w:i/>
        </w:rPr>
        <w:t>only</w:t>
      </w:r>
      <w:r w:rsidR="00AC607B" w:rsidRPr="00F85D7D">
        <w:rPr>
          <w:rFonts w:asciiTheme="minorHAnsi" w:eastAsia="Times New Roman" w:hAnsiTheme="minorHAnsi" w:cstheme="minorHAnsi"/>
          <w:bCs/>
        </w:rPr>
        <w:t xml:space="preserve"> BEN, so </w:t>
      </w:r>
      <w:r w:rsidR="0018440C" w:rsidRPr="00F85D7D">
        <w:rPr>
          <w:rFonts w:asciiTheme="minorHAnsi" w:eastAsia="Times New Roman" w:hAnsiTheme="minorHAnsi" w:cstheme="minorHAnsi"/>
          <w:bCs/>
        </w:rPr>
        <w:t>DEQ could</w:t>
      </w:r>
      <w:r w:rsidR="00AC607B" w:rsidRPr="00F85D7D">
        <w:rPr>
          <w:rFonts w:asciiTheme="minorHAnsi" w:eastAsia="Times New Roman" w:hAnsiTheme="minorHAnsi" w:cstheme="minorHAnsi"/>
          <w:bCs/>
        </w:rPr>
        <w:t xml:space="preserve"> use BEN for the avoided and delay</w:t>
      </w:r>
      <w:r w:rsidR="000039A9" w:rsidRPr="00F85D7D">
        <w:rPr>
          <w:rFonts w:asciiTheme="minorHAnsi" w:eastAsia="Times New Roman" w:hAnsiTheme="minorHAnsi" w:cstheme="minorHAnsi"/>
          <w:bCs/>
        </w:rPr>
        <w:t xml:space="preserve">ed costs and use other calculations and experts </w:t>
      </w:r>
      <w:r w:rsidR="00AC607B" w:rsidRPr="00F85D7D">
        <w:rPr>
          <w:rFonts w:asciiTheme="minorHAnsi" w:eastAsia="Times New Roman" w:hAnsiTheme="minorHAnsi" w:cstheme="minorHAnsi"/>
          <w:bCs/>
        </w:rPr>
        <w:t xml:space="preserve">to calculate indirect benefits like advantage-of-risk, competitive advantages, or illegal profits.  However, because </w:t>
      </w:r>
      <w:r w:rsidR="0018440C" w:rsidRPr="00F85D7D">
        <w:rPr>
          <w:rFonts w:asciiTheme="minorHAnsi" w:eastAsia="Times New Roman" w:hAnsiTheme="minorHAnsi" w:cstheme="minorHAnsi"/>
          <w:bCs/>
        </w:rPr>
        <w:t>those indirect benefits are</w:t>
      </w:r>
      <w:r w:rsidR="00AC607B" w:rsidRPr="00F85D7D">
        <w:rPr>
          <w:rFonts w:asciiTheme="minorHAnsi" w:eastAsia="Times New Roman" w:hAnsiTheme="minorHAnsi" w:cstheme="minorHAnsi"/>
          <w:bCs/>
        </w:rPr>
        <w:t xml:space="preserve"> speculative </w:t>
      </w:r>
      <w:r w:rsidR="0018440C" w:rsidRPr="00F85D7D">
        <w:rPr>
          <w:rFonts w:asciiTheme="minorHAnsi" w:eastAsia="Times New Roman" w:hAnsiTheme="minorHAnsi" w:cstheme="minorHAnsi"/>
          <w:bCs/>
        </w:rPr>
        <w:t xml:space="preserve">and </w:t>
      </w:r>
      <w:r w:rsidR="00AC607B" w:rsidRPr="00F85D7D">
        <w:rPr>
          <w:rFonts w:asciiTheme="minorHAnsi" w:eastAsia="Times New Roman" w:hAnsiTheme="minorHAnsi" w:cstheme="minorHAnsi"/>
          <w:bCs/>
        </w:rPr>
        <w:t>difficult</w:t>
      </w:r>
      <w:r w:rsidR="0018440C" w:rsidRPr="00F85D7D">
        <w:rPr>
          <w:rFonts w:asciiTheme="minorHAnsi" w:eastAsia="Times New Roman" w:hAnsiTheme="minorHAnsi" w:cstheme="minorHAnsi"/>
          <w:bCs/>
        </w:rPr>
        <w:t xml:space="preserve"> to estimate</w:t>
      </w:r>
      <w:r w:rsidR="00AC607B" w:rsidRPr="00F85D7D">
        <w:rPr>
          <w:rFonts w:asciiTheme="minorHAnsi" w:eastAsia="Times New Roman" w:hAnsiTheme="minorHAnsi" w:cstheme="minorHAnsi"/>
          <w:bCs/>
        </w:rPr>
        <w:t xml:space="preserve">, DEQ would rarely, if ever, </w:t>
      </w:r>
      <w:r w:rsidR="002B6F0E" w:rsidRPr="00F85D7D">
        <w:rPr>
          <w:rFonts w:asciiTheme="minorHAnsi" w:eastAsia="Times New Roman" w:hAnsiTheme="minorHAnsi" w:cstheme="minorHAnsi"/>
          <w:bCs/>
        </w:rPr>
        <w:t>assess them.  We believe cl</w:t>
      </w:r>
      <w:r w:rsidR="00AD3151" w:rsidRPr="00F85D7D">
        <w:rPr>
          <w:rFonts w:asciiTheme="minorHAnsi" w:eastAsia="Times New Roman" w:hAnsiTheme="minorHAnsi" w:cstheme="minorHAnsi"/>
          <w:bCs/>
        </w:rPr>
        <w:t xml:space="preserve">arifying </w:t>
      </w:r>
      <w:r w:rsidR="002B6F0E" w:rsidRPr="00F85D7D">
        <w:rPr>
          <w:rFonts w:asciiTheme="minorHAnsi" w:eastAsia="Times New Roman" w:hAnsiTheme="minorHAnsi" w:cstheme="minorHAnsi"/>
          <w:bCs/>
        </w:rPr>
        <w:t xml:space="preserve">our intent to use BEN </w:t>
      </w:r>
      <w:r w:rsidR="00EA62E9" w:rsidRPr="00F85D7D">
        <w:rPr>
          <w:rFonts w:asciiTheme="minorHAnsi" w:eastAsia="Times New Roman" w:hAnsiTheme="minorHAnsi" w:cstheme="minorHAnsi"/>
          <w:bCs/>
        </w:rPr>
        <w:t>improve</w:t>
      </w:r>
      <w:r w:rsidR="00AD3151" w:rsidRPr="00F85D7D">
        <w:rPr>
          <w:rFonts w:asciiTheme="minorHAnsi" w:eastAsia="Times New Roman" w:hAnsiTheme="minorHAnsi" w:cstheme="minorHAnsi"/>
          <w:bCs/>
        </w:rPr>
        <w:t>s</w:t>
      </w:r>
      <w:r w:rsidR="002B6F0E" w:rsidRPr="00F85D7D">
        <w:rPr>
          <w:rFonts w:asciiTheme="minorHAnsi" w:eastAsia="Times New Roman" w:hAnsiTheme="minorHAnsi" w:cstheme="minorHAnsi"/>
          <w:bCs/>
        </w:rPr>
        <w:t xml:space="preserve"> certainty in the penalty-assessment </w:t>
      </w:r>
      <w:r w:rsidR="001A3DF7" w:rsidRPr="00F85D7D">
        <w:rPr>
          <w:rFonts w:asciiTheme="minorHAnsi" w:eastAsia="Times New Roman" w:hAnsiTheme="minorHAnsi" w:cstheme="minorHAnsi"/>
          <w:bCs/>
        </w:rPr>
        <w:t xml:space="preserve">and hearing </w:t>
      </w:r>
      <w:r w:rsidR="002B6F0E" w:rsidRPr="00F85D7D">
        <w:rPr>
          <w:rFonts w:asciiTheme="minorHAnsi" w:eastAsia="Times New Roman" w:hAnsiTheme="minorHAnsi" w:cstheme="minorHAnsi"/>
          <w:bCs/>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 xml:space="preserve">Proposed OAR 340-012-0140(3)(a)(K)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 xml:space="preserve">OAR 340-012-0140(3)(a)(K)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 xml:space="preserve">Pursuant to 340-012-0145(3)(d),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7"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r w:rsidR="00F1361B">
        <w:rPr>
          <w:rFonts w:asciiTheme="minorHAnsi" w:eastAsia="Times New Roman" w:hAnsiTheme="minorHAnsi" w:cstheme="minorHAnsi"/>
          <w:bCs/>
          <w:color w:val="000000" w:themeColor="text1"/>
        </w:rPr>
        <w:t xml:space="preserve">  </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sidRPr="00D644CD">
        <w:rPr>
          <w:rFonts w:asciiTheme="minorHAnsi" w:eastAsia="Times New Roman" w:hAnsiTheme="minorHAnsi" w:cstheme="minorHAnsi"/>
          <w:bCs/>
        </w:rPr>
        <w:t>ORS 468.140(</w:t>
      </w:r>
      <w:r w:rsidR="004E7172" w:rsidRPr="00D644CD">
        <w:rPr>
          <w:rFonts w:asciiTheme="minorHAnsi" w:eastAsia="Times New Roman" w:hAnsiTheme="minorHAnsi" w:cstheme="minorHAnsi"/>
          <w:bCs/>
        </w:rPr>
        <w:t>1</w:t>
      </w:r>
      <w:r w:rsidR="00F77625" w:rsidRPr="00D644CD">
        <w:rPr>
          <w:rFonts w:asciiTheme="minorHAnsi" w:eastAsia="Times New Roman" w:hAnsiTheme="minorHAnsi" w:cstheme="minorHAnsi"/>
          <w:bCs/>
        </w:rPr>
        <w:t>)</w:t>
      </w:r>
      <w:r w:rsidR="004E7172" w:rsidRPr="00D644CD">
        <w:rPr>
          <w:rFonts w:asciiTheme="minorHAnsi" w:eastAsia="Times New Roman" w:hAnsiTheme="minorHAnsi" w:cstheme="minorHAnsi"/>
          <w:bCs/>
        </w:rPr>
        <w:t xml:space="preserve"> and </w:t>
      </w:r>
      <w:r w:rsidR="00F77625" w:rsidRPr="00D644CD">
        <w:rPr>
          <w:rFonts w:asciiTheme="minorHAnsi" w:eastAsia="Times New Roman" w:hAnsiTheme="minorHAnsi" w:cstheme="minorHAnsi"/>
          <w:bCs/>
        </w:rPr>
        <w:t>(</w:t>
      </w:r>
      <w:r w:rsidR="000C1FC5" w:rsidRPr="00D644CD">
        <w:rPr>
          <w:rFonts w:asciiTheme="minorHAnsi" w:eastAsia="Times New Roman" w:hAnsiTheme="minorHAnsi" w:cstheme="minorHAnsi"/>
          <w:bCs/>
        </w:rPr>
        <w:t xml:space="preserve">2) and OAR </w:t>
      </w:r>
      <w:r w:rsidR="004E7172" w:rsidRPr="00D644CD">
        <w:rPr>
          <w:rFonts w:asciiTheme="minorHAnsi" w:eastAsia="Times New Roman" w:hAnsiTheme="minorHAnsi" w:cstheme="minorHAnsi"/>
          <w:bCs/>
        </w:rPr>
        <w:t xml:space="preserve">340-012-0145(4) </w:t>
      </w:r>
      <w:r w:rsidR="004C4DD7" w:rsidRPr="00D644CD">
        <w:rPr>
          <w:rFonts w:asciiTheme="minorHAnsi" w:eastAsia="Times New Roman" w:hAnsiTheme="minorHAnsi" w:cstheme="minorHAnsi"/>
          <w:bCs/>
        </w:rPr>
        <w:t>specify that</w:t>
      </w:r>
      <w:r w:rsidR="004C4DD7">
        <w:rPr>
          <w:rFonts w:asciiTheme="minorHAnsi" w:eastAsia="Times New Roman" w:hAnsiTheme="minorHAnsi" w:cstheme="minorHAnsi"/>
          <w:bCs/>
          <w:color w:val="463D38" w:themeColor="accent4" w:themeShade="80"/>
        </w:rPr>
        <w:t xml:space="preserve">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64504"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C1733E">
        <w:rPr>
          <w:rFonts w:asciiTheme="minorHAnsi" w:eastAsia="Times New Roman" w:hAnsiTheme="minorHAnsi" w:cstheme="minorHAnsi"/>
          <w:color w:val="000000"/>
        </w:rPr>
        <w:t>upon filing with the Oregon Secretary of State after EQC adoption</w:t>
      </w:r>
      <w:r>
        <w:rPr>
          <w:rFonts w:asciiTheme="minorHAnsi" w:eastAsia="Times New Roman" w:hAnsiTheme="minorHAnsi" w:cstheme="minorHAnsi"/>
          <w:color w:val="000000"/>
        </w:rPr>
        <w:t xml:space="preserve">. </w:t>
      </w:r>
    </w:p>
    <w:p w:rsidR="00D64504" w:rsidRDefault="00D64504" w:rsidP="00A323FD">
      <w:pPr>
        <w:ind w:left="720" w:right="1008"/>
        <w:outlineLvl w:val="0"/>
        <w:rPr>
          <w:rFonts w:asciiTheme="minorHAnsi" w:eastAsia="Times New Roman" w:hAnsiTheme="minorHAnsi" w:cstheme="minorHAnsi"/>
          <w:color w:val="000000"/>
        </w:rPr>
      </w:pPr>
    </w:p>
    <w:p w:rsidR="00347349" w:rsidRDefault="00D64504" w:rsidP="00D64504">
      <w:pPr>
        <w:ind w:left="720" w:right="100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color w:val="000000"/>
        </w:rPr>
        <w:t xml:space="preserve">Division </w:t>
      </w:r>
      <w:r w:rsidR="00BF0F58">
        <w:rPr>
          <w:rFonts w:asciiTheme="minorHAnsi" w:eastAsia="Times New Roman" w:hAnsiTheme="minorHAnsi" w:cstheme="minorHAnsi"/>
          <w:color w:val="000000"/>
        </w:rPr>
        <w:t>0</w:t>
      </w:r>
      <w:r>
        <w:rPr>
          <w:rFonts w:asciiTheme="minorHAnsi" w:eastAsia="Times New Roman" w:hAnsiTheme="minorHAnsi" w:cstheme="minorHAnsi"/>
          <w:color w:val="000000"/>
        </w:rPr>
        <w:t>11</w:t>
      </w:r>
      <w:r w:rsidR="001D0077">
        <w:rPr>
          <w:rFonts w:asciiTheme="minorHAnsi" w:eastAsia="Times New Roman" w:hAnsiTheme="minorHAnsi" w:cstheme="minorHAnsi"/>
          <w:color w:val="000000"/>
        </w:rPr>
        <w:t xml:space="preserve"> amendments</w:t>
      </w:r>
      <w:r>
        <w:rPr>
          <w:rFonts w:asciiTheme="minorHAnsi" w:eastAsia="Times New Roman" w:hAnsiTheme="minorHAnsi" w:cstheme="minorHAnsi"/>
          <w:color w:val="000000"/>
        </w:rPr>
        <w:t>:</w:t>
      </w:r>
    </w:p>
    <w:p w:rsidR="00281458" w:rsidRDefault="00C1733E" w:rsidP="00A8733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Parties a</w:t>
      </w:r>
      <w:r w:rsidR="009B3047" w:rsidRPr="005E6C0C">
        <w:rPr>
          <w:rFonts w:asciiTheme="minorHAnsi" w:eastAsia="Times New Roman" w:hAnsiTheme="minorHAnsi" w:cstheme="minorHAnsi"/>
          <w:color w:val="000000"/>
        </w:rPr>
        <w:t xml:space="preserve">ffected </w:t>
      </w:r>
      <w:r>
        <w:rPr>
          <w:rFonts w:asciiTheme="minorHAnsi" w:eastAsia="Times New Roman" w:hAnsiTheme="minorHAnsi" w:cstheme="minorHAnsi"/>
          <w:color w:val="000000"/>
        </w:rPr>
        <w:t>by</w:t>
      </w:r>
      <w:r w:rsidR="009B3047" w:rsidRPr="005E6C0C">
        <w:rPr>
          <w:rFonts w:asciiTheme="minorHAnsi" w:eastAsia="Times New Roman" w:hAnsiTheme="minorHAnsi" w:cstheme="minorHAnsi"/>
          <w:color w:val="000000"/>
        </w:rPr>
        <w:t xml:space="preserve"> the onsite records fee will be notified when they request </w:t>
      </w:r>
      <w:r w:rsidR="00360A1D">
        <w:rPr>
          <w:rFonts w:asciiTheme="minorHAnsi" w:eastAsia="Times New Roman" w:hAnsiTheme="minorHAnsi" w:cstheme="minorHAnsi"/>
          <w:color w:val="000000"/>
        </w:rPr>
        <w:t>records</w:t>
      </w:r>
      <w:r w:rsidR="005E6C0C">
        <w:rPr>
          <w:rFonts w:asciiTheme="minorHAnsi" w:eastAsia="Times New Roman" w:hAnsiTheme="minorHAnsi" w:cstheme="minorHAnsi"/>
          <w:color w:val="000000"/>
        </w:rPr>
        <w:t xml:space="preserve"> and when affected parties review the fee schedule on the DEQ website</w:t>
      </w:r>
      <w:r w:rsidR="009B3047" w:rsidRPr="005E6C0C">
        <w:rPr>
          <w:rFonts w:asciiTheme="minorHAnsi" w:eastAsia="Times New Roman" w:hAnsiTheme="minorHAnsi" w:cstheme="minorHAnsi"/>
          <w:color w:val="000000"/>
        </w:rPr>
        <w:t xml:space="preserve">. </w:t>
      </w:r>
    </w:p>
    <w:p w:rsidR="00A87335" w:rsidRDefault="009B3047"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staff that oversee septic system records have been notified of the upcoming change and will receive additional training on implementing the new fee.</w:t>
      </w:r>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r w:rsidR="005E6C0C">
        <w:rPr>
          <w:rFonts w:asciiTheme="minorHAnsi" w:eastAsia="Times New Roman" w:hAnsiTheme="minorHAnsi" w:cstheme="minorHAnsi"/>
          <w:color w:val="000000"/>
        </w:rPr>
        <w:t xml:space="preserve"> DEQ is </w:t>
      </w:r>
      <w:r w:rsidR="00517296">
        <w:rPr>
          <w:rFonts w:asciiTheme="minorHAnsi" w:eastAsia="Times New Roman" w:hAnsiTheme="minorHAnsi" w:cstheme="minorHAnsi"/>
          <w:color w:val="000000"/>
        </w:rPr>
        <w:t xml:space="preserve">also </w:t>
      </w:r>
      <w:r w:rsidR="005E6C0C">
        <w:rPr>
          <w:rFonts w:asciiTheme="minorHAnsi" w:eastAsia="Times New Roman" w:hAnsiTheme="minorHAnsi" w:cstheme="minorHAnsi"/>
          <w:color w:val="000000"/>
        </w:rPr>
        <w:t xml:space="preserve">exploring ways to make the onsite records request process easier for affected parties such as the acceptance of credit card payments, and the </w:t>
      </w:r>
      <w:r w:rsidR="00517296">
        <w:rPr>
          <w:rFonts w:asciiTheme="minorHAnsi" w:eastAsia="Times New Roman" w:hAnsiTheme="minorHAnsi" w:cstheme="minorHAnsi"/>
          <w:color w:val="000000"/>
        </w:rPr>
        <w:t>delivery</w:t>
      </w:r>
      <w:r w:rsidR="005E6C0C">
        <w:rPr>
          <w:rFonts w:asciiTheme="minorHAnsi" w:eastAsia="Times New Roman" w:hAnsiTheme="minorHAnsi" w:cstheme="minorHAnsi"/>
          <w:color w:val="000000"/>
        </w:rPr>
        <w:t xml:space="preserve"> of records via email or fax. </w:t>
      </w:r>
      <w:r w:rsidR="00131FE5">
        <w:rPr>
          <w:rFonts w:asciiTheme="minorHAnsi" w:eastAsia="Times New Roman" w:hAnsiTheme="minorHAnsi" w:cstheme="minorHAnsi"/>
          <w:color w:val="000000"/>
        </w:rPr>
        <w:t xml:space="preserve"> </w:t>
      </w:r>
    </w:p>
    <w:p w:rsidR="002A67C6" w:rsidRPr="002A67C6" w:rsidRDefault="002A67C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2A67C6">
        <w:rPr>
          <w:rFonts w:asciiTheme="minorHAnsi" w:hAnsiTheme="minorHAnsi" w:cstheme="minorHAnsi"/>
        </w:rPr>
        <w:t>Parties affected by changes to the other public records fees will be notified about the current fees as part of the estimate when they make the request.</w:t>
      </w:r>
    </w:p>
    <w:p w:rsidR="002A67C6" w:rsidRPr="002A67C6" w:rsidRDefault="002A67C6" w:rsidP="002A67C6">
      <w:pPr>
        <w:pStyle w:val="ListParagraph"/>
        <w:numPr>
          <w:ilvl w:val="0"/>
          <w:numId w:val="3"/>
        </w:numPr>
        <w:tabs>
          <w:tab w:val="left" w:pos="720"/>
        </w:tabs>
        <w:ind w:left="1080"/>
        <w:rPr>
          <w:rFonts w:asciiTheme="minorHAnsi" w:hAnsiTheme="minorHAnsi" w:cstheme="minorHAnsi"/>
        </w:rPr>
      </w:pPr>
      <w:r w:rsidRPr="002A67C6">
        <w:rPr>
          <w:rFonts w:asciiTheme="minorHAnsi" w:hAnsiTheme="minorHAnsi" w:cstheme="minorHAnsi"/>
        </w:rPr>
        <w:t xml:space="preserve">Parties affected by changes in the contested case procedural rules will be notified during the contested case process. </w:t>
      </w:r>
    </w:p>
    <w:p w:rsidR="002A67C6" w:rsidRDefault="002A67C6" w:rsidP="002A67C6">
      <w:pPr>
        <w:pStyle w:val="ListParagraph"/>
        <w:numPr>
          <w:ilvl w:val="0"/>
          <w:numId w:val="3"/>
        </w:numPr>
        <w:spacing w:after="120"/>
        <w:ind w:left="720" w:right="1008" w:firstLine="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 other notices are necessary for these rules.</w:t>
      </w:r>
    </w:p>
    <w:p w:rsidR="00743314" w:rsidRPr="00204754" w:rsidRDefault="001D0077" w:rsidP="00BF0F58">
      <w:pPr>
        <w:pStyle w:val="ListParagraph"/>
        <w:spacing w:after="120"/>
        <w:ind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For</w:t>
      </w:r>
      <w:r w:rsidR="00D64504" w:rsidRPr="00204754">
        <w:rPr>
          <w:rFonts w:asciiTheme="minorHAnsi" w:eastAsia="Times New Roman" w:hAnsiTheme="minorHAnsi" w:cstheme="minorHAnsi"/>
          <w:color w:val="000000"/>
        </w:rPr>
        <w:t xml:space="preserve"> Division </w:t>
      </w:r>
      <w:r w:rsidR="00BF0F58">
        <w:rPr>
          <w:rFonts w:asciiTheme="minorHAnsi" w:eastAsia="Times New Roman" w:hAnsiTheme="minorHAnsi" w:cstheme="minorHAnsi"/>
          <w:color w:val="000000"/>
        </w:rPr>
        <w:t>0</w:t>
      </w:r>
      <w:r w:rsidR="00D64504" w:rsidRPr="00204754">
        <w:rPr>
          <w:rFonts w:asciiTheme="minorHAnsi" w:eastAsia="Times New Roman" w:hAnsiTheme="minorHAnsi" w:cstheme="minorHAnsi"/>
          <w:color w:val="000000"/>
        </w:rPr>
        <w:t>12</w:t>
      </w:r>
      <w:r>
        <w:rPr>
          <w:rFonts w:asciiTheme="minorHAnsi" w:eastAsia="Times New Roman" w:hAnsiTheme="minorHAnsi" w:cstheme="minorHAnsi"/>
          <w:color w:val="000000"/>
        </w:rPr>
        <w:t xml:space="preserve"> amendments</w:t>
      </w:r>
      <w:r w:rsidR="00D64504" w:rsidRPr="00204754">
        <w:rPr>
          <w:rFonts w:asciiTheme="minorHAnsi" w:eastAsia="Times New Roman" w:hAnsiTheme="minorHAnsi" w:cstheme="minorHAnsi"/>
          <w:color w:val="000000"/>
        </w:rPr>
        <w:t>, staff from DEQ’s Office of Compliance and Enforcement will do the following:</w:t>
      </w:r>
    </w:p>
    <w:p w:rsidR="00D64504" w:rsidRDefault="00D64504" w:rsidP="00D64504">
      <w:pPr>
        <w:pStyle w:val="ListParagraph"/>
        <w:numPr>
          <w:ilvl w:val="0"/>
          <w:numId w:val="39"/>
        </w:numPr>
        <w:ind w:left="1080"/>
        <w:rPr>
          <w:rFonts w:asciiTheme="minorHAnsi" w:hAnsiTheme="minorHAnsi" w:cstheme="minorHAnsi"/>
        </w:rPr>
      </w:pPr>
      <w:r w:rsidRPr="00D64504">
        <w:rPr>
          <w:rFonts w:asciiTheme="minorHAnsi" w:hAnsiTheme="minorHAnsi" w:cstheme="minorHAnsi"/>
        </w:rPr>
        <w:t xml:space="preserve">DEQ staff who conduct inspections and use Division </w:t>
      </w:r>
      <w:r w:rsidR="00BF0F58">
        <w:rPr>
          <w:rFonts w:asciiTheme="minorHAnsi" w:hAnsiTheme="minorHAnsi" w:cstheme="minorHAnsi"/>
        </w:rPr>
        <w:t>0</w:t>
      </w:r>
      <w:r w:rsidRPr="00D64504">
        <w:rPr>
          <w:rFonts w:asciiTheme="minorHAnsi" w:hAnsiTheme="minorHAnsi" w:cstheme="minorHAnsi"/>
        </w:rPr>
        <w:t xml:space="preserve">12 have been previously involved and notified of the proposed changes. Upon adoption, staff from DEQ’s Office of Compliance and Enforcement will work with the Air, Water, and Land Division staff and managers to update the expected enforcement response for the new classifications. Those changes in how DEQ will employ its enforcement discretion will be recorded in an update to DEQ’s internal management directive, called the </w:t>
      </w:r>
      <w:r w:rsidRPr="00D64504">
        <w:rPr>
          <w:rFonts w:asciiTheme="minorHAnsi" w:hAnsiTheme="minorHAnsi" w:cstheme="minorHAnsi"/>
          <w:i/>
          <w:iCs/>
        </w:rPr>
        <w:t>Enforcement Guidance</w:t>
      </w:r>
      <w:r w:rsidRPr="00D64504">
        <w:rPr>
          <w:rFonts w:asciiTheme="minorHAnsi" w:hAnsiTheme="minorHAnsi" w:cstheme="minorHAnsi"/>
        </w:rPr>
        <w:t xml:space="preserve">. </w:t>
      </w:r>
      <w:r w:rsidR="00204754">
        <w:rPr>
          <w:rFonts w:asciiTheme="minorHAnsi" w:hAnsiTheme="minorHAnsi" w:cstheme="minorHAnsi"/>
        </w:rPr>
        <w:t>Staff</w:t>
      </w:r>
      <w:r w:rsidRPr="00D64504">
        <w:rPr>
          <w:rFonts w:asciiTheme="minorHAnsi" w:hAnsiTheme="minorHAnsi" w:cstheme="minorHAnsi"/>
        </w:rPr>
        <w:t xml:space="preserve"> will be notified and trained on the revisions.</w:t>
      </w:r>
    </w:p>
    <w:p w:rsidR="00204754" w:rsidRDefault="00204754" w:rsidP="00204754">
      <w:pPr>
        <w:pStyle w:val="ListParagraph"/>
        <w:ind w:left="1080"/>
        <w:rPr>
          <w:rFonts w:asciiTheme="minorHAnsi" w:hAnsiTheme="minorHAnsi" w:cstheme="minorHAnsi"/>
        </w:rPr>
      </w:pPr>
    </w:p>
    <w:p w:rsidR="00204754" w:rsidRPr="00BF0F58" w:rsidRDefault="00204754" w:rsidP="00D454A6">
      <w:pPr>
        <w:pStyle w:val="ListParagraph"/>
        <w:numPr>
          <w:ilvl w:val="0"/>
          <w:numId w:val="39"/>
        </w:numPr>
        <w:spacing w:after="120"/>
        <w:ind w:left="1080"/>
        <w:rPr>
          <w:rFonts w:asciiTheme="minorHAnsi" w:eastAsia="Times New Roman" w:hAnsiTheme="minorHAnsi" w:cstheme="minorHAnsi"/>
          <w:color w:val="000000"/>
        </w:rPr>
      </w:pPr>
      <w:r w:rsidRPr="00204754">
        <w:rPr>
          <w:rFonts w:asciiTheme="minorHAnsi" w:hAnsiTheme="minorHAnsi" w:cstheme="minorHAnsi"/>
        </w:rPr>
        <w:t>The Office of Compliance and Enforcement will update its website to include the updated information and links to resources related to the updates. It will also notify potentially affected party groups through informational letters to the relevant trade associations and other groups and making descriptions of the changes available to trade or other publications interested in the penalty issues</w:t>
      </w:r>
      <w:r>
        <w:t>.</w:t>
      </w:r>
    </w:p>
    <w:p w:rsidR="00BF0F58" w:rsidRPr="00BF0F58" w:rsidRDefault="00BF0F58" w:rsidP="00BF0F58">
      <w:pPr>
        <w:pStyle w:val="ListParagraph"/>
        <w:spacing w:after="120"/>
        <w:ind w:left="1080"/>
        <w:rPr>
          <w:rFonts w:asciiTheme="minorHAnsi" w:eastAsia="Times New Roman" w:hAnsiTheme="minorHAnsi" w:cstheme="minorHAnsi"/>
          <w:color w:val="000000"/>
        </w:rPr>
      </w:pPr>
    </w:p>
    <w:p w:rsidR="00BF0F58" w:rsidRDefault="00BF0F58" w:rsidP="00BF0F58">
      <w:pPr>
        <w:pStyle w:val="ListParagraph"/>
        <w:numPr>
          <w:ilvl w:val="0"/>
          <w:numId w:val="39"/>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Office of Compliance and Enforcement staff </w:t>
      </w:r>
      <w:r w:rsidRPr="00204754">
        <w:rPr>
          <w:rFonts w:asciiTheme="minorHAnsi" w:eastAsia="Times New Roman" w:hAnsiTheme="minorHAnsi" w:cstheme="minorHAnsi"/>
          <w:color w:val="000000"/>
        </w:rPr>
        <w:t>will begin using the updated Division 012 rules upon their effective date for the purposes of calculating and assessing civil penalties and oth</w:t>
      </w:r>
      <w:r>
        <w:rPr>
          <w:rFonts w:asciiTheme="minorHAnsi" w:eastAsia="Times New Roman" w:hAnsiTheme="minorHAnsi" w:cstheme="minorHAnsi"/>
          <w:color w:val="000000"/>
        </w:rPr>
        <w:t xml:space="preserve">er formal enforcement actions. </w:t>
      </w:r>
    </w:p>
    <w:p w:rsidR="00204754" w:rsidRDefault="00204754" w:rsidP="00D454A6">
      <w:pPr>
        <w:pStyle w:val="ListParagraph"/>
        <w:numPr>
          <w:ilvl w:val="0"/>
          <w:numId w:val="39"/>
        </w:numPr>
        <w:spacing w:after="120"/>
        <w:ind w:left="1080"/>
        <w:rPr>
          <w:rFonts w:asciiTheme="minorHAnsi" w:eastAsia="Times New Roman" w:hAnsiTheme="minorHAnsi" w:cstheme="minorHAnsi"/>
          <w:color w:val="000000"/>
        </w:rPr>
      </w:pPr>
      <w:r>
        <w:rPr>
          <w:rFonts w:asciiTheme="minorHAnsi" w:eastAsia="Times New Roman" w:hAnsiTheme="minorHAnsi" w:cstheme="minorHAnsi"/>
          <w:color w:val="000000"/>
        </w:rPr>
        <w:t xml:space="preserve">Parties subject to penalties will be notified of the new rules as part of their formal notice when a </w:t>
      </w:r>
      <w:r w:rsidR="00BF0F58">
        <w:rPr>
          <w:rFonts w:asciiTheme="minorHAnsi" w:eastAsia="Times New Roman" w:hAnsiTheme="minorHAnsi" w:cstheme="minorHAnsi"/>
          <w:color w:val="000000"/>
        </w:rPr>
        <w:t>contested case process is initiated.</w:t>
      </w:r>
    </w:p>
    <w:p w:rsidR="00CE5D8A" w:rsidRPr="00CE5D8A" w:rsidRDefault="00CE5D8A" w:rsidP="00CE5D8A">
      <w:pPr>
        <w:spacing w:after="120"/>
        <w:ind w:left="720"/>
        <w:rPr>
          <w:rFonts w:asciiTheme="minorHAnsi" w:eastAsia="Times New Roman" w:hAnsiTheme="minorHAnsi" w:cstheme="minorHAnsi"/>
          <w:color w:val="000000"/>
        </w:rPr>
      </w:pPr>
      <w:r>
        <w:rPr>
          <w:rFonts w:asciiTheme="minorHAnsi" w:eastAsia="Times New Roman" w:hAnsiTheme="minorHAnsi" w:cstheme="minorHAnsi"/>
          <w:color w:val="000000"/>
        </w:rPr>
        <w:t>For Division 200, DEQ will notify EPA that the state implementation plan rules have been updated to include the revised Division 012 penalty rules. No other notifications are necessary.</w:t>
      </w:r>
    </w:p>
    <w:p w:rsidR="00D454A6" w:rsidRPr="00204754" w:rsidRDefault="00D454A6" w:rsidP="00204754">
      <w:pPr>
        <w:spacing w:after="120"/>
        <w:rPr>
          <w:rFonts w:asciiTheme="minorHAnsi" w:eastAsia="Times New Roman" w:hAnsiTheme="minorHAnsi" w:cstheme="minorHAnsi"/>
          <w:color w:val="000000"/>
        </w:rPr>
      </w:pPr>
      <w:r w:rsidRPr="00204754">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r w:rsidR="00C11408">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3F7429"/>
    <w:multiLevelType w:val="hybridMultilevel"/>
    <w:tmpl w:val="2E46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C47EB1"/>
    <w:multiLevelType w:val="hybridMultilevel"/>
    <w:tmpl w:val="C054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AB2E86"/>
    <w:multiLevelType w:val="hybridMultilevel"/>
    <w:tmpl w:val="428A1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4"/>
  </w:num>
  <w:num w:numId="4">
    <w:abstractNumId w:val="13"/>
  </w:num>
  <w:num w:numId="5">
    <w:abstractNumId w:val="9"/>
  </w:num>
  <w:num w:numId="6">
    <w:abstractNumId w:val="25"/>
  </w:num>
  <w:num w:numId="7">
    <w:abstractNumId w:val="6"/>
  </w:num>
  <w:num w:numId="8">
    <w:abstractNumId w:val="18"/>
  </w:num>
  <w:num w:numId="9">
    <w:abstractNumId w:val="7"/>
  </w:num>
  <w:num w:numId="10">
    <w:abstractNumId w:val="3"/>
  </w:num>
  <w:num w:numId="11">
    <w:abstractNumId w:val="23"/>
  </w:num>
  <w:num w:numId="12">
    <w:abstractNumId w:val="22"/>
  </w:num>
  <w:num w:numId="13">
    <w:abstractNumId w:val="14"/>
  </w:num>
  <w:num w:numId="14">
    <w:abstractNumId w:val="10"/>
  </w:num>
  <w:num w:numId="15">
    <w:abstractNumId w:val="20"/>
  </w:num>
  <w:num w:numId="16">
    <w:abstractNumId w:val="15"/>
  </w:num>
  <w:num w:numId="17">
    <w:abstractNumId w:val="26"/>
  </w:num>
  <w:num w:numId="18">
    <w:abstractNumId w:val="16"/>
  </w:num>
  <w:num w:numId="19">
    <w:abstractNumId w:val="17"/>
  </w:num>
  <w:num w:numId="20">
    <w:abstractNumId w:val="4"/>
  </w:num>
  <w:num w:numId="21">
    <w:abstractNumId w:val="12"/>
  </w:num>
  <w:num w:numId="22">
    <w:abstractNumId w:val="2"/>
  </w:num>
  <w:num w:numId="23">
    <w:abstractNumId w:val="1"/>
  </w:num>
  <w:num w:numId="24">
    <w:abstractNumId w:val="1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32F2"/>
    <w:rsid w:val="0006798B"/>
    <w:rsid w:val="00070490"/>
    <w:rsid w:val="000724A5"/>
    <w:rsid w:val="00081F93"/>
    <w:rsid w:val="000904FA"/>
    <w:rsid w:val="00091BA5"/>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5CCD"/>
    <w:rsid w:val="00186295"/>
    <w:rsid w:val="00186787"/>
    <w:rsid w:val="00187781"/>
    <w:rsid w:val="0019133B"/>
    <w:rsid w:val="00192B6D"/>
    <w:rsid w:val="0019385F"/>
    <w:rsid w:val="001A0BC5"/>
    <w:rsid w:val="001A3DF7"/>
    <w:rsid w:val="001C0BC0"/>
    <w:rsid w:val="001C3C72"/>
    <w:rsid w:val="001C7274"/>
    <w:rsid w:val="001C7C84"/>
    <w:rsid w:val="001D0077"/>
    <w:rsid w:val="001D1BB0"/>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4754"/>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A67C6"/>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0A1D"/>
    <w:rsid w:val="00363901"/>
    <w:rsid w:val="00365C19"/>
    <w:rsid w:val="00370B6C"/>
    <w:rsid w:val="00373B13"/>
    <w:rsid w:val="00376B3E"/>
    <w:rsid w:val="003832A0"/>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4742"/>
    <w:rsid w:val="003C6C7E"/>
    <w:rsid w:val="003D0525"/>
    <w:rsid w:val="003D3B3C"/>
    <w:rsid w:val="003D716F"/>
    <w:rsid w:val="003D7A3B"/>
    <w:rsid w:val="003E0361"/>
    <w:rsid w:val="003F413E"/>
    <w:rsid w:val="003F45CC"/>
    <w:rsid w:val="004009BC"/>
    <w:rsid w:val="00401019"/>
    <w:rsid w:val="004034D3"/>
    <w:rsid w:val="0041103B"/>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0C48"/>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A6225"/>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37044"/>
    <w:rsid w:val="00A401AA"/>
    <w:rsid w:val="00A46142"/>
    <w:rsid w:val="00A46F33"/>
    <w:rsid w:val="00A50464"/>
    <w:rsid w:val="00A60582"/>
    <w:rsid w:val="00A61B18"/>
    <w:rsid w:val="00A62202"/>
    <w:rsid w:val="00A67416"/>
    <w:rsid w:val="00A70D48"/>
    <w:rsid w:val="00A74227"/>
    <w:rsid w:val="00A75BE2"/>
    <w:rsid w:val="00A77657"/>
    <w:rsid w:val="00A812D7"/>
    <w:rsid w:val="00A87335"/>
    <w:rsid w:val="00A9276C"/>
    <w:rsid w:val="00AA07AC"/>
    <w:rsid w:val="00AA4C43"/>
    <w:rsid w:val="00AA7987"/>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86BBC"/>
    <w:rsid w:val="00B92B11"/>
    <w:rsid w:val="00B979EA"/>
    <w:rsid w:val="00BA466F"/>
    <w:rsid w:val="00BB105F"/>
    <w:rsid w:val="00BB373C"/>
    <w:rsid w:val="00BB6CA4"/>
    <w:rsid w:val="00BC1056"/>
    <w:rsid w:val="00BC19AB"/>
    <w:rsid w:val="00BC1ACE"/>
    <w:rsid w:val="00BC6D4E"/>
    <w:rsid w:val="00BD0DC2"/>
    <w:rsid w:val="00BD3CBE"/>
    <w:rsid w:val="00BD464F"/>
    <w:rsid w:val="00BD6173"/>
    <w:rsid w:val="00BE0544"/>
    <w:rsid w:val="00BE0D4D"/>
    <w:rsid w:val="00BE1814"/>
    <w:rsid w:val="00BE7983"/>
    <w:rsid w:val="00BF0F58"/>
    <w:rsid w:val="00BF347E"/>
    <w:rsid w:val="00BF71A3"/>
    <w:rsid w:val="00BF739F"/>
    <w:rsid w:val="00C02811"/>
    <w:rsid w:val="00C02A16"/>
    <w:rsid w:val="00C046A4"/>
    <w:rsid w:val="00C11408"/>
    <w:rsid w:val="00C12F16"/>
    <w:rsid w:val="00C15DD4"/>
    <w:rsid w:val="00C163B2"/>
    <w:rsid w:val="00C17321"/>
    <w:rsid w:val="00C1733E"/>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E5D8A"/>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644CD"/>
    <w:rsid w:val="00D64504"/>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0024"/>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5D7D"/>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9467730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370805300">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www.deq.state.or.us/regulations/proposedrule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bulletin/past.html" TargetMode="External"/><Relationship Id="rId37" Type="http://schemas.openxmlformats.org/officeDocument/2006/relationships/hyperlink" Target="http://www.deq.state.or.us/programs/enforcement/SelfPolDisPen.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81A9C"/>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651D8"/>
    <w:rsid w:val="00BA47EC"/>
    <w:rsid w:val="00BE515B"/>
    <w:rsid w:val="00C04101"/>
    <w:rsid w:val="00C84407"/>
    <w:rsid w:val="00C95DAD"/>
    <w:rsid w:val="00C96CBE"/>
    <w:rsid w:val="00CE3001"/>
    <w:rsid w:val="00D0070C"/>
    <w:rsid w:val="00D35A13"/>
    <w:rsid w:val="00D552D6"/>
    <w:rsid w:val="00D60F6D"/>
    <w:rsid w:val="00D86299"/>
    <w:rsid w:val="00DD7255"/>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E283853-D9BE-4E03-A8CC-261A3431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7601</Words>
  <Characters>43327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2013-11-01T23:02:00Z</cp:lastPrinted>
  <dcterms:created xsi:type="dcterms:W3CDTF">2013-11-01T23:31:00Z</dcterms:created>
  <dcterms:modified xsi:type="dcterms:W3CDTF">2013-11-01T23:31:00Z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