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A4657" w:rsidP="00AF15AD">
      <w:pPr>
        <w:spacing w:after="120"/>
        <w:ind w:left="0" w:right="634"/>
        <w:outlineLvl w:val="0"/>
        <w:rPr>
          <w:rFonts w:ascii="Times New Roman" w:eastAsia="Times New Roman" w:hAnsi="Times New Roman" w:cs="Times New Roman"/>
          <w:color w:val="000000"/>
        </w:rPr>
      </w:pPr>
      <w:r w:rsidRPr="007A4657">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B75D8" w:rsidRPr="00C74D58" w:rsidRDefault="004B75D8" w:rsidP="006751BA">
                  <w:pPr>
                    <w:tabs>
                      <w:tab w:val="left" w:pos="16582"/>
                    </w:tabs>
                    <w:ind w:left="0"/>
                    <w:jc w:val="center"/>
                    <w:rPr>
                      <w:rFonts w:ascii="Times New Roman" w:eastAsia="Times New Roman" w:hAnsi="Times New Roman" w:cs="Times New Roman"/>
                      <w:b/>
                      <w:color w:val="000000"/>
                    </w:rPr>
                  </w:pPr>
                </w:p>
                <w:p w:rsidR="004B75D8" w:rsidRPr="00C74D58" w:rsidRDefault="004B75D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B75D8" w:rsidRPr="00C74D58" w:rsidRDefault="004B75D8" w:rsidP="006751BA">
                  <w:pPr>
                    <w:tabs>
                      <w:tab w:val="left" w:pos="908"/>
                      <w:tab w:val="left" w:pos="16582"/>
                    </w:tabs>
                    <w:ind w:left="108"/>
                    <w:jc w:val="center"/>
                    <w:rPr>
                      <w:rFonts w:ascii="Times New Roman" w:eastAsia="Times New Roman" w:hAnsi="Times New Roman" w:cs="Times New Roman"/>
                      <w:b/>
                      <w:color w:val="000000"/>
                    </w:rPr>
                  </w:pPr>
                </w:p>
                <w:p w:rsidR="004B75D8" w:rsidRPr="00A019B4" w:rsidRDefault="004B75D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 2013</w:t>
                  </w:r>
                </w:p>
                <w:p w:rsidR="004B75D8" w:rsidRPr="00A019B4" w:rsidRDefault="004B75D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594985">
        <w:rPr>
          <w:rFonts w:asciiTheme="minorHAnsi" w:hAnsiTheme="minorHAnsi" w:cstheme="minorHAnsi"/>
          <w:sz w:val="22"/>
          <w:szCs w:val="22"/>
        </w:rPr>
        <w:t>t</w:t>
      </w:r>
      <w:r w:rsidR="002736C7">
        <w:rPr>
          <w:rFonts w:asciiTheme="minorHAnsi" w:hAnsiTheme="minorHAnsi" w:cstheme="minorHAnsi"/>
          <w:sz w:val="22"/>
          <w:szCs w:val="22"/>
        </w:rPr>
        <w:t>oxic</w:t>
      </w:r>
      <w:r w:rsidR="00BB7FF0">
        <w:rPr>
          <w:rFonts w:asciiTheme="minorHAnsi" w:hAnsiTheme="minorHAnsi" w:cstheme="minorHAnsi"/>
          <w:sz w:val="22"/>
          <w:szCs w:val="22"/>
        </w:rPr>
        <w:t xml:space="preserve"> 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r w:rsidR="003C019D" w:rsidRPr="00C22462">
        <w:rPr>
          <w:rFonts w:ascii="Times New Roman" w:hAnsi="Times New Roman"/>
          <w:color w:val="000000" w:themeColor="text1"/>
          <w:sz w:val="22"/>
          <w:szCs w:val="22"/>
          <w:lang w:eastAsia="zh-CN"/>
        </w:rPr>
        <w:t>are</w:t>
      </w:r>
      <w:r w:rsidR="004902A2">
        <w:rPr>
          <w:rFonts w:ascii="Times New Roman" w:hAnsi="Times New Roman"/>
          <w:color w:val="000000" w:themeColor="text1"/>
          <w:sz w:val="22"/>
          <w:szCs w:val="22"/>
          <w:lang w:eastAsia="zh-CN"/>
        </w:rPr>
        <w:t xml:space="preserve"> generally</w:t>
      </w:r>
      <w:r w:rsidR="003C019D" w:rsidRPr="00C22462">
        <w:rPr>
          <w:rFonts w:ascii="Times New Roman" w:hAnsi="Times New Roman"/>
          <w:color w:val="000000" w:themeColor="text1"/>
          <w:sz w:val="22"/>
          <w:szCs w:val="22"/>
          <w:lang w:eastAsia="zh-CN"/>
        </w:rPr>
        <w:t xml:space="preserve"> not substanti</w:t>
      </w:r>
      <w:r w:rsidR="004902A2">
        <w:rPr>
          <w:rFonts w:ascii="Times New Roman" w:hAnsi="Times New Roman"/>
          <w:color w:val="000000" w:themeColor="text1"/>
          <w:sz w:val="22"/>
          <w:szCs w:val="22"/>
          <w:lang w:eastAsia="zh-CN"/>
        </w:rPr>
        <w:t xml:space="preserve">ve, but 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For example, EPA disapproved criteria for 11 pesticides based on an unclear reading of the frequency and duration components of these criteria. </w:t>
      </w:r>
      <w:r w:rsidR="009907E7" w:rsidRPr="00C22462">
        <w:rPr>
          <w:rFonts w:ascii="Times New Roman" w:hAnsi="Times New Roman"/>
          <w:sz w:val="22"/>
          <w:szCs w:val="22"/>
        </w:rPr>
        <w:t>DEQ expects that clarifying this aspect of the criteria w</w:t>
      </w:r>
      <w:r w:rsidR="00607988">
        <w:rPr>
          <w:rFonts w:ascii="Times New Roman" w:hAnsi="Times New Roman"/>
          <w:sz w:val="22"/>
          <w:szCs w:val="22"/>
        </w:rPr>
        <w:t>ill remedy the disapproval of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(i.e. </w:t>
      </w:r>
      <w:r w:rsidR="00BB7FF0">
        <w:rPr>
          <w:rFonts w:asciiTheme="minorHAnsi" w:hAnsiTheme="minorHAnsi" w:cstheme="minorHAnsi"/>
          <w:sz w:val="22"/>
          <w:szCs w:val="22"/>
        </w:rPr>
        <w:t>currently expressed as “</w:t>
      </w:r>
      <w:r w:rsidR="004902A2">
        <w:rPr>
          <w:rFonts w:asciiTheme="minorHAnsi" w:hAnsiTheme="minorHAnsi" w:cstheme="minorHAnsi"/>
          <w:sz w:val="22"/>
          <w:szCs w:val="22"/>
        </w:rPr>
        <w:t>total recoverable</w:t>
      </w:r>
      <w:r w:rsidR="00BB7FF0">
        <w:rPr>
          <w:rFonts w:asciiTheme="minorHAnsi" w:hAnsiTheme="minorHAnsi" w:cstheme="minorHAnsi"/>
          <w:sz w:val="22"/>
          <w:szCs w:val="22"/>
        </w:rPr>
        <w:t xml:space="preserve"> selenium” and is proposed to be expressed as “</w:t>
      </w:r>
      <w:r w:rsidR="003C019D" w:rsidRPr="00C22462">
        <w:rPr>
          <w:rFonts w:asciiTheme="minorHAnsi" w:hAnsiTheme="minorHAnsi" w:cstheme="minorHAnsi"/>
          <w:sz w:val="22"/>
          <w:szCs w:val="22"/>
        </w:rPr>
        <w:t>dissolved</w:t>
      </w:r>
      <w:r w:rsidR="00BB7FF0">
        <w:rPr>
          <w:rFonts w:asciiTheme="minorHAnsi" w:hAnsiTheme="minorHAnsi" w:cstheme="minorHAnsi"/>
          <w:sz w:val="22"/>
          <w:szCs w:val="22"/>
        </w:rPr>
        <w:t xml:space="preserve"> selenium”</w:t>
      </w:r>
      <w:r w:rsidR="000B7CFB">
        <w:rPr>
          <w:rFonts w:asciiTheme="minorHAnsi" w:hAnsiTheme="minorHAnsi" w:cstheme="minorHAnsi"/>
          <w:sz w:val="22"/>
          <w:szCs w:val="22"/>
        </w:rPr>
        <w:t xml:space="preserve">) 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r w:rsidR="009A09BE" w:rsidRPr="007334A5">
        <w:rPr>
          <w:rFonts w:asciiTheme="minorHAnsi" w:hAnsiTheme="minorHAnsi" w:cstheme="minorHAnsi"/>
          <w:sz w:val="22"/>
          <w:szCs w:val="22"/>
        </w:rPr>
        <w:t xml:space="preserve">In </w:t>
      </w:r>
      <w:r w:rsidR="000B7CFB" w:rsidRPr="007334A5">
        <w:rPr>
          <w:rFonts w:asciiTheme="minorHAnsi" w:hAnsiTheme="minorHAnsi" w:cstheme="minorHAnsi"/>
          <w:sz w:val="22"/>
          <w:szCs w:val="22"/>
        </w:rPr>
        <w:t xml:space="preserve">the </w:t>
      </w:r>
      <w:r w:rsidR="009A09BE" w:rsidRPr="007334A5">
        <w:rPr>
          <w:rFonts w:asciiTheme="minorHAnsi" w:hAnsiTheme="minorHAnsi" w:cstheme="minorHAnsi"/>
          <w:sz w:val="22"/>
          <w:szCs w:val="22"/>
        </w:rPr>
        <w:t>2007</w:t>
      </w:r>
      <w:r w:rsidR="000B7CFB" w:rsidRPr="007334A5">
        <w:rPr>
          <w:rFonts w:asciiTheme="minorHAnsi" w:hAnsiTheme="minorHAnsi" w:cstheme="minorHAnsi"/>
          <w:sz w:val="22"/>
          <w:szCs w:val="22"/>
        </w:rPr>
        <w:t xml:space="preserve"> rulemaking, the Environmental Quality Commission adopted re</w:t>
      </w:r>
      <w:r w:rsidR="00C779C4" w:rsidRPr="007334A5">
        <w:rPr>
          <w:rFonts w:asciiTheme="minorHAnsi" w:hAnsiTheme="minorHAnsi" w:cstheme="minorHAnsi"/>
          <w:sz w:val="22"/>
          <w:szCs w:val="22"/>
        </w:rPr>
        <w:t xml:space="preserve">visions </w:t>
      </w:r>
      <w:r w:rsidR="00546D36" w:rsidRPr="007334A5">
        <w:rPr>
          <w:rFonts w:asciiTheme="minorHAnsi" w:hAnsiTheme="minorHAnsi" w:cstheme="minorHAnsi"/>
          <w:sz w:val="22"/>
          <w:szCs w:val="22"/>
        </w:rPr>
        <w:t>to</w:t>
      </w:r>
      <w:r w:rsidR="00C779C4" w:rsidRPr="007334A5">
        <w:rPr>
          <w:rFonts w:asciiTheme="minorHAnsi" w:hAnsiTheme="minorHAnsi" w:cstheme="minorHAnsi"/>
          <w:sz w:val="22"/>
          <w:szCs w:val="22"/>
        </w:rPr>
        <w:t xml:space="preserve"> Tables 33A and 33B that showed </w:t>
      </w:r>
      <w:r w:rsidR="009A09BE" w:rsidRPr="007334A5">
        <w:rPr>
          <w:rFonts w:asciiTheme="minorHAnsi" w:hAnsiTheme="minorHAnsi" w:cstheme="minorHAnsi"/>
          <w:sz w:val="22"/>
          <w:szCs w:val="22"/>
        </w:rPr>
        <w:t>which of the toxic pollutants criteria could be used for NPDES permitting and which criteria could not be used until EPA approval. DEQ mistakenly removed the freshwater and saltwater aquatic life criteria for arsenic and the saltwater criteria for chromium VI from Table 33B</w:t>
      </w:r>
      <w:r w:rsidR="000B7CFB" w:rsidRPr="007334A5">
        <w:rPr>
          <w:rFonts w:asciiTheme="minorHAnsi" w:hAnsiTheme="minorHAnsi" w:cstheme="minorHAnsi"/>
          <w:sz w:val="22"/>
          <w:szCs w:val="22"/>
        </w:rPr>
        <w:t xml:space="preserve"> in 2007</w:t>
      </w:r>
      <w:r w:rsidR="009A09BE" w:rsidRPr="007334A5">
        <w:rPr>
          <w:rFonts w:asciiTheme="minorHAnsi" w:hAnsiTheme="minorHAnsi" w:cstheme="minorHAnsi"/>
          <w:sz w:val="22"/>
          <w:szCs w:val="22"/>
        </w:rPr>
        <w:t xml:space="preserve">. </w:t>
      </w:r>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effective aquatic life criteria from Tables 20, 33A, and 33B into a new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r>
        <w:rPr>
          <w:rFonts w:ascii="Times New Roman" w:hAnsi="Times New Roman" w:cs="Times New Roman"/>
          <w:sz w:val="22"/>
          <w:szCs w:val="22"/>
        </w:rPr>
        <w:t xml:space="preserve">DEQ anticipates that EPA will take action on the following </w:t>
      </w:r>
      <w:r w:rsidR="00A8464B">
        <w:rPr>
          <w:rFonts w:ascii="Times New Roman" w:hAnsi="Times New Roman" w:cs="Times New Roman"/>
          <w:sz w:val="22"/>
          <w:szCs w:val="22"/>
        </w:rPr>
        <w:t>water quality standard revisions</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2"/>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 term) and chronic (long 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r w:rsidR="00BF32B4">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based on findings in the National Marine Fisheries Service’s (NMFS) 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 (11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r w:rsidR="00691EB7">
        <w:rPr>
          <w:rFonts w:asciiTheme="minorHAnsi" w:hAnsiTheme="minorHAnsi" w:cstheme="minorHAnsi"/>
          <w:b w:val="0"/>
          <w:sz w:val="22"/>
          <w:szCs w:val="22"/>
        </w:rPr>
        <w:t>.</w:t>
      </w:r>
      <w:r w:rsidRPr="00D27A3D">
        <w:rPr>
          <w:rFonts w:asciiTheme="minorHAnsi" w:hAnsiTheme="minorHAnsi" w:cstheme="minorHAnsi"/>
          <w:b w:val="0"/>
          <w:sz w:val="22"/>
          <w:szCs w:val="22"/>
        </w:rPr>
        <w:t>)</w:t>
      </w:r>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r w:rsidR="001C0D8A">
        <w:rPr>
          <w:rFonts w:asciiTheme="minorHAnsi" w:hAnsiTheme="minorHAnsi" w:cstheme="minorHAnsi"/>
          <w:b w:val="0"/>
          <w:sz w:val="22"/>
          <w:szCs w:val="22"/>
        </w:rPr>
        <w:t xml:space="preserve"> rather than delay and potentially confuse the straightforward corrections in this proposal.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2D272D">
        <w:rPr>
          <w:rFonts w:ascii="Times New Roman" w:eastAsia="Times New Roman" w:hAnsi="Times New Roman" w:cs="Times New Roman"/>
          <w:sz w:val="22"/>
          <w:szCs w:val="22"/>
        </w:rPr>
        <w:t xml:space="preserve">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r w:rsidR="004902A2" w:rsidRPr="00404EDF">
        <w:rPr>
          <w:rFonts w:asciiTheme="minorHAnsi" w:hAnsiTheme="minorHAnsi" w:cstheme="minorHAnsi"/>
          <w:sz w:val="22"/>
          <w:szCs w:val="22"/>
        </w:rPr>
        <w:t>)</w:t>
      </w:r>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proofErr w:type="spellStart"/>
      <w:r w:rsidRPr="00B806D5">
        <w:rPr>
          <w:rFonts w:asciiTheme="minorHAnsi" w:hAnsiTheme="minorHAnsi" w:cstheme="minorHAnsi"/>
          <w:color w:val="000000"/>
          <w:sz w:val="22"/>
          <w:szCs w:val="22"/>
        </w:rPr>
        <w:t>AgWQM</w:t>
      </w:r>
      <w:proofErr w:type="spellEnd"/>
      <w:r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sidR="00861C5B">
              <w:rPr>
                <w:rFonts w:ascii="Times New Roman" w:eastAsia="Times New Roman" w:hAnsi="Times New Roman" w:cs="Times New Roman"/>
                <w:sz w:val="22"/>
                <w:szCs w:val="22"/>
              </w:rPr>
              <w:t xml:space="preserve"> on</w:t>
            </w:r>
            <w:r w:rsidR="00467865">
              <w:rPr>
                <w:rFonts w:ascii="Times New Roman" w:eastAsia="Times New Roman" w:hAnsi="Times New Roman" w:cs="Times New Roman"/>
                <w:sz w:val="22"/>
                <w:szCs w:val="22"/>
              </w:rPr>
              <w:t xml:space="preserve"> February 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sidR="00F546DA">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BF32B4">
              <w:rPr>
                <w:rFonts w:ascii="Times New Roman" w:eastAsia="Times New Roman" w:hAnsi="Times New Roman" w:cs="Times New Roman"/>
                <w:sz w:val="22"/>
                <w:szCs w:val="22"/>
              </w:rPr>
              <w:t xml:space="preserve">. .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w:t>
            </w:r>
            <w:proofErr w:type="gramStart"/>
            <w:r w:rsidR="007334A5">
              <w:rPr>
                <w:rFonts w:ascii="Times New Roman" w:eastAsia="Times New Roman" w:hAnsi="Times New Roman" w:cs="Times New Roman"/>
                <w:sz w:val="22"/>
                <w:szCs w:val="22"/>
              </w:rPr>
              <w:t>,  and</w:t>
            </w:r>
            <w:proofErr w:type="gramEnd"/>
            <w:r w:rsidR="007334A5">
              <w:rPr>
                <w:rFonts w:ascii="Times New Roman" w:eastAsia="Times New Roman" w:hAnsi="Times New Roman" w:cs="Times New Roman"/>
                <w:sz w:val="22"/>
                <w:szCs w:val="22"/>
              </w:rPr>
              <w:t xml:space="preserve">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w:t>
            </w:r>
            <w:proofErr w:type="gramStart"/>
            <w:r w:rsidR="001529D9">
              <w:rPr>
                <w:rFonts w:ascii="Times New Roman" w:eastAsia="Times New Roman" w:hAnsi="Times New Roman" w:cs="Times New Roman"/>
                <w:sz w:val="22"/>
                <w:szCs w:val="22"/>
              </w:rPr>
              <w:t xml:space="preserve">references </w:t>
            </w:r>
            <w:r w:rsidR="00CB0528" w:rsidRPr="00D62070">
              <w:rPr>
                <w:rFonts w:ascii="Times New Roman" w:eastAsia="Times New Roman" w:hAnsi="Times New Roman" w:cs="Times New Roman"/>
                <w:sz w:val="22"/>
                <w:szCs w:val="22"/>
              </w:rPr>
              <w:t xml:space="preserve"> to</w:t>
            </w:r>
            <w:proofErr w:type="gramEnd"/>
            <w:r w:rsidR="00CB0528" w:rsidRPr="00D62070">
              <w:rPr>
                <w:rFonts w:ascii="Times New Roman" w:eastAsia="Times New Roman" w:hAnsi="Times New Roman" w:cs="Times New Roman"/>
                <w:sz w:val="22"/>
                <w:szCs w:val="22"/>
              </w:rPr>
              <w:t xml:space="preserve">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proofErr w:type="gramStart"/>
            <w:r w:rsidR="00254354">
              <w:rPr>
                <w:rFonts w:ascii="Times New Roman" w:eastAsia="Times New Roman" w:hAnsi="Times New Roman" w:cs="Times New Roman"/>
                <w:sz w:val="22"/>
                <w:szCs w:val="22"/>
              </w:rPr>
              <w:t>identified  in</w:t>
            </w:r>
            <w:proofErr w:type="gramEnd"/>
            <w:r w:rsidR="00254354">
              <w:rPr>
                <w:rFonts w:ascii="Times New Roman" w:eastAsia="Times New Roman" w:hAnsi="Times New Roman" w:cs="Times New Roman"/>
                <w:sz w:val="22"/>
                <w:szCs w:val="22"/>
              </w:rPr>
              <w:t xml:space="preserve">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7945D2" w:rsidRPr="007334A5">
              <w:rPr>
                <w:rFonts w:ascii="Times New Roman" w:eastAsia="Times New Roman" w:hAnsi="Times New Roman" w:cs="Times New Roman"/>
                <w:sz w:val="22"/>
                <w:szCs w:val="22"/>
              </w:rPr>
              <w:t xml:space="preserve">DEQ </w:t>
            </w:r>
            <w:r w:rsidR="000251AE" w:rsidRPr="007334A5">
              <w:rPr>
                <w:rFonts w:ascii="Times New Roman" w:eastAsia="Times New Roman" w:hAnsi="Times New Roman" w:cs="Times New Roman"/>
                <w:sz w:val="22"/>
                <w:szCs w:val="22"/>
              </w:rPr>
              <w:t xml:space="preserve">inadvertently </w:t>
            </w:r>
            <w:proofErr w:type="gramStart"/>
            <w:r w:rsidR="00451BE6">
              <w:rPr>
                <w:rFonts w:ascii="Times New Roman" w:eastAsia="Times New Roman" w:hAnsi="Times New Roman" w:cs="Times New Roman"/>
                <w:sz w:val="22"/>
                <w:szCs w:val="22"/>
              </w:rPr>
              <w:t>omitted</w:t>
            </w:r>
            <w:r w:rsidR="002B66A8">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the</w:t>
            </w:r>
            <w:proofErr w:type="gramEnd"/>
            <w:r w:rsidR="00572565">
              <w:rPr>
                <w:rFonts w:ascii="Times New Roman" w:eastAsia="Times New Roman" w:hAnsi="Times New Roman" w:cs="Times New Roman"/>
                <w:sz w:val="22"/>
                <w:szCs w:val="22"/>
              </w:rPr>
              <w:t xml:space="preserve"> criteria from </w:t>
            </w:r>
            <w:r w:rsidR="000251AE" w:rsidRPr="007334A5">
              <w:rPr>
                <w:rFonts w:ascii="Times New Roman" w:eastAsia="Times New Roman" w:hAnsi="Times New Roman" w:cs="Times New Roman"/>
                <w:sz w:val="22"/>
                <w:szCs w:val="22"/>
              </w:rPr>
              <w:t xml:space="preserve">Table 33B </w:t>
            </w:r>
            <w:r w:rsidR="002B66A8">
              <w:rPr>
                <w:rFonts w:ascii="Times New Roman" w:eastAsia="Times New Roman" w:hAnsi="Times New Roman" w:cs="Times New Roman"/>
                <w:sz w:val="22"/>
                <w:szCs w:val="22"/>
              </w:rPr>
              <w:t>during</w:t>
            </w:r>
            <w:r w:rsidR="00F5330D">
              <w:rPr>
                <w:rFonts w:ascii="Times New Roman" w:eastAsia="Times New Roman" w:hAnsi="Times New Roman" w:cs="Times New Roman"/>
                <w:sz w:val="22"/>
                <w:szCs w:val="22"/>
              </w:rPr>
              <w:t xml:space="preserve"> </w:t>
            </w:r>
            <w:r w:rsidR="002B66A8">
              <w:rPr>
                <w:rFonts w:ascii="Times New Roman" w:eastAsia="Times New Roman" w:hAnsi="Times New Roman" w:cs="Times New Roman"/>
                <w:sz w:val="22"/>
                <w:szCs w:val="22"/>
              </w:rPr>
              <w:t>a</w:t>
            </w:r>
            <w:r w:rsidR="000251AE" w:rsidRPr="007334A5">
              <w:rPr>
                <w:rFonts w:ascii="Times New Roman" w:eastAsia="Times New Roman" w:hAnsi="Times New Roman" w:cs="Times New Roman"/>
                <w:sz w:val="22"/>
                <w:szCs w:val="22"/>
              </w:rPr>
              <w:t xml:space="preserve"> 2007</w:t>
            </w:r>
            <w:r w:rsidR="00E809F1" w:rsidRPr="007334A5">
              <w:rPr>
                <w:rFonts w:ascii="Times New Roman" w:eastAsia="Times New Roman" w:hAnsi="Times New Roman" w:cs="Times New Roman"/>
                <w:sz w:val="22"/>
                <w:szCs w:val="22"/>
              </w:rPr>
              <w:t xml:space="preserve"> water quality standards</w:t>
            </w:r>
            <w:r w:rsidR="00F666F0"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rulemaking</w:t>
            </w:r>
            <w:r w:rsidR="00D27A3D" w:rsidRPr="007334A5">
              <w:rPr>
                <w:rFonts w:ascii="Times New Roman" w:eastAsia="Times New Roman" w:hAnsi="Times New Roman" w:cs="Times New Roman"/>
                <w:sz w:val="22"/>
                <w:szCs w:val="22"/>
              </w:rPr>
              <w:t xml:space="preserve"> which made clarifying edits to Tables 33A and 33B</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These criteria underwent Endangered Species Act consultation by the U.S. Fish and Wildlife </w:t>
            </w:r>
            <w:r w:rsidR="00D27A3D" w:rsidRPr="007334A5">
              <w:rPr>
                <w:rFonts w:ascii="Times New Roman" w:eastAsia="Times New Roman" w:hAnsi="Times New Roman" w:cs="Times New Roman"/>
                <w:sz w:val="22"/>
                <w:szCs w:val="22"/>
              </w:rPr>
              <w:lastRenderedPageBreak/>
              <w:t>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proofErr w:type="gramStart"/>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w:t>
            </w:r>
            <w:proofErr w:type="gramEnd"/>
            <w:r w:rsidR="0067070D">
              <w:rPr>
                <w:rFonts w:ascii="Times New Roman" w:eastAsia="Times New Roman" w:hAnsi="Times New Roman" w:cs="Times New Roman"/>
                <w:sz w:val="22"/>
                <w:szCs w:val="22"/>
              </w:rPr>
              <w:t xml:space="preserve">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Pr="00513CF7">
              <w:rPr>
                <w:rFonts w:asciiTheme="minorHAnsi" w:hAnsiTheme="minorHAnsi" w:cstheme="minorHAnsi"/>
                <w:sz w:val="22"/>
                <w:szCs w:val="22"/>
              </w:rPr>
              <w: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w:t>
            </w:r>
            <w:proofErr w:type="gramStart"/>
            <w:r w:rsidR="008B4E98" w:rsidRPr="00D62070">
              <w:rPr>
                <w:rFonts w:ascii="Times New Roman" w:eastAsia="Times New Roman" w:hAnsi="Times New Roman" w:cs="Times New Roman"/>
                <w:sz w:val="22"/>
                <w:szCs w:val="22"/>
              </w:rPr>
              <w:t xml:space="preserve">criteria </w:t>
            </w:r>
            <w:r w:rsidR="00DF0EE5">
              <w:rPr>
                <w:rFonts w:ascii="Times New Roman" w:eastAsia="Times New Roman" w:hAnsi="Times New Roman" w:cs="Times New Roman"/>
                <w:sz w:val="22"/>
                <w:szCs w:val="22"/>
              </w:rPr>
              <w:t>;</w:t>
            </w:r>
            <w:proofErr w:type="gramEnd"/>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proofErr w:type="spellStart"/>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esthe</w:t>
            </w:r>
            <w:proofErr w:type="spellEnd"/>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several 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 xml:space="preserve">This error occurred during preparation of the final rule when the Arsenic Reduction Policy was moved from section 4 in the proposed </w:t>
            </w:r>
            <w:r w:rsidRPr="00496F81">
              <w:rPr>
                <w:rFonts w:asciiTheme="minorHAnsi" w:hAnsiTheme="minorHAnsi" w:cstheme="minorHAnsi"/>
                <w:sz w:val="22"/>
                <w:szCs w:val="22"/>
              </w:rPr>
              <w:lastRenderedPageBreak/>
              <w:t>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w:t>
            </w:r>
            <w:proofErr w:type="gramStart"/>
            <w:r w:rsidR="006007EA">
              <w:rPr>
                <w:rFonts w:asciiTheme="minorHAnsi" w:hAnsiTheme="minorHAnsi" w:cstheme="minorHAnsi"/>
                <w:sz w:val="22"/>
                <w:szCs w:val="22"/>
              </w:rPr>
              <w:t>)(</w:t>
            </w:r>
            <w:proofErr w:type="gramEnd"/>
            <w:r w:rsidR="006007EA">
              <w:rPr>
                <w:rFonts w:asciiTheme="minorHAnsi" w:hAnsiTheme="minorHAnsi" w:cstheme="minorHAnsi"/>
                <w:sz w:val="22"/>
                <w:szCs w:val="22"/>
              </w:rPr>
              <w:t>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0"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0"/>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1" w:name="AlternativesConsidered"/>
      <w:bookmarkStart w:id="2" w:name="RANGE!C35"/>
      <w:r w:rsidRPr="003B5330">
        <w:rPr>
          <w:rFonts w:asciiTheme="majorHAnsi" w:eastAsia="Times New Roman" w:hAnsiTheme="majorHAnsi" w:cstheme="majorHAnsi"/>
          <w:bCs/>
          <w:color w:val="5F497A" w:themeColor="accent4" w:themeShade="BF"/>
          <w:sz w:val="22"/>
          <w:szCs w:val="22"/>
        </w:rPr>
        <w:t>What alternatives did DEQ consider</w:t>
      </w:r>
      <w:bookmarkEnd w:id="1"/>
      <w:proofErr w:type="gramStart"/>
      <w:r w:rsidR="00E13C70" w:rsidRPr="003B5330">
        <w:rPr>
          <w:rFonts w:asciiTheme="majorHAnsi" w:eastAsia="Times New Roman" w:hAnsiTheme="majorHAnsi" w:cstheme="majorHAnsi"/>
          <w:bCs/>
          <w:color w:val="5F497A" w:themeColor="accent4" w:themeShade="BF"/>
          <w:sz w:val="22"/>
          <w:szCs w:val="22"/>
        </w:rPr>
        <w:t>,</w:t>
      </w:r>
      <w:proofErr w:type="gramEnd"/>
      <w:r w:rsidRPr="003B5330">
        <w:rPr>
          <w:rFonts w:asciiTheme="majorHAnsi" w:eastAsia="Times New Roman" w:hAnsiTheme="majorHAnsi" w:cstheme="majorHAnsi"/>
          <w:bCs/>
          <w:color w:val="5F497A" w:themeColor="accent4" w:themeShade="BF"/>
          <w:sz w:val="22"/>
          <w:szCs w:val="22"/>
        </w:rPr>
        <w:t xml:space="preserve"> if any?</w:t>
      </w:r>
      <w:bookmarkEnd w:id="2"/>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4"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proofErr w:type="gramStart"/>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w:t>
      </w:r>
      <w:proofErr w:type="gramEnd"/>
      <w:r w:rsidRPr="00B56B6E">
        <w:rPr>
          <w:rFonts w:asciiTheme="minorHAnsi" w:hAnsiTheme="minorHAnsi" w:cstheme="minorHAnsi"/>
        </w:rPr>
        <w:t>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proofErr w:type="gramStart"/>
      <w:r w:rsidRPr="006D5C3D">
        <w:rPr>
          <w:rFonts w:asciiTheme="minorHAnsi" w:hAnsiTheme="minorHAnsi" w:cstheme="minorHAnsi"/>
        </w:rPr>
        <w:t>ORS 468B.030, 468B.035 &amp; 468B.048.</w:t>
      </w:r>
      <w:proofErr w:type="gramEnd"/>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6D5C3D" w:rsidRDefault="006D5C3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6"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7A4657" w:rsidP="006D34D0">
            <w:pPr>
              <w:ind w:left="72" w:right="1008"/>
              <w:rPr>
                <w:rFonts w:ascii="Times New Roman" w:eastAsia="Times New Roman" w:hAnsi="Times New Roman" w:cs="Times New Roman"/>
                <w:bCs/>
                <w:color w:val="000000" w:themeColor="text1"/>
                <w:sz w:val="24"/>
                <w:szCs w:val="24"/>
              </w:rPr>
            </w:pPr>
            <w:hyperlink r:id="rId17"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7A4657" w:rsidP="00F6764A">
            <w:pPr>
              <w:ind w:left="72" w:right="1008"/>
              <w:rPr>
                <w:rFonts w:ascii="Times New Roman" w:eastAsia="Times New Roman" w:hAnsi="Times New Roman" w:cs="Times New Roman"/>
                <w:bCs/>
                <w:color w:val="000000" w:themeColor="text1"/>
              </w:rPr>
            </w:pPr>
            <w:hyperlink r:id="rId18"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7A4657" w:rsidP="006D34D0">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0"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w:t>
      </w:r>
      <w:proofErr w:type="gramStart"/>
      <w:r w:rsidRPr="00B806D5">
        <w:rPr>
          <w:rFonts w:ascii="Times New Roman" w:eastAsia="Times New Roman" w:hAnsi="Times New Roman" w:cs="Times New Roman"/>
          <w:bCs/>
          <w:color w:val="000000" w:themeColor="text1"/>
          <w:sz w:val="22"/>
          <w:szCs w:val="22"/>
        </w:rPr>
        <w:t>this</w:t>
      </w:r>
      <w:proofErr w:type="gramEnd"/>
      <w:r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1"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65762C" w:rsidRDefault="0065762C" w:rsidP="00DE227F">
      <w:pPr>
        <w:ind w:left="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2"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DC6611" w:rsidRPr="00895F82" w:rsidRDefault="002B4DCF" w:rsidP="007316E1">
      <w:pPr>
        <w:spacing w:line="276" w:lineRule="auto"/>
        <w:ind w:left="1080"/>
        <w:rPr>
          <w:rFonts w:asciiTheme="minorHAnsi" w:hAnsiTheme="minorHAnsi" w:cstheme="minorHAnsi"/>
          <w:sz w:val="22"/>
          <w:szCs w:val="22"/>
        </w:rPr>
        <w:sectPr w:rsidR="00DC6611" w:rsidRPr="00895F82" w:rsidSect="004C1BAD">
          <w:pgSz w:w="12240" w:h="15840"/>
          <w:pgMar w:top="1080" w:right="900" w:bottom="1080" w:left="360" w:header="720" w:footer="720" w:gutter="432"/>
          <w:cols w:space="720"/>
          <w:docGrid w:linePitch="360"/>
        </w:sect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proofErr w:type="spellEnd"/>
      <w:proofErr w:type="gramEnd"/>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 xml:space="preserve">the Oregon Farm </w:t>
            </w:r>
            <w:r w:rsidR="00343CA7">
              <w:rPr>
                <w:rFonts w:asciiTheme="minorHAnsi" w:hAnsiTheme="minorHAnsi" w:cstheme="minorHAnsi"/>
              </w:rPr>
              <w:lastRenderedPageBreak/>
              <w:t>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78085C" w:rsidRDefault="0078085C"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lastRenderedPageBreak/>
        <w:t xml:space="preserve">To comply with </w:t>
      </w:r>
      <w:hyperlink r:id="rId23"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7A4657"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275FC0" w:rsidRDefault="005A3C33" w:rsidP="00CD2E4D">
      <w:pPr>
        <w:pStyle w:val="ListParagraph"/>
        <w:ind w:right="634"/>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p>
    <w:p w:rsidR="00275FC0" w:rsidRDefault="00275FC0" w:rsidP="00CD2E4D">
      <w:pPr>
        <w:pStyle w:val="ListParagraph"/>
        <w:ind w:right="634"/>
        <w:contextualSpacing w:val="0"/>
        <w:rPr>
          <w:rFonts w:asciiTheme="minorHAnsi" w:hAnsiTheme="minorHAnsi" w:cstheme="minorHAnsi"/>
          <w:spacing w:val="-3"/>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275FC0" w:rsidRDefault="005A3C33" w:rsidP="00CB5339">
      <w:pPr>
        <w:pStyle w:val="ListParagraph"/>
        <w:spacing w:after="120"/>
        <w:ind w:right="630"/>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tatewide goal compliance and local plan compatibility procedures do not cover the proposed rules.</w:t>
      </w:r>
    </w:p>
    <w:p w:rsidR="005A3C33" w:rsidRPr="00275FC0" w:rsidRDefault="005A3C33" w:rsidP="00CB5339">
      <w:pPr>
        <w:pStyle w:val="ListParagraph"/>
        <w:spacing w:after="120"/>
        <w:ind w:right="630"/>
        <w:contextualSpacing w:val="0"/>
        <w:rPr>
          <w:rFonts w:ascii="Times New Roman" w:eastAsia="Times New Roman" w:hAnsi="Times New Roman" w:cs="Times New Roman"/>
        </w:rPr>
      </w:pPr>
      <w:r w:rsidRPr="00056175">
        <w:rPr>
          <w:rFonts w:asciiTheme="minorHAnsi" w:eastAsia="Times New Roman" w:hAnsiTheme="minorHAnsi" w:cstheme="minorHAnsi"/>
          <w:color w:val="000000"/>
        </w:rPr>
        <w:t xml:space="preserve"> </w:t>
      </w:r>
      <w:r w:rsidR="00275FC0" w:rsidRPr="00275FC0">
        <w:rPr>
          <w:rFonts w:ascii="Times New Roman" w:eastAsia="Times New Roman" w:hAnsi="Times New Roman" w:cs="Times New Roman"/>
        </w:rPr>
        <w:t>N/A</w:t>
      </w:r>
    </w:p>
    <w:p w:rsidR="00275FC0" w:rsidRDefault="00275FC0"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275FC0" w:rsidP="00CB5339">
      <w:pPr>
        <w:pStyle w:val="ListParagraph"/>
        <w:spacing w:after="120"/>
        <w:ind w:right="630"/>
        <w:contextualSpacing w:val="0"/>
        <w:rPr>
          <w:rFonts w:ascii="Times New Roman" w:eastAsia="Times New Roman" w:hAnsi="Times New Roman" w:cs="Times New Roman"/>
          <w:color w:val="000000"/>
        </w:rPr>
      </w:pPr>
      <w:r w:rsidRPr="00056175">
        <w:rPr>
          <w:rFonts w:asciiTheme="minorHAnsi" w:eastAsia="Times New Roman" w:hAnsiTheme="minorHAnsi" w:cstheme="minorHAnsi"/>
          <w:color w:val="244061" w:themeColor="accent1" w:themeShade="80"/>
        </w:rPr>
        <w:t xml:space="preserve"> </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b/>
          <w:color w:val="244061" w:themeColor="accent1" w:themeShade="80"/>
        </w:rPr>
        <w:t>OPTION 3</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color w:val="000000"/>
        </w:rPr>
        <w:t>The proposed rules are not subject to existing compliance and local plan compatibility procedures</w:t>
      </w:r>
      <w:r w:rsidR="005A3C33" w:rsidRPr="00056175">
        <w:rPr>
          <w:rFonts w:ascii="Times New Roman" w:eastAsia="Times New Roman" w:hAnsi="Times New Roman" w:cs="Times New Roman"/>
          <w:color w:val="000000"/>
        </w:rPr>
        <w:t xml:space="preserve">. </w:t>
      </w:r>
    </w:p>
    <w:p w:rsidR="00275FC0" w:rsidRPr="00275FC0" w:rsidRDefault="00275FC0" w:rsidP="00CB5339">
      <w:pPr>
        <w:pStyle w:val="ListParagraph"/>
        <w:spacing w:after="120"/>
        <w:ind w:right="630"/>
        <w:contextualSpacing w:val="0"/>
        <w:rPr>
          <w:rFonts w:asciiTheme="majorHAnsi" w:eastAsia="Times New Roman" w:hAnsiTheme="majorHAnsi" w:cstheme="majorHAnsi"/>
          <w:bCs/>
          <w:sz w:val="22"/>
          <w:szCs w:val="22"/>
        </w:rPr>
      </w:pPr>
      <w:r w:rsidRPr="00275FC0">
        <w:rPr>
          <w:rFonts w:ascii="Times New Roman" w:eastAsia="Times New Roman" w:hAnsi="Times New Roman" w:cs="Times New Roman"/>
        </w:rPr>
        <w:t>N/A</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8" w:history="1">
        <w:r w:rsidRPr="008C3AB5">
          <w:rPr>
            <w:rStyle w:val="Hyperlink"/>
            <w:rFonts w:asciiTheme="minorHAnsi" w:hAnsiTheme="minorHAnsi" w:cstheme="minorHAnsi"/>
            <w:sz w:val="22"/>
            <w:szCs w:val="22"/>
          </w:rPr>
          <w:t xml:space="preserve">Advisory Committee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29"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0"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1"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7A4657" w:rsidP="000E287E">
            <w:pPr>
              <w:rPr>
                <w:color w:val="auto"/>
              </w:rPr>
            </w:pPr>
            <w:hyperlink r:id="rId32"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7A4657" w:rsidP="000E287E">
            <w:hyperlink r:id="rId33"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7A4657" w:rsidP="000E287E">
            <w:pPr>
              <w:rPr>
                <w:color w:val="auto"/>
              </w:rPr>
            </w:pPr>
            <w:hyperlink r:id="rId34"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lastRenderedPageBreak/>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7A4657" w:rsidP="000E287E">
            <w:hyperlink r:id="rId35"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7A4657" w:rsidP="000E287E">
            <w:pPr>
              <w:rPr>
                <w:color w:val="auto"/>
              </w:rPr>
            </w:pPr>
            <w:hyperlink r:id="rId36"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7A4657" w:rsidP="000E287E">
            <w:hyperlink r:id="rId37"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7A4657" w:rsidP="000E287E">
            <w:pPr>
              <w:rPr>
                <w:color w:val="auto"/>
              </w:rPr>
            </w:pPr>
            <w:hyperlink r:id="rId38"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7A4657" w:rsidP="000E287E">
            <w:hyperlink r:id="rId39"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7A4657" w:rsidP="000E287E">
            <w:pPr>
              <w:rPr>
                <w:color w:val="auto"/>
              </w:rPr>
            </w:pPr>
            <w:hyperlink r:id="rId40"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Willamette Riverkeeper</w:t>
            </w:r>
          </w:p>
        </w:tc>
        <w:tc>
          <w:tcPr>
            <w:tcW w:w="3423" w:type="dxa"/>
            <w:tcBorders>
              <w:left w:val="single" w:sz="4" w:space="0" w:color="auto"/>
              <w:bottom w:val="double" w:sz="6" w:space="0" w:color="auto"/>
            </w:tcBorders>
            <w:shd w:val="clear" w:color="auto" w:fill="FFFFFF" w:themeFill="background1"/>
          </w:tcPr>
          <w:p w:rsidR="000E287E" w:rsidRPr="00010295" w:rsidRDefault="007A4657" w:rsidP="000E287E">
            <w:hyperlink r:id="rId41"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2"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0C7A69">
        <w:rPr>
          <w:rFonts w:asciiTheme="minorHAnsi" w:eastAsia="Times New Roman" w:hAnsiTheme="minorHAnsi" w:cstheme="minorHAnsi"/>
          <w:bCs/>
          <w:color w:val="000000" w:themeColor="text1"/>
          <w:highlight w:val="yellow"/>
        </w:rPr>
        <w:t>mmm</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dd</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0C7A69">
        <w:rPr>
          <w:rFonts w:asciiTheme="minorHAnsi" w:eastAsia="Times New Roman" w:hAnsiTheme="minorHAnsi" w:cstheme="minorHAnsi"/>
          <w:color w:val="000000" w:themeColor="text1"/>
          <w:highlight w:val="yellow"/>
        </w:rPr>
        <w:t>####</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7"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7"/>
      <w:proofErr w:type="spellEnd"/>
      <w:r w:rsidR="00C22E0C"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43"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Senator </w:t>
      </w:r>
      <w:proofErr w:type="spellStart"/>
      <w:r w:rsidRPr="000C7A69">
        <w:rPr>
          <w:rFonts w:asciiTheme="minorHAnsi" w:hAnsiTheme="minorHAnsi" w:cstheme="minorHAnsi"/>
        </w:rPr>
        <w:t>Dingfelder</w:t>
      </w:r>
      <w:proofErr w:type="spellEnd"/>
      <w:r w:rsidRPr="000C7A69">
        <w:rPr>
          <w:rFonts w:asciiTheme="minorHAnsi" w:hAnsiTheme="minorHAnsi" w:cstheme="minorHAnsi"/>
        </w:rPr>
        <w:t>,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proofErr w:type="spellStart"/>
      <w:r w:rsidR="00FE52C2" w:rsidRPr="000C7A69">
        <w:rPr>
          <w:rFonts w:asciiTheme="minorHAnsi" w:eastAsia="Times New Roman" w:hAnsiTheme="minorHAnsi" w:cstheme="minorHAnsi"/>
          <w:bCs/>
          <w:color w:val="000000" w:themeColor="text1"/>
          <w:highlight w:val="yellow"/>
        </w:rPr>
        <w:t>mmm</w:t>
      </w:r>
      <w:proofErr w:type="spellEnd"/>
      <w:r w:rsidR="00FE52C2" w:rsidRPr="000C7A69">
        <w:rPr>
          <w:rFonts w:asciiTheme="minorHAnsi" w:eastAsia="Times New Roman" w:hAnsiTheme="minorHAnsi" w:cstheme="minorHAnsi"/>
          <w:bCs/>
          <w:color w:val="000000" w:themeColor="text1"/>
          <w:highlight w:val="yellow"/>
        </w:rPr>
        <w:t xml:space="preserve"> </w:t>
      </w:r>
      <w:proofErr w:type="spellStart"/>
      <w:r w:rsidR="00FE52C2" w:rsidRPr="000C7A69">
        <w:rPr>
          <w:rFonts w:asciiTheme="minorHAnsi" w:eastAsia="Times New Roman" w:hAnsiTheme="minorHAnsi" w:cstheme="minorHAnsi"/>
          <w:bCs/>
          <w:color w:val="000000" w:themeColor="text1"/>
          <w:highlight w:val="yellow"/>
        </w:rPr>
        <w:t>dd</w:t>
      </w:r>
      <w:proofErr w:type="spellEnd"/>
      <w:r w:rsidR="00FE52C2" w:rsidRPr="000C7A69">
        <w:rPr>
          <w:rFonts w:asciiTheme="minorHAnsi" w:eastAsia="Times New Roman" w:hAnsiTheme="minorHAnsi" w:cstheme="minorHAnsi"/>
          <w:bCs/>
          <w:color w:val="000000" w:themeColor="text1"/>
          <w:highlight w:val="yellow"/>
        </w:rPr>
        <w:t xml:space="preserve">, </w:t>
      </w:r>
      <w:proofErr w:type="spellStart"/>
      <w:r w:rsidR="00FE52C2"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5D8" w:rsidRDefault="004B75D8" w:rsidP="00160F76">
      <w:r>
        <w:separator/>
      </w:r>
    </w:p>
  </w:endnote>
  <w:endnote w:type="continuationSeparator" w:id="0">
    <w:p w:rsidR="004B75D8" w:rsidRDefault="004B75D8"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B75D8" w:rsidRDefault="004B75D8">
            <w:pPr>
              <w:pStyle w:val="Footer"/>
              <w:jc w:val="right"/>
            </w:pPr>
            <w:r>
              <w:t xml:space="preserve">Page </w:t>
            </w:r>
            <w:r w:rsidR="007A4657">
              <w:rPr>
                <w:b/>
              </w:rPr>
              <w:fldChar w:fldCharType="begin"/>
            </w:r>
            <w:r>
              <w:rPr>
                <w:b/>
              </w:rPr>
              <w:instrText xml:space="preserve"> PAGE </w:instrText>
            </w:r>
            <w:r w:rsidR="007A4657">
              <w:rPr>
                <w:b/>
              </w:rPr>
              <w:fldChar w:fldCharType="separate"/>
            </w:r>
            <w:r w:rsidR="00CB0016">
              <w:rPr>
                <w:b/>
                <w:noProof/>
              </w:rPr>
              <w:t>17</w:t>
            </w:r>
            <w:r w:rsidR="007A4657">
              <w:rPr>
                <w:b/>
              </w:rPr>
              <w:fldChar w:fldCharType="end"/>
            </w:r>
            <w:r>
              <w:t xml:space="preserve"> of </w:t>
            </w:r>
            <w:r w:rsidR="007A4657">
              <w:rPr>
                <w:b/>
              </w:rPr>
              <w:fldChar w:fldCharType="begin"/>
            </w:r>
            <w:r>
              <w:rPr>
                <w:b/>
              </w:rPr>
              <w:instrText xml:space="preserve"> NUMPAGES  </w:instrText>
            </w:r>
            <w:r w:rsidR="007A4657">
              <w:rPr>
                <w:b/>
              </w:rPr>
              <w:fldChar w:fldCharType="separate"/>
            </w:r>
            <w:r w:rsidR="00CB0016">
              <w:rPr>
                <w:b/>
                <w:noProof/>
              </w:rPr>
              <w:t>19</w:t>
            </w:r>
            <w:r w:rsidR="007A4657">
              <w:rPr>
                <w:b/>
              </w:rPr>
              <w:fldChar w:fldCharType="end"/>
            </w:r>
          </w:p>
        </w:sdtContent>
      </w:sdt>
    </w:sdtContent>
  </w:sdt>
  <w:p w:rsidR="004B75D8" w:rsidRDefault="004B7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5D8" w:rsidRDefault="004B75D8" w:rsidP="00160F76">
      <w:r>
        <w:separator/>
      </w:r>
    </w:p>
  </w:footnote>
  <w:footnote w:type="continuationSeparator" w:id="0">
    <w:p w:rsidR="004B75D8" w:rsidRDefault="004B75D8"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B2549"/>
    <w:rsid w:val="002B4DCF"/>
    <w:rsid w:val="002B64DA"/>
    <w:rsid w:val="002B66A8"/>
    <w:rsid w:val="002C7A23"/>
    <w:rsid w:val="002D272D"/>
    <w:rsid w:val="002E24C3"/>
    <w:rsid w:val="002E27EF"/>
    <w:rsid w:val="002E283F"/>
    <w:rsid w:val="002E4AA0"/>
    <w:rsid w:val="002E4B0F"/>
    <w:rsid w:val="002E5F1C"/>
    <w:rsid w:val="002F0C40"/>
    <w:rsid w:val="002F204B"/>
    <w:rsid w:val="002F3458"/>
    <w:rsid w:val="002F5550"/>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4EDF"/>
    <w:rsid w:val="00407408"/>
    <w:rsid w:val="004147B4"/>
    <w:rsid w:val="00417482"/>
    <w:rsid w:val="0042225B"/>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56F8"/>
    <w:rsid w:val="00D468BE"/>
    <w:rsid w:val="00D47121"/>
    <w:rsid w:val="00D47FDF"/>
    <w:rsid w:val="00D537F4"/>
    <w:rsid w:val="00D574D7"/>
    <w:rsid w:val="00D57C32"/>
    <w:rsid w:val="00D61DA4"/>
    <w:rsid w:val="00D62070"/>
    <w:rsid w:val="00D63865"/>
    <w:rsid w:val="00D70112"/>
    <w:rsid w:val="00D754D3"/>
    <w:rsid w:val="00D90062"/>
    <w:rsid w:val="00D9108B"/>
    <w:rsid w:val="00DA486D"/>
    <w:rsid w:val="00DA59A9"/>
    <w:rsid w:val="00DB6D3B"/>
    <w:rsid w:val="00DB7182"/>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arcweb.sos.state.or.us/pages/rules/oars_300/oar_340/340_tofc.html" TargetMode="External"/><Relationship Id="rId26" Type="http://schemas.openxmlformats.org/officeDocument/2006/relationships/hyperlink" Target="http://arcweb.sos.state.or.us/pages/rules/oars_300/oar_340/340_018.html" TargetMode="External"/><Relationship Id="rId39" Type="http://schemas.openxmlformats.org/officeDocument/2006/relationships/hyperlink" Target="mailto:kathryn@nwpulpandpaper.org" TargetMode="External"/><Relationship Id="rId3" Type="http://schemas.openxmlformats.org/officeDocument/2006/relationships/customXml" Target="../customXml/item3.xml"/><Relationship Id="rId21" Type="http://schemas.openxmlformats.org/officeDocument/2006/relationships/hyperlink" Target="http://www.deq.state.or.us/about/eqc/agendas/attachments/may2004/5.20.04.ItemB.AttchF.pdf" TargetMode="External"/><Relationship Id="rId34" Type="http://schemas.openxmlformats.org/officeDocument/2006/relationships/hyperlink" Target="mailto:collins.kathleen@epa.gov" TargetMode="External"/><Relationship Id="rId42"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q.state.or.us/wq/standards/docs/toxics/ResponseLetterEPA.pdf"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hyperlink" Target="mailto:bard@critfc.org" TargetMode="External"/><Relationship Id="rId38" Type="http://schemas.openxmlformats.org/officeDocument/2006/relationships/hyperlink" Target="mailto:matzke.andrea@deq.state.or.u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wq/standards/toxic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41" Type="http://schemas.openxmlformats.org/officeDocument/2006/relationships/hyperlink" Target="mailto:travis@willametteriverkeep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yperlink" Target="mailto:curtisb@co.clackamas.or.us" TargetMode="External"/><Relationship Id="rId37" Type="http://schemas.openxmlformats.org/officeDocument/2006/relationships/hyperlink" Target="mailto:johnledger@aoi.org" TargetMode="External"/><Relationship Id="rId40" Type="http://schemas.openxmlformats.org/officeDocument/2006/relationships/hyperlink" Target="mailto:wigal.jennifer@deq.state.or.us"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deq.state.or.us/wq/standards/docs/Charter.pdf" TargetMode="External"/><Relationship Id="rId36" Type="http://schemas.openxmlformats.org/officeDocument/2006/relationships/hyperlink" Target="mailto:Mike@oregonfb.org"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deq.state.or.us/wq/standards/toxics.htm" TargetMode="External"/><Relationship Id="rId31" Type="http://schemas.openxmlformats.org/officeDocument/2006/relationships/hyperlink" Target="http://www.deq.state.or.us/wq/standards/docs/Minutes071113.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sps/programs/rulemaking/qcards/0-RuleBasics.pptx"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hyperlink" Target="mailto:Heath@ofic.com" TargetMode="External"/><Relationship Id="rId43"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E032E"/>
    <w:rsid w:val="002E668F"/>
    <w:rsid w:val="002F2A75"/>
    <w:rsid w:val="00301104"/>
    <w:rsid w:val="00304F82"/>
    <w:rsid w:val="00310F26"/>
    <w:rsid w:val="0033322E"/>
    <w:rsid w:val="00386DB7"/>
    <w:rsid w:val="003C1C24"/>
    <w:rsid w:val="003F11D8"/>
    <w:rsid w:val="00406E43"/>
    <w:rsid w:val="00453E65"/>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5357B"/>
    <w:rsid w:val="00B71643"/>
    <w:rsid w:val="00BE675B"/>
    <w:rsid w:val="00C571CD"/>
    <w:rsid w:val="00C57378"/>
    <w:rsid w:val="00C84407"/>
    <w:rsid w:val="00C96CBE"/>
    <w:rsid w:val="00CC2D13"/>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13AD1-2BF5-4FED-8194-77C24A201C47}"/>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590072EE-B810-4A9E-99EE-4DB7BFEFBA72}"/>
</file>

<file path=docProps/app.xml><?xml version="1.0" encoding="utf-8"?>
<Properties xmlns="http://schemas.openxmlformats.org/officeDocument/2006/extended-properties" xmlns:vt="http://schemas.openxmlformats.org/officeDocument/2006/docPropsVTypes">
  <Template>Normal</Template>
  <TotalTime>477</TotalTime>
  <Pages>19</Pages>
  <Words>5501</Words>
  <Characters>31358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9</cp:revision>
  <cp:lastPrinted>2013-07-26T16:42:00Z</cp:lastPrinted>
  <dcterms:created xsi:type="dcterms:W3CDTF">2013-07-26T16:53:00Z</dcterms:created>
  <dcterms:modified xsi:type="dcterms:W3CDTF">2013-07-31T19:39:00Z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