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102"/>
        <w:gridCol w:w="921"/>
      </w:tblGrid>
      <w:tr w:rsidR="007F373C" w:rsidRPr="007F373C" w:rsidTr="007F373C">
        <w:trPr>
          <w:tblCellSpacing w:w="0" w:type="dxa"/>
          <w:hidden/>
        </w:trPr>
        <w:tc>
          <w:tcPr>
            <w:tcW w:w="6" w:type="dxa"/>
            <w:tcMar>
              <w:top w:w="125" w:type="dxa"/>
              <w:left w:w="63" w:type="dxa"/>
              <w:bottom w:w="0" w:type="dxa"/>
              <w:right w:w="63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88"/>
              <w:gridCol w:w="5988"/>
            </w:tblGrid>
            <w:tr w:rsidR="007F373C" w:rsidRPr="007F373C" w:rsidTr="007F373C">
              <w:trPr>
                <w:tblCellSpacing w:w="15" w:type="dxa"/>
                <w:hidden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373C" w:rsidRPr="007F373C" w:rsidRDefault="007F373C" w:rsidP="007F373C">
                  <w:pPr>
                    <w:spacing w:after="100" w:afterAutospacing="1" w:line="240" w:lineRule="auto"/>
                    <w:jc w:val="left"/>
                    <w:rPr>
                      <w:rFonts w:ascii="Verdana" w:eastAsia="Times New Roman" w:hAnsi="Verdana" w:cs="Arial"/>
                      <w:vanish/>
                      <w:color w:val="000000"/>
                      <w:sz w:val="14"/>
                      <w:szCs w:val="14"/>
                      <w:lang w:bidi="ar-SA"/>
                    </w:rPr>
                  </w:pPr>
                  <w:r w:rsidRPr="007F373C">
                    <w:rPr>
                      <w:rFonts w:ascii="Verdana" w:eastAsia="Times New Roman" w:hAnsi="Verdana" w:cs="Arial"/>
                      <w:vanish/>
                      <w:color w:val="000000"/>
                      <w:sz w:val="14"/>
                      <w:szCs w:val="14"/>
                      <w:lang w:bidi="ar-SA"/>
                    </w:rPr>
                    <w:t>Article Content</w:t>
                  </w:r>
                </w:p>
                <w:p w:rsidR="007F373C" w:rsidRPr="007F373C" w:rsidRDefault="007F373C" w:rsidP="007F373C">
                  <w:pPr>
                    <w:spacing w:after="100" w:afterAutospacing="1" w:line="240" w:lineRule="auto"/>
                    <w:jc w:val="left"/>
                    <w:rPr>
                      <w:rFonts w:ascii="Verdana" w:eastAsia="Times New Roman" w:hAnsi="Verdana" w:cs="Arial"/>
                      <w:color w:val="000000"/>
                      <w:sz w:val="14"/>
                      <w:szCs w:val="14"/>
                      <w:lang w:bidi="ar-SA"/>
                    </w:rPr>
                  </w:pPr>
                  <w:r w:rsidRPr="007F373C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bidi="ar-SA"/>
                    </w:rPr>
                    <w:t>​</w:t>
                  </w:r>
                  <w:r w:rsidRPr="007F373C">
                    <w:rPr>
                      <w:rFonts w:ascii="Verdana" w:eastAsia="Times New Roman" w:hAnsi="Verdana" w:cs="Arial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  <w:tbl>
                  <w:tblPr>
                    <w:tblpPr w:leftFromText="180" w:rightFromText="180" w:topFromText="100" w:bottomFromText="100" w:vertAnchor="text"/>
                    <w:tblW w:w="1186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27"/>
                    <w:gridCol w:w="3769"/>
                    <w:gridCol w:w="3770"/>
                  </w:tblGrid>
                  <w:tr w:rsidR="007F373C" w:rsidRPr="007F373C" w:rsidTr="007F373C">
                    <w:trPr>
                      <w:trHeight w:val="423"/>
                    </w:trPr>
                    <w:tc>
                      <w:tcPr>
                        <w:tcW w:w="11866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365F9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22"/>
                            <w:szCs w:val="22"/>
                            <w:lang w:bidi="ar-SA"/>
                          </w:rPr>
                        </w:pPr>
                        <w:bookmarkStart w:id="0" w:name="OLE_LINK12"/>
                        <w:bookmarkStart w:id="1" w:name="OLE_LINK13"/>
                        <w:r w:rsidRPr="007F373C"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22"/>
                            <w:szCs w:val="22"/>
                            <w:lang w:bidi="ar-SA"/>
                          </w:rPr>
                          <w:t>Corrections and Clarifications to Toxics Water Quality Standards 2</w:t>
                        </w:r>
                      </w:p>
                    </w:tc>
                  </w:tr>
                  <w:tr w:rsidR="007F373C" w:rsidRPr="007F373C" w:rsidTr="007F373C">
                    <w:trPr>
                      <w:trHeight w:val="933"/>
                    </w:trPr>
                    <w:tc>
                      <w:tcPr>
                        <w:tcW w:w="11866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The EQC amended water quality standards rules for toxic substances to correct and clarify the standards. </w:t>
                        </w:r>
                      </w:p>
                      <w:p w:rsidR="007F373C" w:rsidRPr="007F373C" w:rsidRDefault="007F373C" w:rsidP="007F37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Contact: </w:t>
                        </w:r>
                        <w:hyperlink r:id="rId5" w:history="1">
                          <w:r w:rsidRPr="007F373C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 xml:space="preserve">Andrea </w:t>
                          </w:r>
                          <w:proofErr w:type="spellStart"/>
                          <w:r w:rsidRPr="007F373C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Matzke</w:t>
                          </w:r>
                          <w:proofErr w:type="spellEnd"/>
                        </w:hyperlink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503-229-5384</w:t>
                        </w:r>
                      </w:p>
                    </w:tc>
                  </w:tr>
                  <w:tr w:rsidR="007F373C" w:rsidRPr="007F373C" w:rsidTr="007F373C">
                    <w:trPr>
                      <w:trHeight w:val="370"/>
                    </w:trPr>
                    <w:tc>
                      <w:tcPr>
                        <w:tcW w:w="11866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BE5F1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Public Involvement</w:t>
                        </w:r>
                      </w:p>
                    </w:tc>
                  </w:tr>
                  <w:tr w:rsidR="007F373C" w:rsidRPr="007F373C" w:rsidTr="007F373C">
                    <w:trPr>
                      <w:trHeight w:val="1582"/>
                    </w:trPr>
                    <w:tc>
                      <w:tcPr>
                        <w:tcW w:w="432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hyperlink r:id="rId6" w:history="1">
                          <w:r w:rsidRPr="007F373C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View comments</w:t>
                          </w:r>
                        </w:hyperlink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  <w:t>Public comment closed Sept. 30, 2013</w:t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hyperlink r:id="rId7" w:history="1">
                          <w:r w:rsidRPr="007F373C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Advisory committee</w:t>
                          </w:r>
                        </w:hyperlink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hyperlink r:id="rId8" w:history="1">
                          <w:r w:rsidRPr="007F373C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Public notice packet</w:t>
                          </w:r>
                        </w:hyperlink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includes:</w:t>
                        </w: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  <w:t>Invitation to comment</w:t>
                        </w:r>
                      </w:p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Proposed rules</w:t>
                        </w:r>
                      </w:p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Notice</w:t>
                        </w:r>
                      </w:p>
                    </w:tc>
                  </w:tr>
                  <w:tr w:rsidR="007F373C" w:rsidRPr="007F373C" w:rsidTr="007F373C">
                    <w:trPr>
                      <w:trHeight w:val="388"/>
                    </w:trPr>
                    <w:tc>
                      <w:tcPr>
                        <w:tcW w:w="11866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BE5F1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Environmental Quality Commission action</w:t>
                        </w:r>
                      </w:p>
                    </w:tc>
                  </w:tr>
                  <w:tr w:rsidR="007F373C" w:rsidRPr="007F373C" w:rsidTr="007F373C">
                    <w:trPr>
                      <w:trHeight w:val="829"/>
                    </w:trPr>
                    <w:tc>
                      <w:tcPr>
                        <w:tcW w:w="432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EQC meeting held Dec. 11-12, 2013</w:t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Materials</w:t>
                        </w: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</w:r>
                        <w:hyperlink r:id="rId9" w:history="1">
                          <w:r w:rsidRPr="007F373C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Agenda Item Q</w:t>
                          </w:r>
                        </w:hyperlink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includes:</w:t>
                        </w: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  <w:t>Staff report</w:t>
                        </w: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  <w:t>Proposed rules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Resolution</w:t>
                        </w: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</w:r>
                        <w:hyperlink r:id="rId10" w:history="1">
                          <w:r w:rsidRPr="007F373C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Adopted rules</w:t>
                          </w:r>
                        </w:hyperlink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</w:r>
                        <w:hyperlink r:id="rId11" w:history="1">
                          <w:r w:rsidRPr="00464A1F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Mi</w:t>
                          </w:r>
                          <w:r w:rsidRPr="00464A1F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n</w:t>
                          </w:r>
                          <w:r w:rsidRPr="00464A1F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u</w:t>
                          </w:r>
                          <w:r w:rsidRPr="00464A1F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tes</w:t>
                          </w:r>
                        </w:hyperlink>
                        <w:r w:rsidRPr="00464A1F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br/>
                        </w:r>
                        <w:hyperlink r:id="rId12" w:history="1">
                          <w:r w:rsidRPr="00464A1F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Au</w:t>
                          </w:r>
                          <w:r w:rsidRPr="00464A1F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d</w:t>
                          </w:r>
                          <w:r w:rsidRPr="00464A1F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io</w:t>
                          </w:r>
                        </w:hyperlink>
                      </w:p>
                    </w:tc>
                  </w:tr>
                  <w:tr w:rsidR="007F373C" w:rsidRPr="007F373C" w:rsidTr="007F373C">
                    <w:trPr>
                      <w:trHeight w:val="352"/>
                    </w:trPr>
                    <w:tc>
                      <w:tcPr>
                        <w:tcW w:w="11866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BE5F1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Filed with Secretary of State</w:t>
                        </w:r>
                      </w:p>
                    </w:tc>
                  </w:tr>
                  <w:tr w:rsidR="007F373C" w:rsidRPr="007F373C" w:rsidTr="007F373C">
                    <w:trPr>
                      <w:trHeight w:val="784"/>
                    </w:trPr>
                    <w:tc>
                      <w:tcPr>
                        <w:tcW w:w="432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Filed and effective April 18, 2014 and upon EPA approval</w:t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</w:pPr>
                        <w:hyperlink r:id="rId13" w:history="1">
                          <w:r w:rsidRPr="007F373C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Feb. 2014 Oreg</w:t>
                          </w:r>
                          <w:r w:rsidRPr="007F373C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o</w:t>
                          </w:r>
                          <w:r w:rsidRPr="007F373C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n Bulletin</w:t>
                          </w:r>
                        </w:hyperlink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F373C" w:rsidRPr="007F373C" w:rsidRDefault="007F373C" w:rsidP="007F373C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​</w:t>
                        </w:r>
                        <w:proofErr w:type="gramStart"/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Administrative Order No.</w:t>
                        </w:r>
                        <w:proofErr w:type="gramEnd"/>
                        <w:r w:rsidRPr="007F373C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DEQ 17-2013</w:t>
                        </w:r>
                      </w:p>
                    </w:tc>
                  </w:tr>
                  <w:bookmarkEnd w:id="0"/>
                  <w:bookmarkEnd w:id="1"/>
                </w:tbl>
                <w:p w:rsidR="007F373C" w:rsidRPr="007F373C" w:rsidRDefault="007F373C" w:rsidP="007F373C">
                  <w:pPr>
                    <w:spacing w:after="100" w:afterAutospacing="1" w:line="240" w:lineRule="auto"/>
                    <w:jc w:val="left"/>
                    <w:rPr>
                      <w:rFonts w:ascii="Verdana" w:eastAsia="Times New Roman" w:hAnsi="Verdana" w:cs="Arial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7F373C" w:rsidRPr="007F373C" w:rsidTr="007F37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73C" w:rsidRPr="007F373C" w:rsidRDefault="007F373C" w:rsidP="007F373C">
                  <w:pPr>
                    <w:spacing w:after="100" w:afterAutospacing="1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3C" w:rsidRPr="007F373C" w:rsidRDefault="007F373C" w:rsidP="007F373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</w:tr>
            <w:tr w:rsidR="007F373C" w:rsidRPr="007F373C" w:rsidTr="007F373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373C" w:rsidRPr="007F373C" w:rsidRDefault="007F373C" w:rsidP="007F373C">
                  <w:pPr>
                    <w:spacing w:after="100" w:afterAutospacing="1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lang w:bidi="ar-SA"/>
                    </w:rPr>
                  </w:pPr>
                </w:p>
              </w:tc>
            </w:tr>
          </w:tbl>
          <w:p w:rsidR="007F373C" w:rsidRPr="007F373C" w:rsidRDefault="007F373C" w:rsidP="007F37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bidi="ar-SA"/>
              </w:rPr>
            </w:pPr>
          </w:p>
        </w:tc>
        <w:tc>
          <w:tcPr>
            <w:tcW w:w="2254" w:type="dxa"/>
            <w:hideMark/>
          </w:tcPr>
          <w:p w:rsidR="007F373C" w:rsidRPr="007F373C" w:rsidRDefault="007F373C" w:rsidP="007F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SA"/>
              </w:rPr>
            </w:pPr>
          </w:p>
        </w:tc>
      </w:tr>
      <w:tr w:rsidR="007F373C" w:rsidRPr="007F373C" w:rsidTr="007F373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373C" w:rsidRPr="007F373C" w:rsidRDefault="007F373C" w:rsidP="007F37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bidi="ar-SA"/>
              </w:rPr>
            </w:pPr>
          </w:p>
        </w:tc>
      </w:tr>
    </w:tbl>
    <w:p w:rsidR="00C61511" w:rsidRDefault="00C61511"/>
    <w:sectPr w:rsidR="00C61511" w:rsidSect="007F37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1728"/>
  <w:revisionView w:inkAnnotations="0"/>
  <w:defaultTabStop w:val="720"/>
  <w:drawingGridHorizontalSpacing w:val="100"/>
  <w:displayHorizontalDrawingGridEvery w:val="2"/>
  <w:characterSpacingControl w:val="doNotCompress"/>
  <w:compat/>
  <w:rsids>
    <w:rsidRoot w:val="007F373C"/>
    <w:rsid w:val="00047512"/>
    <w:rsid w:val="0007121C"/>
    <w:rsid w:val="0007758A"/>
    <w:rsid w:val="00081375"/>
    <w:rsid w:val="00092BD8"/>
    <w:rsid w:val="00093587"/>
    <w:rsid w:val="000A207D"/>
    <w:rsid w:val="000F3297"/>
    <w:rsid w:val="0012757B"/>
    <w:rsid w:val="00173DD9"/>
    <w:rsid w:val="001843EA"/>
    <w:rsid w:val="00191F63"/>
    <w:rsid w:val="001B1799"/>
    <w:rsid w:val="001B2C46"/>
    <w:rsid w:val="001C4FC0"/>
    <w:rsid w:val="001D464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70282"/>
    <w:rsid w:val="003F55BA"/>
    <w:rsid w:val="00406CA6"/>
    <w:rsid w:val="0041427E"/>
    <w:rsid w:val="0045697A"/>
    <w:rsid w:val="00483513"/>
    <w:rsid w:val="00491CBA"/>
    <w:rsid w:val="004A26CB"/>
    <w:rsid w:val="004B07ED"/>
    <w:rsid w:val="004D2118"/>
    <w:rsid w:val="00542DAA"/>
    <w:rsid w:val="00555005"/>
    <w:rsid w:val="0057711C"/>
    <w:rsid w:val="005C2368"/>
    <w:rsid w:val="005C7944"/>
    <w:rsid w:val="005E5AC6"/>
    <w:rsid w:val="00610595"/>
    <w:rsid w:val="006121AD"/>
    <w:rsid w:val="006352D3"/>
    <w:rsid w:val="00641B34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E5321"/>
    <w:rsid w:val="007F373C"/>
    <w:rsid w:val="007F3BA1"/>
    <w:rsid w:val="00863601"/>
    <w:rsid w:val="00897C67"/>
    <w:rsid w:val="008A59D7"/>
    <w:rsid w:val="008C11A0"/>
    <w:rsid w:val="008D041A"/>
    <w:rsid w:val="0090032D"/>
    <w:rsid w:val="009622CC"/>
    <w:rsid w:val="00973525"/>
    <w:rsid w:val="00985E75"/>
    <w:rsid w:val="009B355B"/>
    <w:rsid w:val="009C0F09"/>
    <w:rsid w:val="009C3879"/>
    <w:rsid w:val="009C4F7D"/>
    <w:rsid w:val="00A075B4"/>
    <w:rsid w:val="00A17568"/>
    <w:rsid w:val="00A26526"/>
    <w:rsid w:val="00A935CD"/>
    <w:rsid w:val="00AA2895"/>
    <w:rsid w:val="00AA29E8"/>
    <w:rsid w:val="00AD1E18"/>
    <w:rsid w:val="00B144AF"/>
    <w:rsid w:val="00B14677"/>
    <w:rsid w:val="00B25CFE"/>
    <w:rsid w:val="00B53BBC"/>
    <w:rsid w:val="00B63031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C5405"/>
    <w:rsid w:val="00CE15F0"/>
    <w:rsid w:val="00CE72B3"/>
    <w:rsid w:val="00CF1678"/>
    <w:rsid w:val="00CF4CFA"/>
    <w:rsid w:val="00D11374"/>
    <w:rsid w:val="00D56F36"/>
    <w:rsid w:val="00D6283B"/>
    <w:rsid w:val="00D86A27"/>
    <w:rsid w:val="00DB098B"/>
    <w:rsid w:val="00E0293E"/>
    <w:rsid w:val="00E0408C"/>
    <w:rsid w:val="00E2312F"/>
    <w:rsid w:val="00E24C44"/>
    <w:rsid w:val="00E4581E"/>
    <w:rsid w:val="00E7165B"/>
    <w:rsid w:val="00EA5DA8"/>
    <w:rsid w:val="00ED048B"/>
    <w:rsid w:val="00ED6E5E"/>
    <w:rsid w:val="00EF2809"/>
    <w:rsid w:val="00F00DCD"/>
    <w:rsid w:val="00F23647"/>
    <w:rsid w:val="00F7042C"/>
    <w:rsid w:val="00F962DA"/>
    <w:rsid w:val="00F971EB"/>
    <w:rsid w:val="00FB0602"/>
    <w:rsid w:val="00FB2290"/>
    <w:rsid w:val="00FB3A8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AC"/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paragraph" w:customStyle="1" w:styleId="bodywellcontenttable1">
    <w:name w:val="bodywellcontenttable1"/>
    <w:basedOn w:val="Normal"/>
    <w:rsid w:val="007F373C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or-rtethemefontface-21">
    <w:name w:val="or-rtethemefontface-21"/>
    <w:basedOn w:val="DefaultParagraphFont"/>
    <w:rsid w:val="007F373C"/>
    <w:rPr>
      <w:rFonts w:ascii="Arial" w:hAnsi="Arial" w:cs="Arial" w:hint="default"/>
    </w:rPr>
  </w:style>
  <w:style w:type="character" w:styleId="Hyperlink">
    <w:name w:val="Hyperlink"/>
    <w:basedOn w:val="DefaultParagraphFont"/>
    <w:uiPriority w:val="99"/>
    <w:unhideWhenUsed/>
    <w:rsid w:val="007F373C"/>
    <w:rPr>
      <w:color w:val="2D437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73C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9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7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5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96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Documents/WQToxics.NOTICE.pdf" TargetMode="External"/><Relationship Id="rId13" Type="http://schemas.openxmlformats.org/officeDocument/2006/relationships/hyperlink" Target="http://arcweb.sos.state.or.us/pages/rules/bulletin/0214_bulletin/0214_ch340_bulleti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q.state.or.us/wq/standards/StandardsClarification.htm" TargetMode="External"/><Relationship Id="rId12" Type="http://schemas.openxmlformats.org/officeDocument/2006/relationships/hyperlink" Target="http://www.oregon.gov/deq/EQC/Audio/January2014/ItemQ.mp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gon.gov/deq/RulesandRegulations/Pages/rulecommentwqtoxics.aspx" TargetMode="External"/><Relationship Id="rId11" Type="http://schemas.openxmlformats.org/officeDocument/2006/relationships/hyperlink" Target="http://www.oregon.gov/deq/EQC/Documents/Minutes/EQCminutes1213.pdf" TargetMode="External"/><Relationship Id="rId5" Type="http://schemas.openxmlformats.org/officeDocument/2006/relationships/hyperlink" Target="mailto:matzke.andrea@deq.state.or.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regon.gov/deq/RulesandRegulations/Documents/toxics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deq/EQC/Pages/EQCAgendas2013/EQCdecAgenda120313.aspx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FA247-A6AE-4273-A44B-57E87D65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1277</Characters>
  <Application>Microsoft Office Word</Application>
  <DocSecurity>0</DocSecurity>
  <Lines>10</Lines>
  <Paragraphs>2</Paragraphs>
  <ScaleCrop>false</ScaleCrop>
  <Company>State of Oregon Department of Environmental Quality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1</cp:revision>
  <dcterms:created xsi:type="dcterms:W3CDTF">2014-02-20T21:40:00Z</dcterms:created>
  <dcterms:modified xsi:type="dcterms:W3CDTF">2014-02-20T21:48:00Z</dcterms:modified>
</cp:coreProperties>
</file>