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75" w:rsidRPr="00AD5C75" w:rsidRDefault="00AD5C75" w:rsidP="00AD5C75">
      <w:pPr>
        <w:pStyle w:val="NormalWeb"/>
        <w:shd w:val="clear" w:color="auto" w:fill="FFFFFF"/>
        <w:jc w:val="center"/>
        <w:rPr>
          <w:rFonts w:ascii="Arial" w:hAnsi="Arial" w:cs="Arial"/>
          <w:b/>
          <w:color w:val="000000"/>
          <w:sz w:val="12"/>
          <w:szCs w:val="12"/>
        </w:rPr>
      </w:pPr>
      <w:r w:rsidRPr="00AD5C75">
        <w:rPr>
          <w:b/>
        </w:rPr>
        <w:t>Proposed Revisions to OAR 340-041 (</w:t>
      </w:r>
      <w:hyperlink r:id="rId7" w:history="1">
        <w:r w:rsidRPr="00AD5C75">
          <w:rPr>
            <w:b/>
          </w:rPr>
          <w:t xml:space="preserve">Water Quality Standards: Beneficial Uses, </w:t>
        </w:r>
      </w:hyperlink>
      <w:r w:rsidRPr="00AD5C75">
        <w:rPr>
          <w:b/>
        </w:rPr>
        <w:br/>
      </w:r>
      <w:hyperlink r:id="rId8" w:history="1">
        <w:r w:rsidRPr="00AD5C75">
          <w:rPr>
            <w:b/>
          </w:rPr>
          <w:t xml:space="preserve">Policies, and Criteria </w:t>
        </w:r>
        <w:proofErr w:type="gramStart"/>
        <w:r w:rsidRPr="00AD5C75">
          <w:rPr>
            <w:b/>
          </w:rPr>
          <w:t>For</w:t>
        </w:r>
        <w:proofErr w:type="gramEnd"/>
        <w:r w:rsidRPr="00AD5C75">
          <w:rPr>
            <w:b/>
          </w:rPr>
          <w:t xml:space="preserve"> Oregon</w:t>
        </w:r>
      </w:hyperlink>
      <w:r w:rsidRPr="00AD5C75">
        <w:rPr>
          <w:b/>
        </w:rPr>
        <w:t>) and OAR 340-040 (</w:t>
      </w:r>
      <w:hyperlink r:id="rId9" w:history="1">
        <w:r w:rsidRPr="00AD5C75">
          <w:rPr>
            <w:b/>
          </w:rPr>
          <w:t>Groundwater Quality Protection</w:t>
        </w:r>
      </w:hyperlink>
      <w:r w:rsidRPr="00AD5C75">
        <w:rPr>
          <w:b/>
        </w:rPr>
        <w:t>)</w:t>
      </w:r>
    </w:p>
    <w:p w:rsidR="00AD5C75" w:rsidRDefault="00AD5C75" w:rsidP="00AD5C75">
      <w:pPr>
        <w:pStyle w:val="NormalWeb"/>
        <w:shd w:val="clear" w:color="auto" w:fill="FFFFFF"/>
        <w:rPr>
          <w:rFonts w:ascii="Arial" w:hAnsi="Arial" w:cs="Arial"/>
          <w:color w:val="000000"/>
          <w:sz w:val="12"/>
          <w:szCs w:val="12"/>
        </w:rPr>
      </w:pPr>
    </w:p>
    <w:p w:rsidR="00E05271" w:rsidRPr="00AD5C75" w:rsidRDefault="00B81EE0">
      <w:pPr>
        <w:rPr>
          <w:rFonts w:ascii="Times New Roman" w:hAnsi="Times New Roman" w:cs="Times New Roman"/>
          <w:b/>
          <w:u w:val="single"/>
        </w:rPr>
      </w:pPr>
      <w:r>
        <w:rPr>
          <w:rFonts w:ascii="Times New Roman" w:hAnsi="Times New Roman" w:cs="Times New Roman"/>
          <w:b/>
          <w:u w:val="single"/>
        </w:rPr>
        <w:t>Notes on Proposed Changes to OAR 340</w:t>
      </w:r>
    </w:p>
    <w:p w:rsidR="00AD5C75" w:rsidRPr="00AD5C75" w:rsidRDefault="00F30D87" w:rsidP="00AD5C75">
      <w:pPr>
        <w:pStyle w:val="ListParagraph"/>
        <w:numPr>
          <w:ilvl w:val="0"/>
          <w:numId w:val="2"/>
        </w:numPr>
        <w:ind w:left="360"/>
        <w:rPr>
          <w:rFonts w:ascii="Times New Roman" w:hAnsi="Times New Roman" w:cs="Times New Roman"/>
          <w:b/>
        </w:rPr>
      </w:pPr>
      <w:r>
        <w:rPr>
          <w:rFonts w:ascii="Times New Roman" w:hAnsi="Times New Roman" w:cs="Times New Roman"/>
          <w:b/>
        </w:rPr>
        <w:t>340-041-0033(1-5)</w:t>
      </w:r>
    </w:p>
    <w:p w:rsidR="00AD5C75" w:rsidRPr="00C84EDD" w:rsidRDefault="00C84EDD" w:rsidP="00AD5C75">
      <w:pPr>
        <w:rPr>
          <w:rFonts w:ascii="Times New Roman" w:hAnsi="Times New Roman" w:cs="Times New Roman"/>
        </w:rPr>
      </w:pPr>
      <w:r w:rsidRPr="00C84EDD">
        <w:rPr>
          <w:rFonts w:ascii="Times New Roman" w:hAnsi="Times New Roman" w:cs="Times New Roman"/>
        </w:rPr>
        <w:t>Changes</w:t>
      </w:r>
      <w:r>
        <w:rPr>
          <w:rFonts w:ascii="Times New Roman" w:hAnsi="Times New Roman" w:cs="Times New Roman"/>
        </w:rPr>
        <w:t xml:space="preserve"> to the Toxic Substances rule reflect the removal of Tables 20, 33A, and 33B which contain the aquatic life criteria.  The effective criteria from these tables will instead be combined into a new Table 30.  Table 30 contain criteria that either EPA </w:t>
      </w:r>
      <w:r w:rsidR="00B81EE0">
        <w:rPr>
          <w:rFonts w:ascii="Times New Roman" w:hAnsi="Times New Roman" w:cs="Times New Roman"/>
        </w:rPr>
        <w:t>will have approved, or revert</w:t>
      </w:r>
      <w:r>
        <w:rPr>
          <w:rFonts w:ascii="Times New Roman" w:hAnsi="Times New Roman" w:cs="Times New Roman"/>
        </w:rPr>
        <w:t xml:space="preserve"> back to Table 20 cr</w:t>
      </w:r>
      <w:r w:rsidR="00B81EE0">
        <w:rPr>
          <w:rFonts w:ascii="Times New Roman" w:hAnsi="Times New Roman" w:cs="Times New Roman"/>
        </w:rPr>
        <w:t>iteria values if EPA disapproves</w:t>
      </w:r>
      <w:r>
        <w:rPr>
          <w:rFonts w:ascii="Times New Roman" w:hAnsi="Times New Roman" w:cs="Times New Roman"/>
        </w:rPr>
        <w:t xml:space="preserve"> pollutant criteria from Table 33A or Table 33B</w:t>
      </w:r>
      <w:r w:rsidR="00B81EE0">
        <w:rPr>
          <w:rFonts w:ascii="Times New Roman" w:hAnsi="Times New Roman" w:cs="Times New Roman"/>
        </w:rPr>
        <w:t xml:space="preserve"> (EPA action expected by Jan. 31, 2013)</w:t>
      </w:r>
      <w:r>
        <w:rPr>
          <w:rFonts w:ascii="Times New Roman" w:hAnsi="Times New Roman" w:cs="Times New Roman"/>
        </w:rPr>
        <w:t xml:space="preserve">.  These criteria are effective immediately following EPA action.  </w:t>
      </w:r>
      <w:proofErr w:type="gramStart"/>
      <w:r>
        <w:rPr>
          <w:rFonts w:ascii="Times New Roman" w:hAnsi="Times New Roman" w:cs="Times New Roman"/>
        </w:rPr>
        <w:t>The redline</w:t>
      </w:r>
      <w:proofErr w:type="gramEnd"/>
      <w:r>
        <w:rPr>
          <w:rFonts w:ascii="Times New Roman" w:hAnsi="Times New Roman" w:cs="Times New Roman"/>
        </w:rPr>
        <w:t xml:space="preserve"> proposed changes in Table 30, reflect corrections</w:t>
      </w:r>
      <w:r w:rsidR="00B81EE0">
        <w:rPr>
          <w:rFonts w:ascii="Times New Roman" w:hAnsi="Times New Roman" w:cs="Times New Roman"/>
        </w:rPr>
        <w:t xml:space="preserve"> or clarifications to criteria, footnotes, or introductory language (originally from Tables 20, 33A, or 33B) to correct anticipated EPA disapproval, or reflect changes to provide further clarifications on toxics tables or rule language.</w:t>
      </w:r>
      <w:r w:rsidR="00F30D87">
        <w:rPr>
          <w:rFonts w:ascii="Times New Roman" w:hAnsi="Times New Roman" w:cs="Times New Roman"/>
        </w:rPr>
        <w:t xml:space="preserve">  Criteria tables can now be attached to the OARs; therefore, proposed changes found at the end of the Toxic Substances rule state that Tables 30 and 40 will be attached there.</w:t>
      </w:r>
      <w:r w:rsidR="00B81EE0">
        <w:rPr>
          <w:rFonts w:ascii="Times New Roman" w:hAnsi="Times New Roman" w:cs="Times New Roman"/>
        </w:rPr>
        <w:t xml:space="preserve"> </w:t>
      </w:r>
    </w:p>
    <w:p w:rsidR="001D0E68" w:rsidRPr="00AD5C75" w:rsidRDefault="00AD5C75" w:rsidP="00AD5C75">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340-041-0033(7) </w:t>
      </w:r>
      <w:r w:rsidR="001D0E68" w:rsidRPr="00AD5C75">
        <w:rPr>
          <w:rFonts w:ascii="Times New Roman" w:hAnsi="Times New Roman" w:cs="Times New Roman"/>
          <w:b/>
        </w:rPr>
        <w:t xml:space="preserve">Arsenic Reduction Policy Rule Language </w:t>
      </w:r>
    </w:p>
    <w:p w:rsidR="001D0E68" w:rsidRPr="00F30D87" w:rsidRDefault="001D0E68" w:rsidP="00F30D87">
      <w:pPr>
        <w:pStyle w:val="DEQTEXTforFACTSHEET"/>
        <w:spacing w:line="276" w:lineRule="auto"/>
        <w:rPr>
          <w:rFonts w:ascii="Times New Roman" w:hAnsi="Times New Roman"/>
          <w:sz w:val="22"/>
          <w:szCs w:val="22"/>
        </w:rPr>
      </w:pPr>
      <w:r w:rsidRPr="001D0E68">
        <w:rPr>
          <w:rFonts w:ascii="Times New Roman" w:hAnsi="Times New Roman"/>
          <w:sz w:val="22"/>
          <w:szCs w:val="22"/>
        </w:rPr>
        <w:t xml:space="preserve">The </w:t>
      </w:r>
      <w:r w:rsidR="00B81EE0">
        <w:rPr>
          <w:rFonts w:ascii="Times New Roman" w:hAnsi="Times New Roman"/>
          <w:sz w:val="22"/>
          <w:szCs w:val="22"/>
        </w:rPr>
        <w:t xml:space="preserve">Arsenic Reduction Policy rule language </w:t>
      </w:r>
      <w:r w:rsidRPr="001D0E68">
        <w:rPr>
          <w:rFonts w:ascii="Times New Roman" w:hAnsi="Times New Roman"/>
          <w:sz w:val="22"/>
          <w:szCs w:val="22"/>
        </w:rPr>
        <w:t xml:space="preserve">adopted by the EQC in June 2011 contains several typographical errors.  The typos incorrectly reference the Arsenic Reduction Policy as section 4, rather than section 7.  This error occurred when the Arsenic Reduction Policy was moved from section 4 to section 7 in the toxics rule.  </w:t>
      </w:r>
    </w:p>
    <w:p w:rsidR="00B81EE0" w:rsidRPr="00970DCC" w:rsidRDefault="00B81EE0" w:rsidP="00B81EE0">
      <w:pPr>
        <w:pStyle w:val="NormalWeb"/>
        <w:shd w:val="clear" w:color="auto" w:fill="FFFFFF"/>
        <w:rPr>
          <w:color w:val="000000"/>
          <w:sz w:val="22"/>
          <w:szCs w:val="22"/>
        </w:rPr>
      </w:pPr>
      <w:r>
        <w:t>3.</w:t>
      </w:r>
      <w:r w:rsidRPr="00B81EE0">
        <w:rPr>
          <w:rStyle w:val="Strong"/>
          <w:color w:val="000000"/>
          <w:sz w:val="22"/>
          <w:szCs w:val="22"/>
        </w:rPr>
        <w:t xml:space="preserve"> </w:t>
      </w:r>
      <w:r w:rsidRPr="00970DCC">
        <w:rPr>
          <w:rStyle w:val="Strong"/>
          <w:color w:val="000000"/>
          <w:sz w:val="22"/>
          <w:szCs w:val="22"/>
        </w:rPr>
        <w:t>340-041-0009</w:t>
      </w:r>
      <w:r>
        <w:rPr>
          <w:rStyle w:val="Strong"/>
          <w:color w:val="000000"/>
          <w:sz w:val="22"/>
          <w:szCs w:val="22"/>
        </w:rPr>
        <w:t xml:space="preserve"> Bacteria Rule</w:t>
      </w:r>
    </w:p>
    <w:p w:rsidR="00956C36" w:rsidRDefault="00956C36" w:rsidP="00B81EE0">
      <w:pPr>
        <w:rPr>
          <w:rFonts w:ascii="Times New Roman" w:hAnsi="Times New Roman" w:cs="Times New Roman"/>
        </w:rPr>
      </w:pPr>
      <w:r>
        <w:rPr>
          <w:rFonts w:ascii="Times New Roman" w:hAnsi="Times New Roman" w:cs="Times New Roman"/>
        </w:rPr>
        <w:t xml:space="preserve">Table 20 is referenced in the Bacteria Rule.  Since Table 20 will be removed from the Toxic Substances rule, DEQ proposes to delete reference and instead reference the Toxic Substances rule citation.  DEQ proposes not to insert a specific table (i.e. </w:t>
      </w:r>
      <w:proofErr w:type="spellStart"/>
      <w:r>
        <w:rPr>
          <w:rFonts w:ascii="Times New Roman" w:hAnsi="Times New Roman" w:cs="Times New Roman"/>
        </w:rPr>
        <w:t>Table</w:t>
      </w:r>
      <w:proofErr w:type="spellEnd"/>
      <w:r>
        <w:rPr>
          <w:rFonts w:ascii="Times New Roman" w:hAnsi="Times New Roman" w:cs="Times New Roman"/>
        </w:rPr>
        <w:t xml:space="preserve"> 30) into the Bacteria Rule to reduce citation corrections in the future if name of table changes again.</w:t>
      </w:r>
    </w:p>
    <w:p w:rsidR="00956C36" w:rsidRDefault="00956C36" w:rsidP="00956C36">
      <w:pPr>
        <w:pStyle w:val="NormalWeb"/>
        <w:shd w:val="clear" w:color="auto" w:fill="FFFFFF"/>
        <w:rPr>
          <w:rStyle w:val="Strong"/>
          <w:color w:val="000000"/>
          <w:sz w:val="22"/>
          <w:szCs w:val="22"/>
        </w:rPr>
      </w:pPr>
      <w:r>
        <w:t>4.</w:t>
      </w:r>
      <w:r w:rsidRPr="00956C36">
        <w:rPr>
          <w:rStyle w:val="Strong"/>
          <w:color w:val="000000"/>
          <w:sz w:val="22"/>
          <w:szCs w:val="22"/>
        </w:rPr>
        <w:t xml:space="preserve"> </w:t>
      </w:r>
      <w:r w:rsidRPr="00970DCC">
        <w:rPr>
          <w:rStyle w:val="Strong"/>
          <w:color w:val="000000"/>
          <w:sz w:val="22"/>
          <w:szCs w:val="22"/>
        </w:rPr>
        <w:t>340-040-0020</w:t>
      </w:r>
      <w:r>
        <w:rPr>
          <w:rStyle w:val="Strong"/>
          <w:color w:val="000000"/>
          <w:sz w:val="22"/>
          <w:szCs w:val="22"/>
        </w:rPr>
        <w:t xml:space="preserve"> Groundwater Quality Protection</w:t>
      </w:r>
      <w:r w:rsidR="00F30D87">
        <w:rPr>
          <w:rStyle w:val="Strong"/>
          <w:color w:val="000000"/>
          <w:sz w:val="22"/>
          <w:szCs w:val="22"/>
        </w:rPr>
        <w:t xml:space="preserve"> </w:t>
      </w:r>
    </w:p>
    <w:p w:rsidR="00956C36" w:rsidRDefault="00956C36" w:rsidP="00956C36">
      <w:pPr>
        <w:rPr>
          <w:rFonts w:ascii="Times New Roman" w:hAnsi="Times New Roman" w:cs="Times New Roman"/>
        </w:rPr>
      </w:pPr>
      <w:r w:rsidRPr="00956C36">
        <w:rPr>
          <w:rFonts w:ascii="Times New Roman" w:hAnsi="Times New Roman" w:cs="Times New Roman"/>
        </w:rPr>
        <w:t>Table 20 is referenced in the</w:t>
      </w:r>
      <w:r>
        <w:t xml:space="preserve"> </w:t>
      </w:r>
      <w:r w:rsidRPr="00956C36">
        <w:rPr>
          <w:rFonts w:ascii="Times New Roman" w:hAnsi="Times New Roman" w:cs="Times New Roman"/>
        </w:rPr>
        <w:t>Groundwater Quality Protection rules.</w:t>
      </w:r>
      <w:r>
        <w:t xml:space="preserve">  </w:t>
      </w:r>
      <w:r>
        <w:rPr>
          <w:rFonts w:ascii="Times New Roman" w:hAnsi="Times New Roman" w:cs="Times New Roman"/>
        </w:rPr>
        <w:t>Since Table 20 will be removed from the Toxic Substances rule, DEQ proposes to delete reference and instead reference the Toxic Substances rule citation.  DEQ proposes not to insert a specific table (i.e. Table 30) into the Groundwater Quality Rule to reduce citation corrections in the future if name of table changes again.</w:t>
      </w:r>
    </w:p>
    <w:p w:rsidR="00956C36" w:rsidRPr="00956C36" w:rsidRDefault="00956C36" w:rsidP="00956C36">
      <w:pPr>
        <w:rPr>
          <w:rFonts w:ascii="Times New Roman" w:hAnsi="Times New Roman" w:cs="Times New Roman"/>
        </w:rPr>
      </w:pPr>
      <w:r>
        <w:rPr>
          <w:rFonts w:ascii="Times New Roman" w:hAnsi="Times New Roman" w:cs="Times New Roman"/>
        </w:rPr>
        <w:t xml:space="preserve">Additionally, there is a citation to Division 41 which no longer exists.  The correct reference should be to the Statewide Narrative Criteria. </w:t>
      </w:r>
    </w:p>
    <w:p w:rsidR="00956C36" w:rsidRDefault="00956C36" w:rsidP="00956C36">
      <w:pPr>
        <w:pStyle w:val="NormalWeb"/>
        <w:shd w:val="clear" w:color="auto" w:fill="FFFFFF"/>
        <w:rPr>
          <w:rFonts w:ascii="Arial" w:hAnsi="Arial" w:cs="Arial"/>
          <w:color w:val="000000"/>
          <w:sz w:val="12"/>
          <w:szCs w:val="12"/>
        </w:rPr>
      </w:pPr>
      <w:r>
        <w:rPr>
          <w:rStyle w:val="Strong"/>
          <w:color w:val="000000"/>
          <w:sz w:val="22"/>
          <w:szCs w:val="22"/>
        </w:rPr>
        <w:t xml:space="preserve">5. </w:t>
      </w:r>
      <w:r w:rsidRPr="00970DCC">
        <w:rPr>
          <w:rStyle w:val="Strong"/>
          <w:color w:val="000000"/>
          <w:sz w:val="22"/>
          <w:szCs w:val="22"/>
        </w:rPr>
        <w:t>340-040-0080</w:t>
      </w:r>
      <w:r>
        <w:rPr>
          <w:rStyle w:val="Strong"/>
          <w:color w:val="000000"/>
          <w:sz w:val="22"/>
          <w:szCs w:val="22"/>
        </w:rPr>
        <w:t xml:space="preserve"> </w:t>
      </w:r>
      <w:r w:rsidRPr="00956C36">
        <w:rPr>
          <w:b/>
          <w:sz w:val="22"/>
          <w:szCs w:val="22"/>
        </w:rPr>
        <w:t>Numerical Groundwater Quality Reference Levels and Guidance Levels</w:t>
      </w:r>
    </w:p>
    <w:p w:rsidR="00956C36" w:rsidRPr="00970DCC" w:rsidRDefault="00956C36" w:rsidP="00956C36">
      <w:pPr>
        <w:pStyle w:val="NormalWeb"/>
        <w:shd w:val="clear" w:color="auto" w:fill="FFFFFF"/>
        <w:rPr>
          <w:color w:val="000000"/>
          <w:sz w:val="22"/>
          <w:szCs w:val="22"/>
        </w:rPr>
      </w:pPr>
    </w:p>
    <w:p w:rsidR="00956C36" w:rsidRDefault="00956C36" w:rsidP="00956C36">
      <w:pPr>
        <w:rPr>
          <w:rFonts w:ascii="Times New Roman" w:hAnsi="Times New Roman" w:cs="Times New Roman"/>
        </w:rPr>
      </w:pPr>
      <w:r w:rsidRPr="00956C36">
        <w:rPr>
          <w:rFonts w:ascii="Times New Roman" w:hAnsi="Times New Roman" w:cs="Times New Roman"/>
        </w:rPr>
        <w:lastRenderedPageBreak/>
        <w:t>Table 20 is referenced in the</w:t>
      </w:r>
      <w:r>
        <w:t xml:space="preserve"> </w:t>
      </w:r>
      <w:r w:rsidRPr="00956C36">
        <w:rPr>
          <w:rFonts w:ascii="Times New Roman" w:hAnsi="Times New Roman" w:cs="Times New Roman"/>
        </w:rPr>
        <w:t>Groundwater Quality Protection rules.</w:t>
      </w:r>
      <w:r>
        <w:t xml:space="preserve">  </w:t>
      </w:r>
      <w:r>
        <w:rPr>
          <w:rFonts w:ascii="Times New Roman" w:hAnsi="Times New Roman" w:cs="Times New Roman"/>
        </w:rPr>
        <w:t>Since Table 20 will be removed from the Toxic Substances rule, DEQ proposes to delete reference and instead reference the Toxic Substances rule citation.  DEQ proposes not to insert a specific table (i.e. Table 30) into the Groundwater Quality Rule to reduce citation corrections in the future if name of table changes again.</w:t>
      </w:r>
    </w:p>
    <w:p w:rsidR="00956C36" w:rsidRDefault="00956C36" w:rsidP="00431A1B">
      <w:pPr>
        <w:pStyle w:val="NormalWeb"/>
        <w:shd w:val="clear" w:color="auto" w:fill="FFFFFF"/>
        <w:rPr>
          <w:rFonts w:eastAsiaTheme="minorHAnsi"/>
          <w:sz w:val="22"/>
          <w:szCs w:val="22"/>
        </w:rPr>
      </w:pPr>
      <w:r>
        <w:rPr>
          <w:rFonts w:eastAsiaTheme="minorHAnsi"/>
          <w:sz w:val="22"/>
          <w:szCs w:val="22"/>
        </w:rPr>
        <w:t>_____________________________________________________________________________________</w:t>
      </w:r>
    </w:p>
    <w:p w:rsidR="00431A1B" w:rsidRPr="00431A1B" w:rsidRDefault="00431A1B" w:rsidP="00431A1B">
      <w:pPr>
        <w:pStyle w:val="NormalWeb"/>
        <w:shd w:val="clear" w:color="auto" w:fill="FFFFFF"/>
        <w:rPr>
          <w:color w:val="000000"/>
          <w:sz w:val="22"/>
          <w:szCs w:val="22"/>
        </w:rPr>
      </w:pPr>
      <w:r w:rsidRPr="00431A1B">
        <w:rPr>
          <w:rStyle w:val="Strong"/>
          <w:color w:val="000000"/>
          <w:sz w:val="22"/>
          <w:szCs w:val="22"/>
        </w:rPr>
        <w:t>340-041-0033</w:t>
      </w:r>
    </w:p>
    <w:p w:rsidR="00431A1B" w:rsidRPr="00431A1B" w:rsidRDefault="00431A1B" w:rsidP="00431A1B">
      <w:pPr>
        <w:pStyle w:val="NormalWeb"/>
        <w:shd w:val="clear" w:color="auto" w:fill="FFFFFF"/>
        <w:rPr>
          <w:color w:val="000000"/>
          <w:sz w:val="22"/>
          <w:szCs w:val="22"/>
        </w:rPr>
      </w:pPr>
      <w:r w:rsidRPr="00431A1B">
        <w:rPr>
          <w:rStyle w:val="Strong"/>
          <w:color w:val="000000"/>
          <w:sz w:val="22"/>
          <w:szCs w:val="22"/>
        </w:rPr>
        <w:t>Toxic Substances</w:t>
      </w:r>
    </w:p>
    <w:p w:rsidR="00431A1B" w:rsidRPr="00431A1B" w:rsidRDefault="00431A1B" w:rsidP="00431A1B">
      <w:pPr>
        <w:pStyle w:val="NormalWeb"/>
        <w:shd w:val="clear" w:color="auto" w:fill="FFFFFF"/>
        <w:rPr>
          <w:color w:val="000000"/>
          <w:sz w:val="22"/>
          <w:szCs w:val="22"/>
        </w:rPr>
      </w:pPr>
      <w:r w:rsidRPr="00431A1B">
        <w:rPr>
          <w:color w:val="000000"/>
          <w:sz w:val="22"/>
          <w:szCs w:val="22"/>
        </w:rPr>
        <w:t>(1) Amendments in section</w:t>
      </w:r>
      <w:del w:id="0" w:author="amatzke" w:date="2013-01-11T16:28:00Z">
        <w:r w:rsidRPr="00431A1B" w:rsidDel="00A47BE6">
          <w:rPr>
            <w:color w:val="000000"/>
            <w:sz w:val="22"/>
            <w:szCs w:val="22"/>
          </w:rPr>
          <w:delText>s</w:delText>
        </w:r>
      </w:del>
      <w:ins w:id="1" w:author="amatzke" w:date="2013-01-11T16:29:00Z">
        <w:r w:rsidR="00A47BE6">
          <w:rPr>
            <w:color w:val="000000"/>
            <w:sz w:val="22"/>
            <w:szCs w:val="22"/>
          </w:rPr>
          <w:t xml:space="preserve"> (3) of this rule</w:t>
        </w:r>
      </w:ins>
      <w:r w:rsidRPr="00431A1B">
        <w:rPr>
          <w:color w:val="000000"/>
          <w:sz w:val="22"/>
          <w:szCs w:val="22"/>
        </w:rPr>
        <w:t xml:space="preserve"> </w:t>
      </w:r>
      <w:del w:id="2" w:author="amatzke" w:date="2013-01-11T16:29:00Z">
        <w:r w:rsidRPr="00431A1B" w:rsidDel="00A47BE6">
          <w:rPr>
            <w:color w:val="000000"/>
            <w:sz w:val="22"/>
            <w:szCs w:val="22"/>
          </w:rPr>
          <w:delText>(4) and (6) of this rule (OAR 340-041-0033)</w:delText>
        </w:r>
      </w:del>
      <w:r w:rsidRPr="00431A1B">
        <w:rPr>
          <w:color w:val="000000"/>
          <w:sz w:val="22"/>
          <w:szCs w:val="22"/>
        </w:rPr>
        <w:t xml:space="preserve"> and associated revisions to</w:t>
      </w:r>
      <w:ins w:id="3" w:author="amatzke" w:date="2013-01-11T16:29:00Z">
        <w:r w:rsidR="00A47BE6">
          <w:rPr>
            <w:color w:val="000000"/>
            <w:sz w:val="22"/>
            <w:szCs w:val="22"/>
          </w:rPr>
          <w:t xml:space="preserve"> Table 30 will not be effective until </w:t>
        </w:r>
      </w:ins>
      <w:ins w:id="4" w:author="amatzke" w:date="2013-01-11T16:31:00Z">
        <w:r w:rsidR="00A47BE6">
          <w:rPr>
            <w:color w:val="000000"/>
            <w:sz w:val="22"/>
            <w:szCs w:val="22"/>
          </w:rPr>
          <w:t xml:space="preserve">approved by </w:t>
        </w:r>
      </w:ins>
      <w:ins w:id="5" w:author="amatzke" w:date="2013-01-11T16:29:00Z">
        <w:r w:rsidR="00A47BE6">
          <w:rPr>
            <w:color w:val="000000"/>
            <w:sz w:val="22"/>
            <w:szCs w:val="22"/>
          </w:rPr>
          <w:t>EPA</w:t>
        </w:r>
      </w:ins>
      <w:r w:rsidRPr="00431A1B">
        <w:rPr>
          <w:color w:val="000000"/>
          <w:sz w:val="22"/>
          <w:szCs w:val="22"/>
        </w:rPr>
        <w:t xml:space="preserve"> </w:t>
      </w:r>
      <w:del w:id="6" w:author="amatzke" w:date="2013-01-11T16:30:00Z">
        <w:r w:rsidRPr="00A47BE6" w:rsidDel="00A47BE6">
          <w:rPr>
            <w:color w:val="000000"/>
            <w:sz w:val="22"/>
            <w:szCs w:val="22"/>
          </w:rPr>
          <w:delText>Tables 20, 33A, 33B</w:delText>
        </w:r>
        <w:r w:rsidRPr="00431A1B" w:rsidDel="00A47BE6">
          <w:rPr>
            <w:color w:val="000000"/>
            <w:sz w:val="22"/>
            <w:szCs w:val="22"/>
          </w:rPr>
          <w:delText xml:space="preserve"> and 40 do not become applicable for purposes of ORS chapter 468B or the federal Clean Water Act unless and until EPA approves the provisions it identifies as water quality standards </w:delText>
        </w:r>
      </w:del>
      <w:r w:rsidRPr="00431A1B">
        <w:rPr>
          <w:color w:val="000000"/>
          <w:sz w:val="22"/>
          <w:szCs w:val="22"/>
        </w:rPr>
        <w:t xml:space="preserve">pursuant to 40 CFR 131.21 (4/27/2000). </w:t>
      </w:r>
    </w:p>
    <w:p w:rsidR="00431A1B" w:rsidRPr="00431A1B" w:rsidRDefault="00431A1B" w:rsidP="00431A1B">
      <w:pPr>
        <w:pStyle w:val="NormalWeb"/>
        <w:shd w:val="clear" w:color="auto" w:fill="FFFFFF"/>
        <w:rPr>
          <w:color w:val="000000"/>
          <w:sz w:val="22"/>
          <w:szCs w:val="22"/>
        </w:rPr>
      </w:pPr>
      <w:r w:rsidRPr="00431A1B">
        <w:rPr>
          <w:color w:val="000000"/>
          <w:sz w:val="22"/>
          <w:szCs w:val="22"/>
        </w:rPr>
        <w:t xml:space="preserve">(2) </w:t>
      </w:r>
      <w:ins w:id="7" w:author="amatzke" w:date="2013-01-11T16:33:00Z">
        <w:r w:rsidR="00F26310" w:rsidRPr="00F26310">
          <w:rPr>
            <w:b/>
            <w:color w:val="000000"/>
            <w:sz w:val="22"/>
            <w:szCs w:val="22"/>
            <w:rPrChange w:id="8" w:author="amatzke" w:date="2013-01-11T16:34:00Z">
              <w:rPr>
                <w:color w:val="000000"/>
                <w:sz w:val="22"/>
                <w:szCs w:val="22"/>
              </w:rPr>
            </w:rPrChange>
          </w:rPr>
          <w:t>Toxic Substances Narrative.</w:t>
        </w:r>
        <w:r w:rsidR="00A47BE6">
          <w:rPr>
            <w:color w:val="000000"/>
            <w:sz w:val="22"/>
            <w:szCs w:val="22"/>
          </w:rPr>
          <w:t xml:space="preserve">  </w:t>
        </w:r>
      </w:ins>
      <w:r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431A1B">
        <w:rPr>
          <w:color w:val="000000"/>
          <w:sz w:val="22"/>
          <w:szCs w:val="22"/>
        </w:rPr>
        <w:t>bioaccumulate</w:t>
      </w:r>
      <w:proofErr w:type="spellEnd"/>
      <w:r w:rsidRPr="00431A1B">
        <w:rPr>
          <w:color w:val="000000"/>
          <w:sz w:val="22"/>
          <w:szCs w:val="22"/>
        </w:rPr>
        <w:t xml:space="preserve"> in aquatic life or wildlife to levels that adversely affect public health, safety, or welfare or aquatic life, wildlife, or other designated beneficial uses. </w:t>
      </w:r>
    </w:p>
    <w:p w:rsidR="00431A1B" w:rsidRPr="00431A1B" w:rsidRDefault="00431A1B" w:rsidP="00431A1B">
      <w:pPr>
        <w:pStyle w:val="NormalWeb"/>
        <w:shd w:val="clear" w:color="auto" w:fill="FFFFFF"/>
        <w:rPr>
          <w:color w:val="000000"/>
          <w:sz w:val="22"/>
          <w:szCs w:val="22"/>
        </w:rPr>
      </w:pPr>
      <w:r w:rsidRPr="00431A1B">
        <w:rPr>
          <w:color w:val="000000"/>
          <w:sz w:val="22"/>
          <w:szCs w:val="22"/>
        </w:rPr>
        <w:t xml:space="preserve">(3) </w:t>
      </w:r>
      <w:r w:rsidR="00F26310" w:rsidRPr="00F26310">
        <w:rPr>
          <w:b/>
          <w:color w:val="000000"/>
          <w:sz w:val="22"/>
          <w:szCs w:val="22"/>
          <w:rPrChange w:id="9" w:author="amatzke" w:date="2013-01-11T16:34:00Z">
            <w:rPr>
              <w:color w:val="000000"/>
              <w:sz w:val="22"/>
              <w:szCs w:val="22"/>
            </w:rPr>
          </w:rPrChange>
        </w:rPr>
        <w:t xml:space="preserve">Aquatic Life </w:t>
      </w:r>
      <w:ins w:id="10" w:author="amatzke" w:date="2013-01-11T16:34:00Z">
        <w:r w:rsidR="00A47BE6">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1" w:author="amatzke" w:date="2013-01-11T08:18:00Z">
        <w:r w:rsidR="00021F2F">
          <w:rPr>
            <w:color w:val="000000"/>
            <w:sz w:val="22"/>
            <w:szCs w:val="22"/>
          </w:rPr>
          <w:t xml:space="preserve"> Table 30</w:t>
        </w:r>
      </w:ins>
      <w:ins w:id="12" w:author="amatzke" w:date="2013-01-11T08:26:00Z">
        <w:r w:rsidR="004F7DEE">
          <w:rPr>
            <w:color w:val="000000"/>
            <w:sz w:val="22"/>
            <w:szCs w:val="22"/>
          </w:rPr>
          <w:t>.</w:t>
        </w:r>
      </w:ins>
      <w:r w:rsidRPr="00431A1B">
        <w:rPr>
          <w:color w:val="000000"/>
          <w:sz w:val="22"/>
          <w:szCs w:val="22"/>
        </w:rPr>
        <w:t xml:space="preserve"> </w:t>
      </w:r>
      <w:del w:id="13"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431A1B" w:rsidRPr="00431A1B" w:rsidDel="004F7DEE" w:rsidRDefault="004F7DEE" w:rsidP="00431A1B">
      <w:pPr>
        <w:pStyle w:val="NormalWeb"/>
        <w:shd w:val="clear" w:color="auto" w:fill="FFFFFF"/>
        <w:rPr>
          <w:del w:id="14" w:author="amatzke" w:date="2013-01-11T08:28:00Z"/>
          <w:color w:val="000000"/>
          <w:sz w:val="22"/>
          <w:szCs w:val="22"/>
        </w:rPr>
      </w:pPr>
      <w:ins w:id="15" w:author="amatzke" w:date="2013-01-11T08:28:00Z">
        <w:r w:rsidRPr="00431A1B" w:rsidDel="004F7DEE">
          <w:rPr>
            <w:color w:val="000000"/>
            <w:sz w:val="22"/>
            <w:szCs w:val="22"/>
          </w:rPr>
          <w:t xml:space="preserve"> </w:t>
        </w:r>
      </w:ins>
      <w:del w:id="16" w:author="amatzke" w:date="2013-01-11T08:28:00Z">
        <w:r w:rsidR="00431A1B" w:rsidRPr="00431A1B" w:rsidDel="004F7DEE">
          <w:rPr>
            <w:color w:val="000000"/>
            <w:sz w:val="22"/>
            <w:szCs w:val="22"/>
          </w:rPr>
          <w:delText xml:space="preserve">(a) Each value for criteria in </w:delText>
        </w:r>
        <w:r w:rsidR="00431A1B" w:rsidRPr="00A47BE6" w:rsidDel="004F7DEE">
          <w:rPr>
            <w:color w:val="000000"/>
            <w:sz w:val="22"/>
            <w:szCs w:val="22"/>
          </w:rPr>
          <w:delText>Table 20</w:delText>
        </w:r>
        <w:r w:rsidR="00431A1B" w:rsidRPr="00431A1B" w:rsidDel="004F7DEE">
          <w:rPr>
            <w:color w:val="000000"/>
            <w:sz w:val="22"/>
            <w:szCs w:val="22"/>
          </w:rPr>
          <w:delText xml:space="preserve"> is effective until the corresponding value in </w:delText>
        </w:r>
        <w:r w:rsidR="00431A1B" w:rsidRPr="00A47BE6" w:rsidDel="004F7DEE">
          <w:rPr>
            <w:color w:val="000000"/>
            <w:sz w:val="22"/>
            <w:szCs w:val="22"/>
          </w:rPr>
          <w:delText>Tables 33A or 33B</w:delText>
        </w:r>
        <w:r w:rsidR="00431A1B" w:rsidRPr="00431A1B" w:rsidDel="004F7DEE">
          <w:rPr>
            <w:color w:val="000000"/>
            <w:sz w:val="22"/>
            <w:szCs w:val="22"/>
          </w:rPr>
          <w:delText xml:space="preserve"> becomes effective. </w:delText>
        </w:r>
      </w:del>
    </w:p>
    <w:p w:rsidR="00431A1B" w:rsidRPr="00431A1B" w:rsidDel="004F7DEE" w:rsidRDefault="004F7DEE" w:rsidP="00431A1B">
      <w:pPr>
        <w:pStyle w:val="NormalWeb"/>
        <w:shd w:val="clear" w:color="auto" w:fill="FFFFFF"/>
        <w:rPr>
          <w:del w:id="17" w:author="amatzke" w:date="2013-01-11T08:28:00Z"/>
          <w:color w:val="000000"/>
          <w:sz w:val="22"/>
          <w:szCs w:val="22"/>
        </w:rPr>
      </w:pPr>
      <w:ins w:id="18" w:author="amatzke" w:date="2013-01-11T08:28:00Z">
        <w:r w:rsidRPr="00431A1B" w:rsidDel="004F7DEE">
          <w:rPr>
            <w:color w:val="000000"/>
            <w:sz w:val="22"/>
            <w:szCs w:val="22"/>
          </w:rPr>
          <w:t xml:space="preserve"> </w:t>
        </w:r>
      </w:ins>
      <w:del w:id="19" w:author="amatzke" w:date="2013-01-11T08:28:00Z">
        <w:r w:rsidR="00431A1B" w:rsidRPr="00431A1B" w:rsidDel="004F7DEE">
          <w:rPr>
            <w:color w:val="000000"/>
            <w:sz w:val="22"/>
            <w:szCs w:val="22"/>
          </w:rPr>
          <w:delText xml:space="preserve">(A) Each value in </w:delText>
        </w:r>
        <w:r w:rsidR="00431A1B" w:rsidRPr="00A47BE6" w:rsidDel="004F7DEE">
          <w:rPr>
            <w:color w:val="000000"/>
            <w:sz w:val="22"/>
            <w:szCs w:val="22"/>
          </w:rPr>
          <w:delText>Table 33A</w:delText>
        </w:r>
        <w:r w:rsidR="00431A1B"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00431A1B" w:rsidRPr="00A47BE6" w:rsidDel="004F7DEE">
          <w:rPr>
            <w:color w:val="000000"/>
            <w:sz w:val="22"/>
            <w:szCs w:val="22"/>
          </w:rPr>
          <w:delText>Table 20</w:delText>
        </w:r>
        <w:r w:rsidR="00431A1B" w:rsidRPr="00431A1B" w:rsidDel="004F7DEE">
          <w:rPr>
            <w:color w:val="000000"/>
            <w:sz w:val="22"/>
            <w:szCs w:val="22"/>
          </w:rPr>
          <w:delText xml:space="preserve"> becomes effective immediately. Values that are the same in </w:delText>
        </w:r>
        <w:r w:rsidR="00431A1B" w:rsidRPr="00A47BE6" w:rsidDel="004F7DEE">
          <w:rPr>
            <w:color w:val="000000"/>
            <w:sz w:val="22"/>
            <w:szCs w:val="22"/>
          </w:rPr>
          <w:delText>Tables 20 and 33A</w:delText>
        </w:r>
        <w:r w:rsidR="00431A1B" w:rsidRPr="00431A1B" w:rsidDel="004F7DEE">
          <w:rPr>
            <w:color w:val="000000"/>
            <w:sz w:val="22"/>
            <w:szCs w:val="22"/>
          </w:rPr>
          <w:delText xml:space="preserve"> remain in effect. </w:delText>
        </w:r>
      </w:del>
    </w:p>
    <w:p w:rsidR="00431A1B" w:rsidRPr="00431A1B" w:rsidDel="004F7DEE" w:rsidRDefault="004F7DEE" w:rsidP="00431A1B">
      <w:pPr>
        <w:pStyle w:val="NormalWeb"/>
        <w:shd w:val="clear" w:color="auto" w:fill="FFFFFF"/>
        <w:rPr>
          <w:del w:id="20" w:author="amatzke" w:date="2013-01-11T08:29:00Z"/>
          <w:color w:val="000000"/>
          <w:sz w:val="22"/>
          <w:szCs w:val="22"/>
        </w:rPr>
      </w:pPr>
      <w:ins w:id="21" w:author="amatzke" w:date="2013-01-11T08:29:00Z">
        <w:r w:rsidRPr="00431A1B" w:rsidDel="004F7DEE">
          <w:rPr>
            <w:color w:val="000000"/>
            <w:sz w:val="22"/>
            <w:szCs w:val="22"/>
          </w:rPr>
          <w:t xml:space="preserve"> </w:t>
        </w:r>
      </w:ins>
      <w:del w:id="22" w:author="amatzke" w:date="2013-01-11T08:29:00Z">
        <w:r w:rsidR="00431A1B" w:rsidRPr="00431A1B" w:rsidDel="004F7DEE">
          <w:rPr>
            <w:color w:val="000000"/>
            <w:sz w:val="22"/>
            <w:szCs w:val="22"/>
          </w:rPr>
          <w:delText xml:space="preserve">(B) Each value in </w:delText>
        </w:r>
        <w:r w:rsidR="00431A1B" w:rsidRPr="00A47BE6" w:rsidDel="004F7DEE">
          <w:rPr>
            <w:color w:val="000000"/>
            <w:sz w:val="22"/>
            <w:szCs w:val="22"/>
          </w:rPr>
          <w:delText>Table 33B</w:delText>
        </w:r>
        <w:r w:rsidR="00431A1B" w:rsidRPr="00431A1B" w:rsidDel="004F7DEE">
          <w:rPr>
            <w:color w:val="000000"/>
            <w:sz w:val="22"/>
            <w:szCs w:val="22"/>
          </w:rPr>
          <w:delText xml:space="preserve"> is effective upon EPA approval. </w:delText>
        </w:r>
      </w:del>
    </w:p>
    <w:p w:rsidR="00431A1B" w:rsidRPr="00431A1B" w:rsidDel="004F7DEE" w:rsidRDefault="004F7DEE" w:rsidP="00431A1B">
      <w:pPr>
        <w:pStyle w:val="NormalWeb"/>
        <w:shd w:val="clear" w:color="auto" w:fill="FFFFFF"/>
        <w:rPr>
          <w:del w:id="23" w:author="amatzke" w:date="2013-01-11T08:29:00Z"/>
          <w:color w:val="000000"/>
          <w:sz w:val="22"/>
          <w:szCs w:val="22"/>
        </w:rPr>
      </w:pPr>
      <w:ins w:id="24" w:author="amatzke" w:date="2013-01-11T08:29:00Z">
        <w:r w:rsidRPr="00431A1B" w:rsidDel="004F7DEE">
          <w:rPr>
            <w:color w:val="000000"/>
            <w:sz w:val="22"/>
            <w:szCs w:val="22"/>
          </w:rPr>
          <w:t xml:space="preserve"> </w:t>
        </w:r>
      </w:ins>
      <w:del w:id="25" w:author="amatzke" w:date="2013-01-11T08:29:00Z">
        <w:r w:rsidR="00431A1B" w:rsidRPr="00431A1B" w:rsidDel="004F7DEE">
          <w:rPr>
            <w:color w:val="000000"/>
            <w:sz w:val="22"/>
            <w:szCs w:val="22"/>
          </w:rPr>
          <w:delText xml:space="preserve">(b) The department will note the effective date for each value in </w:delText>
        </w:r>
        <w:r w:rsidR="00431A1B" w:rsidRPr="00A47BE6" w:rsidDel="004F7DEE">
          <w:rPr>
            <w:color w:val="000000"/>
            <w:sz w:val="22"/>
            <w:szCs w:val="22"/>
          </w:rPr>
          <w:delText>Tables 20, 33A, and 33B</w:delText>
        </w:r>
        <w:r w:rsidR="00431A1B" w:rsidRPr="00431A1B" w:rsidDel="004F7DEE">
          <w:rPr>
            <w:color w:val="000000"/>
            <w:sz w:val="22"/>
            <w:szCs w:val="22"/>
          </w:rPr>
          <w:delText xml:space="preserve"> as described in this section. </w:delText>
        </w:r>
      </w:del>
    </w:p>
    <w:p w:rsidR="00431A1B" w:rsidRPr="00431A1B" w:rsidRDefault="00431A1B" w:rsidP="00431A1B">
      <w:pPr>
        <w:pStyle w:val="NormalWeb"/>
        <w:shd w:val="clear" w:color="auto" w:fill="FFFFFF"/>
        <w:rPr>
          <w:color w:val="000000"/>
          <w:sz w:val="22"/>
          <w:szCs w:val="22"/>
        </w:rPr>
      </w:pPr>
      <w:r w:rsidRPr="00431A1B">
        <w:rPr>
          <w:color w:val="000000"/>
          <w:sz w:val="22"/>
          <w:szCs w:val="22"/>
        </w:rPr>
        <w:t xml:space="preserve">(4) </w:t>
      </w:r>
      <w:r w:rsidR="00F26310" w:rsidRPr="00F26310">
        <w:rPr>
          <w:b/>
          <w:color w:val="000000"/>
          <w:sz w:val="22"/>
          <w:szCs w:val="22"/>
          <w:rPrChange w:id="26" w:author="amatzke" w:date="2013-01-11T16:35:00Z">
            <w:rPr>
              <w:color w:val="000000"/>
              <w:sz w:val="22"/>
              <w:szCs w:val="22"/>
            </w:rPr>
          </w:rPrChange>
        </w:rPr>
        <w:t xml:space="preserve">Human Health </w:t>
      </w:r>
      <w:ins w:id="27" w:author="amatzke" w:date="2013-01-11T16:35:00Z">
        <w:r w:rsidR="00F26310" w:rsidRPr="00F26310">
          <w:rPr>
            <w:b/>
            <w:color w:val="000000"/>
            <w:sz w:val="22"/>
            <w:szCs w:val="22"/>
            <w:rPrChange w:id="28" w:author="amatzke" w:date="2013-01-11T16:35:00Z">
              <w:rPr>
                <w:color w:val="000000"/>
                <w:sz w:val="22"/>
                <w:szCs w:val="22"/>
              </w:rPr>
            </w:rPrChange>
          </w:rPr>
          <w:t xml:space="preserve">Numeric </w:t>
        </w:r>
      </w:ins>
      <w:r w:rsidR="00F26310" w:rsidRPr="00F26310">
        <w:rPr>
          <w:b/>
          <w:color w:val="000000"/>
          <w:sz w:val="22"/>
          <w:szCs w:val="22"/>
          <w:rPrChange w:id="29" w:author="amatzke" w:date="2013-01-11T16:35:00Z">
            <w:rPr>
              <w:color w:val="000000"/>
              <w:sz w:val="22"/>
              <w:szCs w:val="22"/>
            </w:rPr>
          </w:rPrChange>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431A1B" w:rsidRDefault="00431A1B" w:rsidP="00431A1B">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ins w:id="30" w:author="amatzke" w:date="2013-01-11T08:36:00Z">
        <w:r w:rsidR="00E02A1C" w:rsidRPr="00A47BE6">
          <w:rPr>
            <w:color w:val="000000"/>
            <w:sz w:val="22"/>
            <w:szCs w:val="22"/>
          </w:rPr>
          <w:t xml:space="preserve"> 30</w:t>
        </w:r>
      </w:ins>
      <w:ins w:id="31" w:author="amatzke" w:date="2013-01-11T16:36:00Z">
        <w:r w:rsidR="00A47BE6" w:rsidRPr="00A47BE6">
          <w:rPr>
            <w:color w:val="000000"/>
            <w:sz w:val="22"/>
            <w:szCs w:val="22"/>
          </w:rPr>
          <w:t xml:space="preserve"> or Table 40</w:t>
        </w:r>
      </w:ins>
      <w:del w:id="32" w:author="amatzke" w:date="2013-01-11T08:36:00Z">
        <w:r w:rsidRPr="00A47BE6" w:rsidDel="00E02A1C">
          <w:rPr>
            <w:color w:val="000000"/>
            <w:sz w:val="22"/>
            <w:szCs w:val="22"/>
          </w:rPr>
          <w:delText>s 20, 33A, or 33B</w:delText>
        </w:r>
      </w:del>
      <w:r w:rsidRPr="00431A1B">
        <w:rPr>
          <w:color w:val="000000"/>
          <w:sz w:val="22"/>
          <w:szCs w:val="22"/>
        </w:rPr>
        <w:t xml:space="preserve">,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AD5C75" w:rsidRPr="00AD5C75" w:rsidRDefault="00AD5C75" w:rsidP="00431A1B">
      <w:pPr>
        <w:pStyle w:val="NormalWeb"/>
        <w:shd w:val="clear" w:color="auto" w:fill="FFFFFF"/>
        <w:rPr>
          <w:b/>
          <w:color w:val="000000"/>
          <w:sz w:val="22"/>
          <w:szCs w:val="22"/>
        </w:rPr>
      </w:pPr>
      <w:r w:rsidRPr="00AD5C75">
        <w:rPr>
          <w:b/>
          <w:color w:val="000000"/>
          <w:sz w:val="22"/>
          <w:szCs w:val="22"/>
        </w:rPr>
        <w:lastRenderedPageBreak/>
        <w:t>………..</w:t>
      </w:r>
    </w:p>
    <w:p w:rsidR="001D0E68" w:rsidRPr="001039EE" w:rsidRDefault="001D0E68" w:rsidP="001D0E68">
      <w:pPr>
        <w:pStyle w:val="NormalWeb"/>
        <w:shd w:val="clear" w:color="auto" w:fill="FFFFFF"/>
        <w:rPr>
          <w:color w:val="000000"/>
          <w:sz w:val="22"/>
          <w:szCs w:val="22"/>
        </w:rPr>
      </w:pPr>
      <w:r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1D0E68" w:rsidRPr="001039EE" w:rsidRDefault="001D0E68" w:rsidP="001D0E68">
      <w:pPr>
        <w:pStyle w:val="NormalWeb"/>
        <w:shd w:val="clear" w:color="auto" w:fill="FFFFFF"/>
        <w:ind w:left="1440"/>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1D0E68" w:rsidRPr="001039EE" w:rsidRDefault="001D0E68" w:rsidP="001D0E68">
      <w:pPr>
        <w:pStyle w:val="NormalWeb"/>
        <w:shd w:val="clear" w:color="auto" w:fill="FFFFFF"/>
        <w:ind w:left="1440"/>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1D0E68" w:rsidRPr="001039EE" w:rsidRDefault="001D0E68" w:rsidP="001D0E68">
      <w:pPr>
        <w:pStyle w:val="NormalWeb"/>
        <w:shd w:val="clear" w:color="auto" w:fill="FFFFFF"/>
        <w:ind w:left="1440"/>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1D0E68" w:rsidRPr="001039EE" w:rsidRDefault="001D0E68" w:rsidP="001D0E68">
      <w:pPr>
        <w:pStyle w:val="NormalWeb"/>
        <w:shd w:val="clear" w:color="auto" w:fill="FFFFFF"/>
        <w:ind w:left="216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1D0E68" w:rsidRPr="001039EE" w:rsidRDefault="001D0E68" w:rsidP="001D0E68">
      <w:pPr>
        <w:pStyle w:val="NormalWeb"/>
        <w:shd w:val="clear" w:color="auto" w:fill="FFFFFF"/>
        <w:ind w:left="2160"/>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1D0E68" w:rsidRPr="001039EE" w:rsidRDefault="001D0E68" w:rsidP="001D0E68">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w:t>
      </w:r>
      <w:r w:rsidRPr="001039EE">
        <w:rPr>
          <w:color w:val="000000"/>
          <w:sz w:val="22"/>
          <w:szCs w:val="22"/>
        </w:rPr>
        <w:lastRenderedPageBreak/>
        <w:t xml:space="preserve">identified by DEQ as likely to add inorganic arsenic to the receiving water must include sufficient data to enable DEQ to determine whether: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(A) The discharge in fact adds inorganic arsenic; and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1D0E68" w:rsidRPr="001039EE" w:rsidRDefault="001D0E68" w:rsidP="001D0E68">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1D0E68" w:rsidRPr="001039EE" w:rsidRDefault="001D0E68" w:rsidP="001D0E68">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1D0E68" w:rsidRPr="001039EE" w:rsidRDefault="001D0E68" w:rsidP="001D0E68">
      <w:pPr>
        <w:pStyle w:val="NormalWeb"/>
        <w:shd w:val="clear" w:color="auto" w:fill="FFFFFF"/>
        <w:ind w:left="144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 xml:space="preserve">(B) Quantitation limits for monitoring inorganic arsenic concentrations. </w:t>
      </w:r>
    </w:p>
    <w:p w:rsidR="001D0E68" w:rsidRPr="001039EE" w:rsidRDefault="001D0E68" w:rsidP="001D0E68">
      <w:pPr>
        <w:pStyle w:val="NormalWeb"/>
        <w:shd w:val="clear" w:color="auto" w:fill="FFFFFF"/>
        <w:ind w:left="720"/>
        <w:rPr>
          <w:color w:val="000000"/>
          <w:sz w:val="22"/>
          <w:szCs w:val="22"/>
        </w:rPr>
      </w:pPr>
      <w:r w:rsidRPr="001039EE">
        <w:rPr>
          <w:color w:val="000000"/>
          <w:sz w:val="22"/>
          <w:szCs w:val="22"/>
        </w:rPr>
        <w:t>(C) Information and guidance to assist sources in estimating, pursuant to paragraph (d</w:t>
      </w:r>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1D0E68" w:rsidRDefault="001D0E68" w:rsidP="00431A1B">
      <w:pPr>
        <w:pStyle w:val="NormalWeb"/>
        <w:shd w:val="clear" w:color="auto" w:fill="FFFFFF"/>
        <w:rPr>
          <w:color w:val="000000"/>
          <w:sz w:val="22"/>
          <w:szCs w:val="22"/>
        </w:rPr>
      </w:pPr>
      <w:r w:rsidRPr="001039EE">
        <w:rPr>
          <w:color w:val="000000"/>
          <w:sz w:val="22"/>
          <w:szCs w:val="22"/>
        </w:rPr>
        <w:lastRenderedPageBreak/>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sidR="00AD5C75">
        <w:rPr>
          <w:color w:val="000000"/>
          <w:sz w:val="22"/>
          <w:szCs w:val="22"/>
        </w:rPr>
        <w:t xml:space="preserve">rate into waters of the State. </w:t>
      </w:r>
    </w:p>
    <w:p w:rsidR="001D0E68" w:rsidRPr="00431A1B" w:rsidRDefault="001D0E68" w:rsidP="00431A1B">
      <w:pPr>
        <w:pStyle w:val="NormalWeb"/>
        <w:shd w:val="clear" w:color="auto" w:fill="FFFFFF"/>
        <w:rPr>
          <w:color w:val="000000"/>
          <w:sz w:val="22"/>
          <w:szCs w:val="22"/>
        </w:rPr>
      </w:pPr>
      <w:r w:rsidRPr="00431A1B">
        <w:rPr>
          <w:color w:val="000000"/>
          <w:sz w:val="22"/>
          <w:szCs w:val="22"/>
        </w:rPr>
        <w:t xml:space="preserve"> </w:t>
      </w:r>
      <w:r w:rsidR="00431A1B" w:rsidRPr="00431A1B">
        <w:rPr>
          <w:color w:val="000000"/>
          <w:sz w:val="22"/>
          <w:szCs w:val="22"/>
        </w:rPr>
        <w:t xml:space="preserve">[ED. NOTE: Tables referenced are </w:t>
      </w:r>
      <w:ins w:id="33" w:author="amatzke" w:date="2013-01-11T08:49:00Z">
        <w:r>
          <w:rPr>
            <w:color w:val="000000"/>
            <w:sz w:val="22"/>
            <w:szCs w:val="22"/>
          </w:rPr>
          <w:t xml:space="preserve">not included in rule text.  Click here for a PDF copy </w:t>
        </w:r>
      </w:ins>
      <w:ins w:id="34" w:author="amatzke" w:date="2013-01-11T08:50:00Z">
        <w:r>
          <w:rPr>
            <w:color w:val="000000"/>
            <w:sz w:val="22"/>
            <w:szCs w:val="22"/>
          </w:rPr>
          <w:t xml:space="preserve">of </w:t>
        </w:r>
      </w:ins>
      <w:ins w:id="35" w:author="amatzke" w:date="2013-01-11T08:49:00Z">
        <w:r>
          <w:rPr>
            <w:color w:val="000000"/>
            <w:sz w:val="22"/>
            <w:szCs w:val="22"/>
          </w:rPr>
          <w:t>Table 30</w:t>
        </w:r>
      </w:ins>
      <w:ins w:id="36" w:author="amatzke" w:date="2013-01-11T08:51:00Z">
        <w:r>
          <w:rPr>
            <w:color w:val="000000"/>
            <w:sz w:val="22"/>
            <w:szCs w:val="22"/>
          </w:rPr>
          <w:t>:  Aquatic Life Toxics Criteria</w:t>
        </w:r>
      </w:ins>
      <w:ins w:id="37" w:author="amatzke" w:date="2013-01-11T08:49:00Z">
        <w:r>
          <w:rPr>
            <w:color w:val="000000"/>
            <w:sz w:val="22"/>
            <w:szCs w:val="22"/>
          </w:rPr>
          <w:t xml:space="preserve">.  Click here for a PDF </w:t>
        </w:r>
      </w:ins>
      <w:ins w:id="38" w:author="amatzke" w:date="2013-01-11T08:50:00Z">
        <w:r>
          <w:rPr>
            <w:color w:val="000000"/>
            <w:sz w:val="22"/>
            <w:szCs w:val="22"/>
          </w:rPr>
          <w:t xml:space="preserve">copy </w:t>
        </w:r>
      </w:ins>
      <w:ins w:id="39" w:author="amatzke" w:date="2013-01-11T08:49:00Z">
        <w:r>
          <w:rPr>
            <w:color w:val="000000"/>
            <w:sz w:val="22"/>
            <w:szCs w:val="22"/>
          </w:rPr>
          <w:t>of Table 40</w:t>
        </w:r>
      </w:ins>
      <w:ins w:id="40" w:author="amatzke" w:date="2013-01-11T08:51:00Z">
        <w:r>
          <w:rPr>
            <w:color w:val="000000"/>
            <w:sz w:val="22"/>
            <w:szCs w:val="22"/>
          </w:rPr>
          <w:t>:  Human Health Toxics Criteria</w:t>
        </w:r>
      </w:ins>
      <w:ins w:id="41" w:author="amatzke" w:date="2013-01-11T08:49:00Z">
        <w:r>
          <w:rPr>
            <w:color w:val="000000"/>
            <w:sz w:val="22"/>
            <w:szCs w:val="22"/>
          </w:rPr>
          <w:t>.</w:t>
        </w:r>
      </w:ins>
      <w:del w:id="42" w:author="amatzke" w:date="2013-01-11T08:50:00Z">
        <w:r w:rsidR="00431A1B" w:rsidRPr="00431A1B" w:rsidDel="001D0E68">
          <w:rPr>
            <w:color w:val="000000"/>
            <w:sz w:val="22"/>
            <w:szCs w:val="22"/>
          </w:rPr>
          <w:delText>ava</w:delText>
        </w:r>
      </w:del>
      <w:del w:id="43" w:author="amatzke" w:date="2013-01-11T08:49:00Z">
        <w:r w:rsidR="00431A1B" w:rsidRPr="00431A1B" w:rsidDel="001D0E68">
          <w:rPr>
            <w:color w:val="000000"/>
            <w:sz w:val="22"/>
            <w:szCs w:val="22"/>
          </w:rPr>
          <w:delText>ilable from the agency.</w:delText>
        </w:r>
      </w:del>
      <w:r w:rsidR="00431A1B" w:rsidRPr="00431A1B">
        <w:rPr>
          <w:color w:val="000000"/>
          <w:sz w:val="22"/>
          <w:szCs w:val="22"/>
        </w:rPr>
        <w:t xml:space="preserve">] </w:t>
      </w:r>
    </w:p>
    <w:p w:rsidR="00431A1B" w:rsidRPr="00431A1B" w:rsidRDefault="00431A1B" w:rsidP="00431A1B">
      <w:pPr>
        <w:pStyle w:val="NormalWeb"/>
        <w:shd w:val="clear" w:color="auto" w:fill="FFFFFF"/>
        <w:rPr>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431A1B" w:rsidRDefault="00431A1B">
      <w:pPr>
        <w:rPr>
          <w:rFonts w:ascii="Times New Roman" w:hAnsi="Times New Roman" w:cs="Times New Roman"/>
        </w:rPr>
      </w:pPr>
    </w:p>
    <w:p w:rsidR="00296B82" w:rsidRPr="00970DCC" w:rsidRDefault="00296B82" w:rsidP="00296B82">
      <w:pPr>
        <w:pStyle w:val="NormalWeb"/>
        <w:shd w:val="clear" w:color="auto" w:fill="FFFFFF"/>
        <w:rPr>
          <w:color w:val="000000"/>
          <w:sz w:val="22"/>
          <w:szCs w:val="22"/>
        </w:rPr>
      </w:pPr>
      <w:r w:rsidRPr="00970DCC">
        <w:rPr>
          <w:rStyle w:val="Strong"/>
          <w:color w:val="000000"/>
          <w:sz w:val="22"/>
          <w:szCs w:val="22"/>
        </w:rPr>
        <w:t>340-041-0009</w:t>
      </w:r>
    </w:p>
    <w:p w:rsidR="00296B82" w:rsidRPr="00970DCC" w:rsidRDefault="00296B82" w:rsidP="00296B82">
      <w:pPr>
        <w:pStyle w:val="NormalWeb"/>
        <w:shd w:val="clear" w:color="auto" w:fill="FFFFFF"/>
        <w:rPr>
          <w:color w:val="000000"/>
          <w:sz w:val="22"/>
          <w:szCs w:val="22"/>
        </w:rPr>
      </w:pPr>
      <w:r w:rsidRPr="00970DCC">
        <w:rPr>
          <w:rStyle w:val="Strong"/>
          <w:color w:val="000000"/>
          <w:sz w:val="22"/>
          <w:szCs w:val="22"/>
        </w:rPr>
        <w:t>Bacteria</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w:t>
      </w:r>
      <w:r w:rsidRPr="00970DCC">
        <w:rPr>
          <w:color w:val="000000"/>
          <w:sz w:val="22"/>
          <w:szCs w:val="22"/>
        </w:rPr>
        <w:lastRenderedPageBreak/>
        <w:t xml:space="preserve">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(b) The </w:t>
      </w:r>
      <w:ins w:id="44" w:author="amatzke" w:date="2013-01-11T16:40:00Z">
        <w:r w:rsidR="00FA3B97">
          <w:rPr>
            <w:color w:val="000000"/>
            <w:sz w:val="22"/>
            <w:szCs w:val="22"/>
          </w:rPr>
          <w:t xml:space="preserve">aquatic life criteria </w:t>
        </w:r>
      </w:ins>
      <w:del w:id="45"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46" w:author="amatzke" w:date="2013-01-11T16:40:00Z">
        <w:r w:rsidR="00FA3B97">
          <w:rPr>
            <w:color w:val="000000"/>
            <w:sz w:val="22"/>
            <w:szCs w:val="22"/>
          </w:rPr>
          <w:t xml:space="preserve">established in </w:t>
        </w:r>
      </w:ins>
      <w:ins w:id="47" w:author="amatzke" w:date="2013-01-11T16:41:00Z">
        <w:r w:rsidR="00FA3B97">
          <w:rPr>
            <w:color w:val="000000"/>
            <w:sz w:val="22"/>
            <w:szCs w:val="22"/>
          </w:rPr>
          <w:t xml:space="preserve">the </w:t>
        </w:r>
      </w:ins>
      <w:ins w:id="48" w:author="amatzke" w:date="2013-01-11T16:40:00Z">
        <w:r w:rsidR="00FA3B97">
          <w:rPr>
            <w:color w:val="000000"/>
            <w:sz w:val="22"/>
            <w:szCs w:val="22"/>
          </w:rPr>
          <w:t>water quality</w:t>
        </w:r>
      </w:ins>
      <w:ins w:id="49" w:author="amatzke" w:date="2013-01-11T16:41:00Z">
        <w:r w:rsidR="00FA3B97">
          <w:rPr>
            <w:color w:val="000000"/>
            <w:sz w:val="22"/>
            <w:szCs w:val="22"/>
          </w:rPr>
          <w:t xml:space="preserve"> </w:t>
        </w:r>
      </w:ins>
      <w:ins w:id="50" w:author="amatzke" w:date="2013-01-11T16:45:00Z">
        <w:r w:rsidR="00FA3B97">
          <w:rPr>
            <w:color w:val="000000"/>
            <w:sz w:val="22"/>
            <w:szCs w:val="22"/>
          </w:rPr>
          <w:t>t</w:t>
        </w:r>
      </w:ins>
      <w:ins w:id="51" w:author="amatzke" w:date="2013-01-11T16:41:00Z">
        <w:r w:rsidR="00FA3B97">
          <w:rPr>
            <w:color w:val="000000"/>
            <w:sz w:val="22"/>
            <w:szCs w:val="22"/>
          </w:rPr>
          <w:t xml:space="preserve">oxic </w:t>
        </w:r>
      </w:ins>
      <w:ins w:id="52" w:author="amatzke" w:date="2013-01-11T16:45:00Z">
        <w:r w:rsidR="00FA3B97">
          <w:rPr>
            <w:color w:val="000000"/>
            <w:sz w:val="22"/>
            <w:szCs w:val="22"/>
          </w:rPr>
          <w:t>s</w:t>
        </w:r>
      </w:ins>
      <w:ins w:id="53" w:author="amatzke" w:date="2013-01-11T16:41:00Z">
        <w:r w:rsidR="00FA3B97">
          <w:rPr>
            <w:color w:val="000000"/>
            <w:sz w:val="22"/>
            <w:szCs w:val="22"/>
          </w:rPr>
          <w:t>ubstances rule under OAR 340-041-0033</w:t>
        </w:r>
      </w:ins>
      <w:ins w:id="54" w:author="amatzke" w:date="2013-01-11T16:40:00Z">
        <w:r w:rsidR="00FA3B97">
          <w:rPr>
            <w:color w:val="000000"/>
            <w:sz w:val="22"/>
            <w:szCs w:val="22"/>
          </w:rPr>
          <w:t xml:space="preserve"> </w:t>
        </w:r>
      </w:ins>
      <w:del w:id="55"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296B82" w:rsidRPr="00970DCC" w:rsidRDefault="00296B82" w:rsidP="00296B82">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296B82" w:rsidRPr="00970DCC" w:rsidRDefault="00296B82">
      <w:pPr>
        <w:rPr>
          <w:rFonts w:ascii="Times New Roman" w:hAnsi="Times New Roman" w:cs="Times New Roman"/>
        </w:rPr>
      </w:pPr>
    </w:p>
    <w:p w:rsidR="00CB35A2" w:rsidRPr="00970DCC" w:rsidRDefault="00CB35A2" w:rsidP="00CB35A2">
      <w:pPr>
        <w:pStyle w:val="NormalWeb"/>
        <w:shd w:val="clear" w:color="auto" w:fill="FFFFFF"/>
        <w:rPr>
          <w:color w:val="000000"/>
          <w:sz w:val="22"/>
          <w:szCs w:val="22"/>
        </w:rPr>
      </w:pPr>
      <w:r w:rsidRPr="00970DCC">
        <w:rPr>
          <w:rStyle w:val="Strong"/>
          <w:color w:val="000000"/>
          <w:sz w:val="22"/>
          <w:szCs w:val="22"/>
        </w:rPr>
        <w:t>340-040-0020</w:t>
      </w:r>
      <w:r w:rsidR="00D5769D">
        <w:rPr>
          <w:rStyle w:val="Strong"/>
          <w:color w:val="000000"/>
          <w:sz w:val="22"/>
          <w:szCs w:val="22"/>
        </w:rPr>
        <w:t xml:space="preserve"> Groundwater Quality Protection</w:t>
      </w:r>
    </w:p>
    <w:p w:rsidR="00CB35A2" w:rsidRPr="00970DCC" w:rsidRDefault="00CB35A2" w:rsidP="00CB35A2">
      <w:pPr>
        <w:pStyle w:val="NormalWeb"/>
        <w:shd w:val="clear" w:color="auto" w:fill="FFFFFF"/>
        <w:rPr>
          <w:color w:val="000000"/>
          <w:sz w:val="22"/>
          <w:szCs w:val="22"/>
        </w:rPr>
      </w:pPr>
      <w:r w:rsidRPr="00970DCC">
        <w:rPr>
          <w:rStyle w:val="Strong"/>
          <w:color w:val="000000"/>
          <w:sz w:val="22"/>
          <w:szCs w:val="22"/>
        </w:rPr>
        <w:t>General Policies</w:t>
      </w:r>
    </w:p>
    <w:p w:rsidR="00CB35A2" w:rsidRPr="00970DCC" w:rsidRDefault="00CB35A2" w:rsidP="00CB35A2">
      <w:pPr>
        <w:pStyle w:val="NormalWeb"/>
        <w:shd w:val="clear" w:color="auto" w:fill="FFFFFF"/>
        <w:rPr>
          <w:color w:val="000000"/>
          <w:sz w:val="22"/>
          <w:szCs w:val="22"/>
        </w:rPr>
      </w:pPr>
      <w:r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CB35A2" w:rsidRPr="00970DCC" w:rsidRDefault="00CB35A2" w:rsidP="00CB35A2">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CB35A2" w:rsidRPr="00970DCC" w:rsidRDefault="00CB35A2" w:rsidP="00CB35A2">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CB35A2" w:rsidRPr="00970DCC" w:rsidRDefault="00CB35A2" w:rsidP="00CB35A2">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 (</w:t>
      </w:r>
      <w:commentRangeStart w:id="56"/>
      <w:r w:rsidRPr="00970DCC">
        <w:rPr>
          <w:color w:val="000000"/>
          <w:sz w:val="22"/>
          <w:szCs w:val="22"/>
        </w:rPr>
        <w:t>OAR 340-041-0026(1</w:t>
      </w:r>
      <w:proofErr w:type="gramStart"/>
      <w:r w:rsidRPr="00970DCC">
        <w:rPr>
          <w:color w:val="000000"/>
          <w:sz w:val="22"/>
          <w:szCs w:val="22"/>
        </w:rPr>
        <w:t>)(</w:t>
      </w:r>
      <w:proofErr w:type="gramEnd"/>
      <w:r w:rsidRPr="00970DCC">
        <w:rPr>
          <w:color w:val="000000"/>
          <w:sz w:val="22"/>
          <w:szCs w:val="22"/>
        </w:rPr>
        <w:t xml:space="preserve">a)) </w:t>
      </w:r>
      <w:commentRangeEnd w:id="56"/>
      <w:r w:rsidR="005C1572">
        <w:rPr>
          <w:rStyle w:val="CommentReference"/>
          <w:rFonts w:asciiTheme="minorHAnsi" w:eastAsiaTheme="minorHAnsi" w:hAnsiTheme="minorHAnsi" w:cstheme="minorBidi"/>
        </w:rPr>
        <w:commentReference w:id="56"/>
      </w:r>
      <w:r w:rsidRPr="00970DCC">
        <w:rPr>
          <w:color w:val="000000"/>
          <w:sz w:val="22"/>
          <w:szCs w:val="22"/>
        </w:rPr>
        <w:t>to maintain and preserve the highest possible water quality.</w:t>
      </w:r>
    </w:p>
    <w:p w:rsidR="00CB35A2" w:rsidRPr="00970DCC" w:rsidRDefault="00CB35A2" w:rsidP="00CB35A2">
      <w:pPr>
        <w:pStyle w:val="NormalWeb"/>
        <w:shd w:val="clear" w:color="auto" w:fill="FFFFFF"/>
        <w:rPr>
          <w:color w:val="000000"/>
          <w:sz w:val="22"/>
          <w:szCs w:val="22"/>
        </w:rPr>
      </w:pPr>
      <w:r w:rsidRPr="00970DCC">
        <w:rPr>
          <w:color w:val="000000"/>
          <w:sz w:val="22"/>
          <w:szCs w:val="22"/>
        </w:rPr>
        <w:lastRenderedPageBreak/>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w:t>
      </w:r>
      <w:ins w:id="57" w:author="amatzke" w:date="2013-01-11T16:47:00Z">
        <w:r w:rsidR="00FA3B97">
          <w:rPr>
            <w:color w:val="000000"/>
            <w:sz w:val="22"/>
            <w:szCs w:val="22"/>
          </w:rPr>
          <w:t>toxic</w:t>
        </w:r>
      </w:ins>
      <w:ins w:id="58" w:author="amatzke" w:date="2013-01-11T16:49:00Z">
        <w:r w:rsidR="005C1572">
          <w:rPr>
            <w:color w:val="000000"/>
            <w:sz w:val="22"/>
            <w:szCs w:val="22"/>
          </w:rPr>
          <w:t>s</w:t>
        </w:r>
      </w:ins>
      <w:ins w:id="59" w:author="amatzke" w:date="2013-01-11T16:48:00Z">
        <w:r w:rsidR="005C1572">
          <w:rPr>
            <w:color w:val="000000"/>
            <w:sz w:val="22"/>
            <w:szCs w:val="22"/>
          </w:rPr>
          <w:t xml:space="preserve"> numeric criteria </w:t>
        </w:r>
      </w:ins>
      <w:del w:id="60" w:author="amatzke" w:date="2013-01-11T16:48:00Z">
        <w:r w:rsidRPr="00970DCC" w:rsidDel="005C1572">
          <w:rPr>
            <w:color w:val="000000"/>
            <w:sz w:val="22"/>
            <w:szCs w:val="22"/>
          </w:rPr>
          <w:delText>values</w:delText>
        </w:r>
      </w:del>
      <w:r w:rsidRPr="00970DCC">
        <w:rPr>
          <w:color w:val="000000"/>
          <w:sz w:val="22"/>
          <w:szCs w:val="22"/>
        </w:rPr>
        <w:t xml:space="preserve"> set forth in OAR </w:t>
      </w:r>
      <w:ins w:id="61" w:author="amatzke" w:date="2013-01-11T16:47:00Z">
        <w:r w:rsidR="00FA3B97">
          <w:rPr>
            <w:color w:val="000000"/>
            <w:sz w:val="22"/>
            <w:szCs w:val="22"/>
          </w:rPr>
          <w:t>340-041-</w:t>
        </w:r>
        <w:proofErr w:type="gramStart"/>
        <w:r w:rsidR="00FA3B97">
          <w:rPr>
            <w:color w:val="000000"/>
            <w:sz w:val="22"/>
            <w:szCs w:val="22"/>
          </w:rPr>
          <w:t>0033</w:t>
        </w:r>
      </w:ins>
      <w:ins w:id="62" w:author="amatzke" w:date="2013-01-11T16:49:00Z">
        <w:r w:rsidR="005C1572">
          <w:rPr>
            <w:color w:val="000000"/>
            <w:sz w:val="22"/>
            <w:szCs w:val="22"/>
          </w:rPr>
          <w:t xml:space="preserve"> </w:t>
        </w:r>
      </w:ins>
      <w:proofErr w:type="gramEnd"/>
      <w:del w:id="63" w:author="amatzke" w:date="2013-01-11T16:49:00Z">
        <w:r w:rsidRPr="00970DCC" w:rsidDel="005C1572">
          <w:rPr>
            <w:color w:val="000000"/>
            <w:sz w:val="22"/>
            <w:szCs w:val="22"/>
          </w:rPr>
          <w:delText xml:space="preserve">Chapter 340, Division 41, </w:delText>
        </w:r>
        <w:commentRangeStart w:id="64"/>
        <w:r w:rsidRPr="00970DCC" w:rsidDel="005C1572">
          <w:rPr>
            <w:color w:val="000000"/>
            <w:sz w:val="22"/>
            <w:szCs w:val="22"/>
            <w:highlight w:val="yellow"/>
          </w:rPr>
          <w:delText>Table 20</w:delText>
        </w:r>
      </w:del>
      <w:r w:rsidRPr="00970DCC">
        <w:rPr>
          <w:color w:val="000000"/>
          <w:sz w:val="22"/>
          <w:szCs w:val="22"/>
        </w:rPr>
        <w:t>.</w:t>
      </w:r>
      <w:commentRangeEnd w:id="64"/>
      <w:r w:rsidR="00F20301">
        <w:rPr>
          <w:rStyle w:val="CommentReference"/>
          <w:rFonts w:asciiTheme="minorHAnsi" w:eastAsiaTheme="minorHAnsi" w:hAnsiTheme="minorHAnsi" w:cstheme="minorBidi"/>
        </w:rPr>
        <w:commentReference w:id="64"/>
      </w:r>
    </w:p>
    <w:p w:rsidR="00CB35A2" w:rsidRPr="00970DCC" w:rsidRDefault="00CB35A2" w:rsidP="00CB35A2">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CB35A2" w:rsidRPr="00970DCC" w:rsidRDefault="00CB35A2" w:rsidP="00CB35A2">
      <w:pPr>
        <w:pStyle w:val="NormalWeb"/>
        <w:shd w:val="clear" w:color="auto" w:fill="FFFFFF"/>
        <w:rPr>
          <w:color w:val="000000"/>
          <w:sz w:val="22"/>
          <w:szCs w:val="22"/>
        </w:rPr>
      </w:pPr>
      <w:r w:rsidRPr="00970DCC">
        <w:rPr>
          <w:rStyle w:val="Strong"/>
          <w:color w:val="000000"/>
          <w:sz w:val="22"/>
          <w:szCs w:val="22"/>
        </w:rPr>
        <w:t>340-040-0080</w:t>
      </w:r>
    </w:p>
    <w:p w:rsidR="00CB35A2" w:rsidRPr="00970DCC" w:rsidRDefault="00CB35A2" w:rsidP="00CB35A2">
      <w:pPr>
        <w:pStyle w:val="NormalWeb"/>
        <w:shd w:val="clear" w:color="auto" w:fill="FFFFFF"/>
        <w:rPr>
          <w:color w:val="000000"/>
          <w:sz w:val="22"/>
          <w:szCs w:val="22"/>
        </w:rPr>
      </w:pPr>
      <w:r w:rsidRPr="00970DCC">
        <w:rPr>
          <w:rStyle w:val="Strong"/>
          <w:color w:val="000000"/>
          <w:sz w:val="22"/>
          <w:szCs w:val="22"/>
        </w:rPr>
        <w:t>Numerical Groundwater Quality Reference Levels and Guidance Levels</w:t>
      </w:r>
    </w:p>
    <w:p w:rsidR="00CB35A2" w:rsidRPr="00970DCC" w:rsidRDefault="00CB35A2" w:rsidP="00CB35A2">
      <w:pPr>
        <w:pStyle w:val="NormalWeb"/>
        <w:shd w:val="clear" w:color="auto" w:fill="FFFFFF"/>
        <w:rPr>
          <w:color w:val="000000"/>
          <w:sz w:val="22"/>
          <w:szCs w:val="22"/>
        </w:rPr>
      </w:pPr>
      <w:r w:rsidRPr="00970DCC">
        <w:rPr>
          <w:color w:val="000000"/>
          <w:sz w:val="22"/>
          <w:szCs w:val="22"/>
        </w:rPr>
        <w:t>(1) The numerical groundwater quality reference levels and guidance levels contained in </w:t>
      </w:r>
      <w:r w:rsidRPr="00970DCC">
        <w:rPr>
          <w:rStyle w:val="Strong"/>
          <w:color w:val="000000"/>
          <w:sz w:val="22"/>
          <w:szCs w:val="22"/>
        </w:rPr>
        <w:t>Tables 1 through 3</w:t>
      </w:r>
      <w:r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CB35A2" w:rsidRPr="00970DCC" w:rsidRDefault="00CB35A2" w:rsidP="00CB35A2">
      <w:pPr>
        <w:pStyle w:val="NormalWeb"/>
        <w:shd w:val="clear" w:color="auto" w:fill="FFFFFF"/>
        <w:rPr>
          <w:color w:val="000000"/>
          <w:sz w:val="22"/>
          <w:szCs w:val="22"/>
        </w:rPr>
      </w:pPr>
      <w:r w:rsidRPr="00970DCC">
        <w:rPr>
          <w:color w:val="000000"/>
          <w:sz w:val="22"/>
          <w:szCs w:val="22"/>
        </w:rPr>
        <w:t xml:space="preserve">(2) The Department shall periodically review information as it becomes available for establishing new numerical groundwater quality reference levels and guidance levels, and to ensure </w:t>
      </w:r>
      <w:proofErr w:type="spellStart"/>
      <w:r w:rsidRPr="00970DCC">
        <w:rPr>
          <w:color w:val="000000"/>
          <w:sz w:val="22"/>
          <w:szCs w:val="22"/>
        </w:rPr>
        <w:t>consis-tency</w:t>
      </w:r>
      <w:proofErr w:type="spellEnd"/>
      <w:r w:rsidRPr="00970DCC">
        <w:rPr>
          <w:color w:val="000000"/>
          <w:sz w:val="22"/>
          <w:szCs w:val="22"/>
        </w:rPr>
        <w:t xml:space="preserve"> with other statutorily mandated standards.</w:t>
      </w:r>
    </w:p>
    <w:p w:rsidR="00CB35A2" w:rsidRPr="00970DCC" w:rsidRDefault="00CB35A2" w:rsidP="00CB35A2">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CB35A2" w:rsidRPr="00970DCC" w:rsidRDefault="00CB35A2" w:rsidP="00CB35A2">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CB35A2" w:rsidRPr="00970DCC" w:rsidRDefault="00CB35A2" w:rsidP="00CB35A2">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w:t>
      </w:r>
      <w:ins w:id="65" w:author="amatzke" w:date="2013-01-11T16:50:00Z">
        <w:r w:rsidR="005C1572">
          <w:rPr>
            <w:color w:val="000000"/>
            <w:sz w:val="22"/>
            <w:szCs w:val="22"/>
          </w:rPr>
          <w:t xml:space="preserve">toxics numeric criteria </w:t>
        </w:r>
      </w:ins>
      <w:del w:id="66" w:author="amatzke" w:date="2013-01-11T16:50:00Z">
        <w:r w:rsidRPr="00970DCC" w:rsidDel="005C1572">
          <w:rPr>
            <w:color w:val="000000"/>
            <w:sz w:val="22"/>
            <w:szCs w:val="22"/>
          </w:rPr>
          <w:delText xml:space="preserve">values </w:delText>
        </w:r>
      </w:del>
      <w:r w:rsidRPr="00970DCC">
        <w:rPr>
          <w:color w:val="000000"/>
          <w:sz w:val="22"/>
          <w:szCs w:val="22"/>
        </w:rPr>
        <w:t xml:space="preserve">set forth in OAR </w:t>
      </w:r>
      <w:ins w:id="67" w:author="amatzke" w:date="2013-01-11T16:51:00Z">
        <w:r w:rsidR="005C1572">
          <w:rPr>
            <w:color w:val="000000"/>
            <w:sz w:val="22"/>
            <w:szCs w:val="22"/>
          </w:rPr>
          <w:t>340-041-0033</w:t>
        </w:r>
      </w:ins>
      <w:del w:id="68" w:author="amatzke" w:date="2013-01-11T16:51:00Z">
        <w:r w:rsidRPr="00970DCC" w:rsidDel="005C1572">
          <w:rPr>
            <w:color w:val="000000"/>
            <w:sz w:val="22"/>
            <w:szCs w:val="22"/>
          </w:rPr>
          <w:delText xml:space="preserve">Chapter 340, Division 41, </w:delText>
        </w:r>
        <w:commentRangeStart w:id="69"/>
        <w:r w:rsidRPr="00970DCC" w:rsidDel="005C1572">
          <w:rPr>
            <w:color w:val="000000"/>
            <w:sz w:val="22"/>
            <w:szCs w:val="22"/>
            <w:highlight w:val="yellow"/>
          </w:rPr>
          <w:delText>Table 20</w:delText>
        </w:r>
      </w:del>
      <w:r w:rsidRPr="00970DCC">
        <w:rPr>
          <w:color w:val="000000"/>
          <w:sz w:val="22"/>
          <w:szCs w:val="22"/>
          <w:highlight w:val="yellow"/>
        </w:rPr>
        <w:t>.</w:t>
      </w:r>
      <w:commentRangeEnd w:id="69"/>
      <w:r w:rsidR="00F20301">
        <w:rPr>
          <w:rStyle w:val="CommentReference"/>
          <w:rFonts w:asciiTheme="minorHAnsi" w:eastAsiaTheme="minorHAnsi" w:hAnsiTheme="minorHAnsi" w:cstheme="minorBidi"/>
        </w:rPr>
        <w:commentReference w:id="69"/>
      </w:r>
    </w:p>
    <w:p w:rsidR="00CB35A2" w:rsidRPr="00431A1B" w:rsidRDefault="00CB35A2">
      <w:pPr>
        <w:rPr>
          <w:rFonts w:ascii="Times New Roman" w:hAnsi="Times New Roman" w:cs="Times New Roman"/>
        </w:rPr>
      </w:pPr>
    </w:p>
    <w:sectPr w:rsidR="00CB35A2" w:rsidRPr="00431A1B" w:rsidSect="00E05271">
      <w:footerReference w:type="default" r:id="rId1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6" w:author="amatzke" w:date="2013-01-11T16:58:00Z" w:initials="alm">
    <w:p w:rsidR="00956C36" w:rsidRDefault="00956C36">
      <w:pPr>
        <w:pStyle w:val="CommentText"/>
      </w:pPr>
      <w:r>
        <w:rPr>
          <w:rStyle w:val="CommentReference"/>
        </w:rPr>
        <w:annotationRef/>
      </w:r>
      <w:r>
        <w:t>-0026 does not exist anymore.  Should this reference instead the Statewide Narrative Criteria in OAR 340-041-0007?</w:t>
      </w:r>
    </w:p>
  </w:comment>
  <w:comment w:id="64" w:author="amatzke" w:date="2013-01-11T09:44:00Z" w:initials="alm">
    <w:p w:rsidR="00956C36" w:rsidRDefault="00956C36">
      <w:pPr>
        <w:pStyle w:val="CommentText"/>
      </w:pPr>
      <w:r>
        <w:rPr>
          <w:rStyle w:val="CommentReference"/>
        </w:rPr>
        <w:annotationRef/>
      </w:r>
      <w:r>
        <w:t>Need to check in with GW folks to verify this change.</w:t>
      </w:r>
    </w:p>
  </w:comment>
  <w:comment w:id="69" w:author="amatzke" w:date="2013-01-11T09:45:00Z" w:initials="alm">
    <w:p w:rsidR="00956C36" w:rsidRDefault="00956C36">
      <w:pPr>
        <w:pStyle w:val="CommentText"/>
      </w:pPr>
      <w:r>
        <w:rPr>
          <w:rStyle w:val="CommentReference"/>
        </w:rPr>
        <w:annotationRef/>
      </w:r>
      <w:r>
        <w:t>Again, need to check in w/ GW folks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C36" w:rsidRDefault="00956C36" w:rsidP="00D5769D">
      <w:pPr>
        <w:spacing w:after="0" w:line="240" w:lineRule="auto"/>
      </w:pPr>
      <w:r>
        <w:separator/>
      </w:r>
    </w:p>
  </w:endnote>
  <w:endnote w:type="continuationSeparator" w:id="0">
    <w:p w:rsidR="00956C36" w:rsidRDefault="00956C36"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22170"/>
      <w:docPartObj>
        <w:docPartGallery w:val="Page Numbers (Bottom of Page)"/>
        <w:docPartUnique/>
      </w:docPartObj>
    </w:sdtPr>
    <w:sdtContent>
      <w:p w:rsidR="00956C36" w:rsidRDefault="00956C36">
        <w:pPr>
          <w:pStyle w:val="Footer"/>
          <w:jc w:val="center"/>
        </w:pPr>
        <w:fldSimple w:instr=" PAGE   \* MERGEFORMAT ">
          <w:r w:rsidR="00F30D87">
            <w:rPr>
              <w:noProof/>
            </w:rPr>
            <w:t>6</w:t>
          </w:r>
        </w:fldSimple>
      </w:p>
    </w:sdtContent>
  </w:sdt>
  <w:p w:rsidR="00956C36" w:rsidRDefault="00956C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C36" w:rsidRDefault="00956C36" w:rsidP="00D5769D">
      <w:pPr>
        <w:spacing w:after="0" w:line="240" w:lineRule="auto"/>
      </w:pPr>
      <w:r>
        <w:separator/>
      </w:r>
    </w:p>
  </w:footnote>
  <w:footnote w:type="continuationSeparator" w:id="0">
    <w:p w:rsidR="00956C36" w:rsidRDefault="00956C36" w:rsidP="00D576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characterSpacingControl w:val="doNotCompress"/>
  <w:footnotePr>
    <w:footnote w:id="-1"/>
    <w:footnote w:id="0"/>
  </w:footnotePr>
  <w:endnotePr>
    <w:endnote w:id="-1"/>
    <w:endnote w:id="0"/>
  </w:endnotePr>
  <w:compat/>
  <w:rsids>
    <w:rsidRoot w:val="00431A1B"/>
    <w:rsid w:val="00021F2F"/>
    <w:rsid w:val="00026F5B"/>
    <w:rsid w:val="000314FF"/>
    <w:rsid w:val="000360AB"/>
    <w:rsid w:val="00056B0C"/>
    <w:rsid w:val="0006636A"/>
    <w:rsid w:val="000A4B54"/>
    <w:rsid w:val="000B5072"/>
    <w:rsid w:val="00101F3A"/>
    <w:rsid w:val="00136128"/>
    <w:rsid w:val="00146749"/>
    <w:rsid w:val="001A5886"/>
    <w:rsid w:val="001D0E68"/>
    <w:rsid w:val="0021014B"/>
    <w:rsid w:val="002715CB"/>
    <w:rsid w:val="0029423B"/>
    <w:rsid w:val="00296B82"/>
    <w:rsid w:val="003211A0"/>
    <w:rsid w:val="003265F2"/>
    <w:rsid w:val="00360E32"/>
    <w:rsid w:val="003B2F13"/>
    <w:rsid w:val="003B68E6"/>
    <w:rsid w:val="003C1553"/>
    <w:rsid w:val="003F588E"/>
    <w:rsid w:val="00420BEB"/>
    <w:rsid w:val="00423242"/>
    <w:rsid w:val="00431A1B"/>
    <w:rsid w:val="00460D36"/>
    <w:rsid w:val="00466F9A"/>
    <w:rsid w:val="004C029E"/>
    <w:rsid w:val="004D33AA"/>
    <w:rsid w:val="004F5EC8"/>
    <w:rsid w:val="004F7DEE"/>
    <w:rsid w:val="00540ED1"/>
    <w:rsid w:val="00561631"/>
    <w:rsid w:val="0057706A"/>
    <w:rsid w:val="0058468D"/>
    <w:rsid w:val="005C1572"/>
    <w:rsid w:val="005E7281"/>
    <w:rsid w:val="005F2444"/>
    <w:rsid w:val="006043A3"/>
    <w:rsid w:val="006750DB"/>
    <w:rsid w:val="006941FA"/>
    <w:rsid w:val="006A5DC8"/>
    <w:rsid w:val="006B2F9A"/>
    <w:rsid w:val="006B366D"/>
    <w:rsid w:val="007D5E6D"/>
    <w:rsid w:val="007F1494"/>
    <w:rsid w:val="008360C4"/>
    <w:rsid w:val="008F7ED6"/>
    <w:rsid w:val="00913F9B"/>
    <w:rsid w:val="0095547B"/>
    <w:rsid w:val="00956C36"/>
    <w:rsid w:val="00970DCC"/>
    <w:rsid w:val="009738A6"/>
    <w:rsid w:val="009741DE"/>
    <w:rsid w:val="00974594"/>
    <w:rsid w:val="009A7D37"/>
    <w:rsid w:val="00A3058F"/>
    <w:rsid w:val="00A36679"/>
    <w:rsid w:val="00A47BE6"/>
    <w:rsid w:val="00A71E49"/>
    <w:rsid w:val="00A72AEE"/>
    <w:rsid w:val="00A92BD1"/>
    <w:rsid w:val="00AB22D9"/>
    <w:rsid w:val="00AD5C75"/>
    <w:rsid w:val="00B37F31"/>
    <w:rsid w:val="00B47528"/>
    <w:rsid w:val="00B5333B"/>
    <w:rsid w:val="00B57FC5"/>
    <w:rsid w:val="00B81EE0"/>
    <w:rsid w:val="00BE73C9"/>
    <w:rsid w:val="00C30061"/>
    <w:rsid w:val="00C70532"/>
    <w:rsid w:val="00C70B3E"/>
    <w:rsid w:val="00C84EDD"/>
    <w:rsid w:val="00C90BDE"/>
    <w:rsid w:val="00C91D5D"/>
    <w:rsid w:val="00CA5A76"/>
    <w:rsid w:val="00CB35A2"/>
    <w:rsid w:val="00CD1C5B"/>
    <w:rsid w:val="00D31902"/>
    <w:rsid w:val="00D5769D"/>
    <w:rsid w:val="00D74671"/>
    <w:rsid w:val="00D81D96"/>
    <w:rsid w:val="00DD3E44"/>
    <w:rsid w:val="00E02A1C"/>
    <w:rsid w:val="00E05271"/>
    <w:rsid w:val="00E944F1"/>
    <w:rsid w:val="00EE7B0A"/>
    <w:rsid w:val="00F20301"/>
    <w:rsid w:val="00F2560E"/>
    <w:rsid w:val="00F26310"/>
    <w:rsid w:val="00F30D87"/>
    <w:rsid w:val="00FA3B97"/>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semiHidden/>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semiHidden/>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uiPriority w:val="99"/>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2F"/>
    <w:rPr>
      <w:rFonts w:ascii="Tahoma" w:hAnsi="Tahoma" w:cs="Tahoma"/>
      <w:sz w:val="16"/>
      <w:szCs w:val="16"/>
    </w:rPr>
  </w:style>
  <w:style w:type="character" w:styleId="Hyperlink">
    <w:name w:val="Hyperlink"/>
    <w:basedOn w:val="DefaultParagraphFont"/>
    <w:uiPriority w:val="99"/>
    <w:semiHidden/>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semiHidden/>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s>
</file>

<file path=word/webSettings.xml><?xml version="1.0" encoding="utf-8"?>
<w:webSettings xmlns:r="http://schemas.openxmlformats.org/officeDocument/2006/relationships" xmlns:w="http://schemas.openxmlformats.org/wordprocessingml/2006/main">
  <w:divs>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340_04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cweb.sos.state.or.us/pages/rules/oars_300/oar_340/340_04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arcweb.sos.state.or.us/pages/rules/oars_300/oar_340/340_0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7</Pages>
  <Words>3137</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8</cp:revision>
  <cp:lastPrinted>2013-01-11T22:49:00Z</cp:lastPrinted>
  <dcterms:created xsi:type="dcterms:W3CDTF">2013-01-11T01:01:00Z</dcterms:created>
  <dcterms:modified xsi:type="dcterms:W3CDTF">2013-01-14T22:03:00Z</dcterms:modified>
</cp:coreProperties>
</file>