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AF3" w:rsidRDefault="009E5AF3" w:rsidP="009E5AF3"/>
    <w:p w:rsidR="00E316B3" w:rsidRDefault="00E316B3" w:rsidP="009E5AF3">
      <w:pPr>
        <w:rPr>
          <w:b/>
        </w:rPr>
      </w:pPr>
    </w:p>
    <w:p w:rsidR="00E316B3" w:rsidRDefault="00E316B3" w:rsidP="009E5AF3">
      <w:pPr>
        <w:rPr>
          <w:b/>
        </w:rPr>
      </w:pPr>
      <w:r>
        <w:rPr>
          <w:b/>
        </w:rPr>
        <w:t>Rulemaking Timelines:</w:t>
      </w:r>
    </w:p>
    <w:p w:rsidR="00E316B3" w:rsidRPr="00E316B3" w:rsidRDefault="00E316B3" w:rsidP="00E316B3">
      <w:pPr>
        <w:pStyle w:val="ListParagraph"/>
        <w:numPr>
          <w:ilvl w:val="0"/>
          <w:numId w:val="4"/>
        </w:numPr>
        <w:rPr>
          <w:b/>
        </w:rPr>
      </w:pPr>
      <w:r>
        <w:t>Notice of Proposed Rulemaking to Sec. of State:  Feb. 15</w:t>
      </w:r>
    </w:p>
    <w:p w:rsidR="00E316B3" w:rsidRPr="00E316B3" w:rsidRDefault="00E316B3" w:rsidP="00E316B3">
      <w:pPr>
        <w:pStyle w:val="ListParagraph"/>
        <w:numPr>
          <w:ilvl w:val="1"/>
          <w:numId w:val="4"/>
        </w:numPr>
        <w:rPr>
          <w:b/>
        </w:rPr>
      </w:pPr>
      <w:r>
        <w:t xml:space="preserve">Includes:  </w:t>
      </w:r>
      <w:r w:rsidR="002F4D26">
        <w:t>draft f</w:t>
      </w:r>
      <w:r>
        <w:t>iscal, proposed rules, announcement, other rulemaking documents</w:t>
      </w:r>
    </w:p>
    <w:p w:rsidR="00E316B3" w:rsidRPr="00E316B3" w:rsidRDefault="00E316B3" w:rsidP="00E316B3">
      <w:pPr>
        <w:pStyle w:val="ListParagraph"/>
        <w:numPr>
          <w:ilvl w:val="1"/>
          <w:numId w:val="4"/>
        </w:numPr>
        <w:rPr>
          <w:b/>
        </w:rPr>
      </w:pPr>
      <w:r>
        <w:t>Will have one public hearing in Portland around Mar. 19</w:t>
      </w:r>
    </w:p>
    <w:p w:rsidR="00E316B3" w:rsidRPr="00E316B3" w:rsidRDefault="00E316B3" w:rsidP="00E316B3">
      <w:pPr>
        <w:pStyle w:val="ListParagraph"/>
        <w:numPr>
          <w:ilvl w:val="0"/>
          <w:numId w:val="4"/>
        </w:numPr>
        <w:rPr>
          <w:b/>
        </w:rPr>
      </w:pPr>
      <w:r>
        <w:t>Public Comment Period:  Mar. 1 – April 1</w:t>
      </w:r>
    </w:p>
    <w:p w:rsidR="00E316B3" w:rsidRPr="00E316B3" w:rsidRDefault="00E316B3" w:rsidP="00E316B3">
      <w:pPr>
        <w:pStyle w:val="ListParagraph"/>
        <w:numPr>
          <w:ilvl w:val="0"/>
          <w:numId w:val="4"/>
        </w:numPr>
        <w:rPr>
          <w:b/>
        </w:rPr>
      </w:pPr>
      <w:r>
        <w:t>EQC Adoption:  June 19-20</w:t>
      </w:r>
    </w:p>
    <w:p w:rsidR="00E316B3" w:rsidRPr="00E316B3" w:rsidRDefault="00E316B3" w:rsidP="00E316B3">
      <w:pPr>
        <w:pStyle w:val="ListParagraph"/>
        <w:numPr>
          <w:ilvl w:val="0"/>
          <w:numId w:val="4"/>
        </w:numPr>
        <w:rPr>
          <w:b/>
        </w:rPr>
      </w:pPr>
      <w:r>
        <w:t xml:space="preserve">Submit to EPA for approval:  July 31 </w:t>
      </w:r>
    </w:p>
    <w:p w:rsidR="009E5AF3" w:rsidRPr="009E5AF3" w:rsidRDefault="009E5AF3" w:rsidP="009E5AF3">
      <w:pPr>
        <w:rPr>
          <w:b/>
        </w:rPr>
      </w:pPr>
      <w:r w:rsidRPr="009E5AF3">
        <w:rPr>
          <w:b/>
        </w:rPr>
        <w:t>Fiscal Notes:</w:t>
      </w:r>
    </w:p>
    <w:p w:rsidR="00B92536" w:rsidRPr="009E5AF3" w:rsidRDefault="00B92536" w:rsidP="009E5AF3">
      <w:pPr>
        <w:numPr>
          <w:ilvl w:val="0"/>
          <w:numId w:val="1"/>
        </w:numPr>
      </w:pPr>
      <w:r w:rsidRPr="009E5AF3">
        <w:t>Submitted as part of the proposed rule package to the Secretary of State</w:t>
      </w:r>
    </w:p>
    <w:p w:rsidR="00B92536" w:rsidRDefault="00B92536" w:rsidP="009E5AF3">
      <w:pPr>
        <w:numPr>
          <w:ilvl w:val="0"/>
          <w:numId w:val="1"/>
        </w:numPr>
      </w:pPr>
      <w:r w:rsidRPr="009E5AF3">
        <w:t xml:space="preserve">Developed to inform </w:t>
      </w:r>
      <w:r w:rsidRPr="009E5AF3">
        <w:rPr>
          <w:u w:val="single"/>
        </w:rPr>
        <w:t>DEQ</w:t>
      </w:r>
      <w:r w:rsidRPr="009E5AF3">
        <w:t xml:space="preserve">, the </w:t>
      </w:r>
      <w:r w:rsidRPr="009E5AF3">
        <w:rPr>
          <w:u w:val="single"/>
        </w:rPr>
        <w:t>public</w:t>
      </w:r>
      <w:r w:rsidRPr="009E5AF3">
        <w:t xml:space="preserve">, and </w:t>
      </w:r>
      <w:r w:rsidRPr="009E5AF3">
        <w:rPr>
          <w:u w:val="single"/>
        </w:rPr>
        <w:t>EQC</w:t>
      </w:r>
      <w:r w:rsidRPr="009E5AF3">
        <w:t xml:space="preserve"> of the potential economic impacts of specific proposed rules </w:t>
      </w:r>
    </w:p>
    <w:p w:rsidR="00B92536" w:rsidRPr="009E5AF3" w:rsidRDefault="00B92536" w:rsidP="009E5AF3">
      <w:pPr>
        <w:numPr>
          <w:ilvl w:val="0"/>
          <w:numId w:val="1"/>
        </w:numPr>
      </w:pPr>
      <w:r w:rsidRPr="009E5AF3">
        <w:t>Describes all direct and indirect economic impacts to DEQ and other state agencies, regulated community, the general public, local governments, and small and large businesses</w:t>
      </w:r>
    </w:p>
    <w:p w:rsidR="00B92536" w:rsidRPr="009E5AF3" w:rsidRDefault="00B92536" w:rsidP="009E5AF3">
      <w:pPr>
        <w:numPr>
          <w:ilvl w:val="0"/>
          <w:numId w:val="1"/>
        </w:numPr>
      </w:pPr>
      <w:r w:rsidRPr="009E5AF3">
        <w:t>In considering economic effects, the agency shall utilize available information to project any significant economic effect of that action</w:t>
      </w:r>
    </w:p>
    <w:p w:rsidR="009E5AF3" w:rsidRPr="009E5AF3" w:rsidRDefault="00E316B3" w:rsidP="009E5AF3">
      <w:pPr>
        <w:numPr>
          <w:ilvl w:val="0"/>
          <w:numId w:val="1"/>
        </w:numPr>
      </w:pPr>
      <w:r>
        <w:t xml:space="preserve">Need to assess impact to small businesses:  </w:t>
      </w:r>
      <w:r w:rsidR="009E5AF3" w:rsidRPr="009E5AF3">
        <w:t>"Small business" means a corporation, partnership, sole proprietorship or other legal entity formed for the purpose of making a profit, which is independently owned and operated from all other businesses and which has 50 or fewer employees (per 183.310(10)).</w:t>
      </w:r>
    </w:p>
    <w:p w:rsidR="00E316B3" w:rsidRDefault="00E316B3" w:rsidP="009E5AF3">
      <w:pPr>
        <w:numPr>
          <w:ilvl w:val="1"/>
          <w:numId w:val="1"/>
        </w:numPr>
      </w:pPr>
      <w:r>
        <w:t xml:space="preserve">Toxics </w:t>
      </w:r>
      <w:r w:rsidR="009E5AF3" w:rsidRPr="009E5AF3">
        <w:t>Reps:  AOI, Oregonians for F</w:t>
      </w:r>
      <w:r>
        <w:t>ood and Shelter, OR Farm Bureau</w:t>
      </w:r>
    </w:p>
    <w:p w:rsidR="009E5AF3" w:rsidRPr="009E5AF3" w:rsidRDefault="009E5AF3" w:rsidP="009E5AF3">
      <w:pPr>
        <w:numPr>
          <w:ilvl w:val="1"/>
          <w:numId w:val="1"/>
        </w:numPr>
      </w:pPr>
      <w:r w:rsidRPr="009E5AF3">
        <w:t xml:space="preserve"> </w:t>
      </w:r>
      <w:r w:rsidR="00E316B3">
        <w:t xml:space="preserve">NPS Reps:  AOI, </w:t>
      </w:r>
      <w:r w:rsidR="00E316B3" w:rsidRPr="009E5AF3">
        <w:t>Oregonians for F</w:t>
      </w:r>
      <w:r w:rsidR="00E316B3">
        <w:t xml:space="preserve">ood and Shelter, OR Farm Bureau, </w:t>
      </w:r>
      <w:r w:rsidRPr="009E5AF3">
        <w:t xml:space="preserve">OR Forest Industries Council, </w:t>
      </w:r>
      <w:r w:rsidR="00E316B3">
        <w:t xml:space="preserve">and </w:t>
      </w:r>
      <w:r w:rsidRPr="009E5AF3">
        <w:t>O</w:t>
      </w:r>
      <w:r w:rsidR="00E316B3">
        <w:t>R Small Woodlands Association</w:t>
      </w:r>
    </w:p>
    <w:p w:rsidR="00B92536" w:rsidRPr="009E5AF3" w:rsidRDefault="00B92536" w:rsidP="009E5AF3">
      <w:pPr>
        <w:numPr>
          <w:ilvl w:val="0"/>
          <w:numId w:val="1"/>
        </w:numPr>
      </w:pPr>
      <w:r w:rsidRPr="009E5AF3">
        <w:t>The fis</w:t>
      </w:r>
      <w:r w:rsidR="00E316B3">
        <w:t xml:space="preserve">cal impact analyzes </w:t>
      </w:r>
      <w:r w:rsidRPr="009E5AF3">
        <w:t>cost</w:t>
      </w:r>
      <w:r w:rsidR="009E5AF3">
        <w:t>s based on proposed rule changes—not on existing rules/criteria</w:t>
      </w:r>
    </w:p>
    <w:p w:rsidR="009E5AF3" w:rsidRPr="009E5AF3" w:rsidRDefault="009E5AF3" w:rsidP="00B92536">
      <w:pPr>
        <w:ind w:left="720"/>
      </w:pPr>
    </w:p>
    <w:p w:rsidR="00E05271" w:rsidRPr="002F29F0" w:rsidRDefault="002F29F0">
      <w:pPr>
        <w:rPr>
          <w:b/>
        </w:rPr>
      </w:pPr>
      <w:r w:rsidRPr="002F29F0">
        <w:rPr>
          <w:b/>
        </w:rPr>
        <w:t>DEQ Analysis of Fiscal Impacts:</w:t>
      </w:r>
    </w:p>
    <w:p w:rsidR="00D27065" w:rsidRDefault="00D27065" w:rsidP="002F29F0">
      <w:pPr>
        <w:pStyle w:val="ListParagraph"/>
        <w:numPr>
          <w:ilvl w:val="0"/>
          <w:numId w:val="5"/>
        </w:numPr>
      </w:pPr>
      <w:r>
        <w:t>Generally, DEQ does not anticipate any significant fiscal impacts related to the proposed changes for toxics to the general public, small or large businesses, local governments/cities, or to DEQ</w:t>
      </w:r>
    </w:p>
    <w:p w:rsidR="00FF5A2B" w:rsidRDefault="00D27065" w:rsidP="00FF5A2B">
      <w:pPr>
        <w:pStyle w:val="ListParagraph"/>
        <w:numPr>
          <w:ilvl w:val="0"/>
          <w:numId w:val="5"/>
        </w:numPr>
      </w:pPr>
      <w:r>
        <w:lastRenderedPageBreak/>
        <w:t>DEQ is not proposing new criteria—only correcting criteria (e.g. Se FW chronic)</w:t>
      </w:r>
      <w:r w:rsidR="00FF5A2B">
        <w:t>; reinstating criteria inadvertently removed from Table 33B (FW As and SW Cr VI); or providing clarifying footnotes</w:t>
      </w:r>
      <w:r w:rsidR="00540EF9">
        <w:t>/intro table lang.</w:t>
      </w:r>
      <w:r w:rsidR="00FF5A2B">
        <w:t xml:space="preserve"> (e.g. pesticides)</w:t>
      </w:r>
    </w:p>
    <w:p w:rsidR="00FF5A2B" w:rsidRDefault="00FF5A2B" w:rsidP="00D27065">
      <w:pPr>
        <w:pStyle w:val="ListParagraph"/>
        <w:numPr>
          <w:ilvl w:val="1"/>
          <w:numId w:val="5"/>
        </w:numPr>
      </w:pPr>
      <w:r>
        <w:t xml:space="preserve">Other criteria (not in red) are the regulatory consequences of anticipated EPA approval and disapproval actions.  For criteria disapproved, criteria revert back to last EPA approved criteria (Table 20), if exists.  Therefore, these are not part of the proposed rule changes. </w:t>
      </w:r>
    </w:p>
    <w:p w:rsidR="00FF5A2B" w:rsidRDefault="00FF5A2B" w:rsidP="00D27065">
      <w:pPr>
        <w:pStyle w:val="ListParagraph"/>
        <w:numPr>
          <w:ilvl w:val="1"/>
          <w:numId w:val="5"/>
        </w:numPr>
      </w:pPr>
      <w:r>
        <w:t>Any new or revised criteria were assessed for fiscal impacts back in 2004</w:t>
      </w:r>
    </w:p>
    <w:p w:rsidR="00540EF9" w:rsidRDefault="00540EF9" w:rsidP="00540EF9">
      <w:pPr>
        <w:pStyle w:val="ListParagraph"/>
        <w:ind w:left="1440"/>
      </w:pPr>
    </w:p>
    <w:p w:rsidR="002F29F0" w:rsidRDefault="00540EF9" w:rsidP="00540EF9">
      <w:pPr>
        <w:pStyle w:val="ListParagraph"/>
        <w:numPr>
          <w:ilvl w:val="0"/>
          <w:numId w:val="5"/>
        </w:numPr>
      </w:pPr>
      <w:r>
        <w:t>Regulated businesses, including municipalities, and DEQ will need to do some minor recordkeeping to update records to correctly reference currently effective criteria</w:t>
      </w:r>
    </w:p>
    <w:p w:rsidR="00540EF9" w:rsidRPr="0004751F" w:rsidRDefault="00540EF9" w:rsidP="00540EF9">
      <w:pPr>
        <w:pStyle w:val="ListParagraph"/>
        <w:numPr>
          <w:ilvl w:val="0"/>
          <w:numId w:val="5"/>
        </w:numPr>
      </w:pPr>
      <w:r>
        <w:t xml:space="preserve">DEQ anticipates that the proposed changes to the rules will benefit the regulated community by consolidating 3 </w:t>
      </w:r>
      <w:proofErr w:type="spellStart"/>
      <w:r>
        <w:t>tox</w:t>
      </w:r>
      <w:proofErr w:type="spellEnd"/>
      <w:r>
        <w:t xml:space="preserve"> tables into 1.  </w:t>
      </w:r>
      <w:r w:rsidR="0004751F">
        <w:t xml:space="preserve">Also, it will likely benefit the regulated community and DEQ by promptly responding to EPA’s disapproval action.  </w:t>
      </w:r>
      <w:r w:rsidRPr="0004751F">
        <w:t>According to the CFR’s, if the state does not adopt the changes specified by EPA R10 within 90 days of the disapproval, EPA must “promptly propose and promulgate” the standard.  Therefore, if we do not act, the risks are that EPA promulgates for us, or if they do not, that they are challenged for no</w:t>
      </w:r>
      <w:r w:rsidR="0004751F" w:rsidRPr="0004751F">
        <w:t xml:space="preserve">t doing so </w:t>
      </w:r>
      <w:r w:rsidRPr="0004751F">
        <w:t>(“promptly” is not well defined). </w:t>
      </w:r>
      <w:r w:rsidR="0004751F">
        <w:t>Although DEQ is not responding to all EPA disapproval actions…</w:t>
      </w:r>
    </w:p>
    <w:sectPr w:rsidR="00540EF9" w:rsidRPr="0004751F"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3656"/>
    <w:multiLevelType w:val="hybridMultilevel"/>
    <w:tmpl w:val="8C2E2808"/>
    <w:lvl w:ilvl="0" w:tplc="2910D3DE">
      <w:start w:val="1"/>
      <w:numFmt w:val="bullet"/>
      <w:lvlText w:val="o"/>
      <w:lvlJc w:val="left"/>
      <w:pPr>
        <w:tabs>
          <w:tab w:val="num" w:pos="720"/>
        </w:tabs>
        <w:ind w:left="720" w:hanging="360"/>
      </w:pPr>
      <w:rPr>
        <w:rFonts w:ascii="Courier New" w:hAnsi="Courier New" w:hint="default"/>
      </w:rPr>
    </w:lvl>
    <w:lvl w:ilvl="1" w:tplc="635E7E34" w:tentative="1">
      <w:start w:val="1"/>
      <w:numFmt w:val="bullet"/>
      <w:lvlText w:val="o"/>
      <w:lvlJc w:val="left"/>
      <w:pPr>
        <w:tabs>
          <w:tab w:val="num" w:pos="1440"/>
        </w:tabs>
        <w:ind w:left="1440" w:hanging="360"/>
      </w:pPr>
      <w:rPr>
        <w:rFonts w:ascii="Courier New" w:hAnsi="Courier New" w:hint="default"/>
      </w:rPr>
    </w:lvl>
    <w:lvl w:ilvl="2" w:tplc="EF6A52A0" w:tentative="1">
      <w:start w:val="1"/>
      <w:numFmt w:val="bullet"/>
      <w:lvlText w:val="o"/>
      <w:lvlJc w:val="left"/>
      <w:pPr>
        <w:tabs>
          <w:tab w:val="num" w:pos="2160"/>
        </w:tabs>
        <w:ind w:left="2160" w:hanging="360"/>
      </w:pPr>
      <w:rPr>
        <w:rFonts w:ascii="Courier New" w:hAnsi="Courier New" w:hint="default"/>
      </w:rPr>
    </w:lvl>
    <w:lvl w:ilvl="3" w:tplc="29D891F0" w:tentative="1">
      <w:start w:val="1"/>
      <w:numFmt w:val="bullet"/>
      <w:lvlText w:val="o"/>
      <w:lvlJc w:val="left"/>
      <w:pPr>
        <w:tabs>
          <w:tab w:val="num" w:pos="2880"/>
        </w:tabs>
        <w:ind w:left="2880" w:hanging="360"/>
      </w:pPr>
      <w:rPr>
        <w:rFonts w:ascii="Courier New" w:hAnsi="Courier New" w:hint="default"/>
      </w:rPr>
    </w:lvl>
    <w:lvl w:ilvl="4" w:tplc="43A20C9E" w:tentative="1">
      <w:start w:val="1"/>
      <w:numFmt w:val="bullet"/>
      <w:lvlText w:val="o"/>
      <w:lvlJc w:val="left"/>
      <w:pPr>
        <w:tabs>
          <w:tab w:val="num" w:pos="3600"/>
        </w:tabs>
        <w:ind w:left="3600" w:hanging="360"/>
      </w:pPr>
      <w:rPr>
        <w:rFonts w:ascii="Courier New" w:hAnsi="Courier New" w:hint="default"/>
      </w:rPr>
    </w:lvl>
    <w:lvl w:ilvl="5" w:tplc="8D8A5D8A" w:tentative="1">
      <w:start w:val="1"/>
      <w:numFmt w:val="bullet"/>
      <w:lvlText w:val="o"/>
      <w:lvlJc w:val="left"/>
      <w:pPr>
        <w:tabs>
          <w:tab w:val="num" w:pos="4320"/>
        </w:tabs>
        <w:ind w:left="4320" w:hanging="360"/>
      </w:pPr>
      <w:rPr>
        <w:rFonts w:ascii="Courier New" w:hAnsi="Courier New" w:hint="default"/>
      </w:rPr>
    </w:lvl>
    <w:lvl w:ilvl="6" w:tplc="F608481A" w:tentative="1">
      <w:start w:val="1"/>
      <w:numFmt w:val="bullet"/>
      <w:lvlText w:val="o"/>
      <w:lvlJc w:val="left"/>
      <w:pPr>
        <w:tabs>
          <w:tab w:val="num" w:pos="5040"/>
        </w:tabs>
        <w:ind w:left="5040" w:hanging="360"/>
      </w:pPr>
      <w:rPr>
        <w:rFonts w:ascii="Courier New" w:hAnsi="Courier New" w:hint="default"/>
      </w:rPr>
    </w:lvl>
    <w:lvl w:ilvl="7" w:tplc="610A2A9C" w:tentative="1">
      <w:start w:val="1"/>
      <w:numFmt w:val="bullet"/>
      <w:lvlText w:val="o"/>
      <w:lvlJc w:val="left"/>
      <w:pPr>
        <w:tabs>
          <w:tab w:val="num" w:pos="5760"/>
        </w:tabs>
        <w:ind w:left="5760" w:hanging="360"/>
      </w:pPr>
      <w:rPr>
        <w:rFonts w:ascii="Courier New" w:hAnsi="Courier New" w:hint="default"/>
      </w:rPr>
    </w:lvl>
    <w:lvl w:ilvl="8" w:tplc="104803B4" w:tentative="1">
      <w:start w:val="1"/>
      <w:numFmt w:val="bullet"/>
      <w:lvlText w:val="o"/>
      <w:lvlJc w:val="left"/>
      <w:pPr>
        <w:tabs>
          <w:tab w:val="num" w:pos="6480"/>
        </w:tabs>
        <w:ind w:left="6480" w:hanging="360"/>
      </w:pPr>
      <w:rPr>
        <w:rFonts w:ascii="Courier New" w:hAnsi="Courier New" w:hint="default"/>
      </w:rPr>
    </w:lvl>
  </w:abstractNum>
  <w:abstractNum w:abstractNumId="1">
    <w:nsid w:val="2D490925"/>
    <w:multiLevelType w:val="hybridMultilevel"/>
    <w:tmpl w:val="DFBA5F66"/>
    <w:lvl w:ilvl="0" w:tplc="62AA83E4">
      <w:start w:val="1"/>
      <w:numFmt w:val="bullet"/>
      <w:lvlText w:val="o"/>
      <w:lvlJc w:val="left"/>
      <w:pPr>
        <w:tabs>
          <w:tab w:val="num" w:pos="720"/>
        </w:tabs>
        <w:ind w:left="720" w:hanging="360"/>
      </w:pPr>
      <w:rPr>
        <w:rFonts w:ascii="Courier New" w:hAnsi="Courier New" w:hint="default"/>
      </w:rPr>
    </w:lvl>
    <w:lvl w:ilvl="1" w:tplc="5E844968" w:tentative="1">
      <w:start w:val="1"/>
      <w:numFmt w:val="bullet"/>
      <w:lvlText w:val="o"/>
      <w:lvlJc w:val="left"/>
      <w:pPr>
        <w:tabs>
          <w:tab w:val="num" w:pos="1440"/>
        </w:tabs>
        <w:ind w:left="1440" w:hanging="360"/>
      </w:pPr>
      <w:rPr>
        <w:rFonts w:ascii="Courier New" w:hAnsi="Courier New" w:hint="default"/>
      </w:rPr>
    </w:lvl>
    <w:lvl w:ilvl="2" w:tplc="88BC16F2" w:tentative="1">
      <w:start w:val="1"/>
      <w:numFmt w:val="bullet"/>
      <w:lvlText w:val="o"/>
      <w:lvlJc w:val="left"/>
      <w:pPr>
        <w:tabs>
          <w:tab w:val="num" w:pos="2160"/>
        </w:tabs>
        <w:ind w:left="2160" w:hanging="360"/>
      </w:pPr>
      <w:rPr>
        <w:rFonts w:ascii="Courier New" w:hAnsi="Courier New" w:hint="default"/>
      </w:rPr>
    </w:lvl>
    <w:lvl w:ilvl="3" w:tplc="9E66243C" w:tentative="1">
      <w:start w:val="1"/>
      <w:numFmt w:val="bullet"/>
      <w:lvlText w:val="o"/>
      <w:lvlJc w:val="left"/>
      <w:pPr>
        <w:tabs>
          <w:tab w:val="num" w:pos="2880"/>
        </w:tabs>
        <w:ind w:left="2880" w:hanging="360"/>
      </w:pPr>
      <w:rPr>
        <w:rFonts w:ascii="Courier New" w:hAnsi="Courier New" w:hint="default"/>
      </w:rPr>
    </w:lvl>
    <w:lvl w:ilvl="4" w:tplc="8B5027EE" w:tentative="1">
      <w:start w:val="1"/>
      <w:numFmt w:val="bullet"/>
      <w:lvlText w:val="o"/>
      <w:lvlJc w:val="left"/>
      <w:pPr>
        <w:tabs>
          <w:tab w:val="num" w:pos="3600"/>
        </w:tabs>
        <w:ind w:left="3600" w:hanging="360"/>
      </w:pPr>
      <w:rPr>
        <w:rFonts w:ascii="Courier New" w:hAnsi="Courier New" w:hint="default"/>
      </w:rPr>
    </w:lvl>
    <w:lvl w:ilvl="5" w:tplc="3998EF9A" w:tentative="1">
      <w:start w:val="1"/>
      <w:numFmt w:val="bullet"/>
      <w:lvlText w:val="o"/>
      <w:lvlJc w:val="left"/>
      <w:pPr>
        <w:tabs>
          <w:tab w:val="num" w:pos="4320"/>
        </w:tabs>
        <w:ind w:left="4320" w:hanging="360"/>
      </w:pPr>
      <w:rPr>
        <w:rFonts w:ascii="Courier New" w:hAnsi="Courier New" w:hint="default"/>
      </w:rPr>
    </w:lvl>
    <w:lvl w:ilvl="6" w:tplc="9D2622AE" w:tentative="1">
      <w:start w:val="1"/>
      <w:numFmt w:val="bullet"/>
      <w:lvlText w:val="o"/>
      <w:lvlJc w:val="left"/>
      <w:pPr>
        <w:tabs>
          <w:tab w:val="num" w:pos="5040"/>
        </w:tabs>
        <w:ind w:left="5040" w:hanging="360"/>
      </w:pPr>
      <w:rPr>
        <w:rFonts w:ascii="Courier New" w:hAnsi="Courier New" w:hint="default"/>
      </w:rPr>
    </w:lvl>
    <w:lvl w:ilvl="7" w:tplc="F78EB762" w:tentative="1">
      <w:start w:val="1"/>
      <w:numFmt w:val="bullet"/>
      <w:lvlText w:val="o"/>
      <w:lvlJc w:val="left"/>
      <w:pPr>
        <w:tabs>
          <w:tab w:val="num" w:pos="5760"/>
        </w:tabs>
        <w:ind w:left="5760" w:hanging="360"/>
      </w:pPr>
      <w:rPr>
        <w:rFonts w:ascii="Courier New" w:hAnsi="Courier New" w:hint="default"/>
      </w:rPr>
    </w:lvl>
    <w:lvl w:ilvl="8" w:tplc="BF14E6EC" w:tentative="1">
      <w:start w:val="1"/>
      <w:numFmt w:val="bullet"/>
      <w:lvlText w:val="o"/>
      <w:lvlJc w:val="left"/>
      <w:pPr>
        <w:tabs>
          <w:tab w:val="num" w:pos="6480"/>
        </w:tabs>
        <w:ind w:left="6480" w:hanging="360"/>
      </w:pPr>
      <w:rPr>
        <w:rFonts w:ascii="Courier New" w:hAnsi="Courier New" w:hint="default"/>
      </w:rPr>
    </w:lvl>
  </w:abstractNum>
  <w:abstractNum w:abstractNumId="2">
    <w:nsid w:val="30A30B34"/>
    <w:multiLevelType w:val="hybridMultilevel"/>
    <w:tmpl w:val="0DDC13C6"/>
    <w:lvl w:ilvl="0" w:tplc="1384FCEA">
      <w:start w:val="1"/>
      <w:numFmt w:val="bullet"/>
      <w:lvlText w:val="o"/>
      <w:lvlJc w:val="left"/>
      <w:pPr>
        <w:tabs>
          <w:tab w:val="num" w:pos="720"/>
        </w:tabs>
        <w:ind w:left="720" w:hanging="360"/>
      </w:pPr>
      <w:rPr>
        <w:rFonts w:ascii="Courier New" w:hAnsi="Courier New" w:hint="default"/>
      </w:rPr>
    </w:lvl>
    <w:lvl w:ilvl="1" w:tplc="4154953E">
      <w:start w:val="1"/>
      <w:numFmt w:val="bullet"/>
      <w:lvlText w:val="o"/>
      <w:lvlJc w:val="left"/>
      <w:pPr>
        <w:tabs>
          <w:tab w:val="num" w:pos="1440"/>
        </w:tabs>
        <w:ind w:left="1440" w:hanging="360"/>
      </w:pPr>
      <w:rPr>
        <w:rFonts w:ascii="Courier New" w:hAnsi="Courier New" w:hint="default"/>
      </w:rPr>
    </w:lvl>
    <w:lvl w:ilvl="2" w:tplc="F16414A2" w:tentative="1">
      <w:start w:val="1"/>
      <w:numFmt w:val="bullet"/>
      <w:lvlText w:val="o"/>
      <w:lvlJc w:val="left"/>
      <w:pPr>
        <w:tabs>
          <w:tab w:val="num" w:pos="2160"/>
        </w:tabs>
        <w:ind w:left="2160" w:hanging="360"/>
      </w:pPr>
      <w:rPr>
        <w:rFonts w:ascii="Courier New" w:hAnsi="Courier New" w:hint="default"/>
      </w:rPr>
    </w:lvl>
    <w:lvl w:ilvl="3" w:tplc="CD249188" w:tentative="1">
      <w:start w:val="1"/>
      <w:numFmt w:val="bullet"/>
      <w:lvlText w:val="o"/>
      <w:lvlJc w:val="left"/>
      <w:pPr>
        <w:tabs>
          <w:tab w:val="num" w:pos="2880"/>
        </w:tabs>
        <w:ind w:left="2880" w:hanging="360"/>
      </w:pPr>
      <w:rPr>
        <w:rFonts w:ascii="Courier New" w:hAnsi="Courier New" w:hint="default"/>
      </w:rPr>
    </w:lvl>
    <w:lvl w:ilvl="4" w:tplc="7D4C451A" w:tentative="1">
      <w:start w:val="1"/>
      <w:numFmt w:val="bullet"/>
      <w:lvlText w:val="o"/>
      <w:lvlJc w:val="left"/>
      <w:pPr>
        <w:tabs>
          <w:tab w:val="num" w:pos="3600"/>
        </w:tabs>
        <w:ind w:left="3600" w:hanging="360"/>
      </w:pPr>
      <w:rPr>
        <w:rFonts w:ascii="Courier New" w:hAnsi="Courier New" w:hint="default"/>
      </w:rPr>
    </w:lvl>
    <w:lvl w:ilvl="5" w:tplc="81A64520" w:tentative="1">
      <w:start w:val="1"/>
      <w:numFmt w:val="bullet"/>
      <w:lvlText w:val="o"/>
      <w:lvlJc w:val="left"/>
      <w:pPr>
        <w:tabs>
          <w:tab w:val="num" w:pos="4320"/>
        </w:tabs>
        <w:ind w:left="4320" w:hanging="360"/>
      </w:pPr>
      <w:rPr>
        <w:rFonts w:ascii="Courier New" w:hAnsi="Courier New" w:hint="default"/>
      </w:rPr>
    </w:lvl>
    <w:lvl w:ilvl="6" w:tplc="39AA8772" w:tentative="1">
      <w:start w:val="1"/>
      <w:numFmt w:val="bullet"/>
      <w:lvlText w:val="o"/>
      <w:lvlJc w:val="left"/>
      <w:pPr>
        <w:tabs>
          <w:tab w:val="num" w:pos="5040"/>
        </w:tabs>
        <w:ind w:left="5040" w:hanging="360"/>
      </w:pPr>
      <w:rPr>
        <w:rFonts w:ascii="Courier New" w:hAnsi="Courier New" w:hint="default"/>
      </w:rPr>
    </w:lvl>
    <w:lvl w:ilvl="7" w:tplc="B46C0DEE" w:tentative="1">
      <w:start w:val="1"/>
      <w:numFmt w:val="bullet"/>
      <w:lvlText w:val="o"/>
      <w:lvlJc w:val="left"/>
      <w:pPr>
        <w:tabs>
          <w:tab w:val="num" w:pos="5760"/>
        </w:tabs>
        <w:ind w:left="5760" w:hanging="360"/>
      </w:pPr>
      <w:rPr>
        <w:rFonts w:ascii="Courier New" w:hAnsi="Courier New" w:hint="default"/>
      </w:rPr>
    </w:lvl>
    <w:lvl w:ilvl="8" w:tplc="A1B2C4B8" w:tentative="1">
      <w:start w:val="1"/>
      <w:numFmt w:val="bullet"/>
      <w:lvlText w:val="o"/>
      <w:lvlJc w:val="left"/>
      <w:pPr>
        <w:tabs>
          <w:tab w:val="num" w:pos="6480"/>
        </w:tabs>
        <w:ind w:left="6480" w:hanging="360"/>
      </w:pPr>
      <w:rPr>
        <w:rFonts w:ascii="Courier New" w:hAnsi="Courier New" w:hint="default"/>
      </w:rPr>
    </w:lvl>
  </w:abstractNum>
  <w:abstractNum w:abstractNumId="3">
    <w:nsid w:val="374A52E0"/>
    <w:multiLevelType w:val="hybridMultilevel"/>
    <w:tmpl w:val="2E327EA4"/>
    <w:lvl w:ilvl="0" w:tplc="04090003">
      <w:start w:val="1"/>
      <w:numFmt w:val="bullet"/>
      <w:lvlText w:val="o"/>
      <w:lvlJc w:val="left"/>
      <w:pPr>
        <w:ind w:left="720" w:hanging="360"/>
      </w:pPr>
      <w:rPr>
        <w:rFonts w:ascii="Courier New" w:hAnsi="Courier New" w:cs="Courier New" w:hint="default"/>
      </w:rPr>
    </w:lvl>
    <w:lvl w:ilvl="1" w:tplc="28AA84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C0027D"/>
    <w:multiLevelType w:val="hybridMultilevel"/>
    <w:tmpl w:val="BB041C62"/>
    <w:lvl w:ilvl="0" w:tplc="04090003">
      <w:start w:val="1"/>
      <w:numFmt w:val="bullet"/>
      <w:lvlText w:val="o"/>
      <w:lvlJc w:val="left"/>
      <w:pPr>
        <w:ind w:left="720" w:hanging="360"/>
      </w:pPr>
      <w:rPr>
        <w:rFonts w:ascii="Courier New" w:hAnsi="Courier New" w:cs="Courier New" w:hint="default"/>
      </w:rPr>
    </w:lvl>
    <w:lvl w:ilvl="1" w:tplc="28AA84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5AF3"/>
    <w:rsid w:val="000314FF"/>
    <w:rsid w:val="000360AB"/>
    <w:rsid w:val="0004751F"/>
    <w:rsid w:val="00056B0C"/>
    <w:rsid w:val="0006636A"/>
    <w:rsid w:val="000A4B54"/>
    <w:rsid w:val="000B5072"/>
    <w:rsid w:val="00101F3A"/>
    <w:rsid w:val="00136128"/>
    <w:rsid w:val="00146749"/>
    <w:rsid w:val="001A5886"/>
    <w:rsid w:val="001F6EC3"/>
    <w:rsid w:val="0021014B"/>
    <w:rsid w:val="002715CB"/>
    <w:rsid w:val="0029423B"/>
    <w:rsid w:val="002F29F0"/>
    <w:rsid w:val="002F4D26"/>
    <w:rsid w:val="003211A0"/>
    <w:rsid w:val="003265F2"/>
    <w:rsid w:val="00360E32"/>
    <w:rsid w:val="003B2F13"/>
    <w:rsid w:val="003B68E6"/>
    <w:rsid w:val="003C1553"/>
    <w:rsid w:val="003F588E"/>
    <w:rsid w:val="00420BEB"/>
    <w:rsid w:val="00423242"/>
    <w:rsid w:val="00460D36"/>
    <w:rsid w:val="00466F9A"/>
    <w:rsid w:val="004C029E"/>
    <w:rsid w:val="004D33AA"/>
    <w:rsid w:val="004F5EC8"/>
    <w:rsid w:val="00540ED1"/>
    <w:rsid w:val="00540EF9"/>
    <w:rsid w:val="00561631"/>
    <w:rsid w:val="0058468D"/>
    <w:rsid w:val="005E7281"/>
    <w:rsid w:val="005F2444"/>
    <w:rsid w:val="006043A3"/>
    <w:rsid w:val="0063490E"/>
    <w:rsid w:val="006750DB"/>
    <w:rsid w:val="006A5DC8"/>
    <w:rsid w:val="006B366D"/>
    <w:rsid w:val="007D5E6D"/>
    <w:rsid w:val="007F1494"/>
    <w:rsid w:val="008360C4"/>
    <w:rsid w:val="008E2FCB"/>
    <w:rsid w:val="008F78D5"/>
    <w:rsid w:val="008F7ED6"/>
    <w:rsid w:val="00913F9B"/>
    <w:rsid w:val="0095547B"/>
    <w:rsid w:val="009738A6"/>
    <w:rsid w:val="009741DE"/>
    <w:rsid w:val="00974594"/>
    <w:rsid w:val="009A7D37"/>
    <w:rsid w:val="009E5AF3"/>
    <w:rsid w:val="009F32C9"/>
    <w:rsid w:val="00A36679"/>
    <w:rsid w:val="00A71E49"/>
    <w:rsid w:val="00A72AEE"/>
    <w:rsid w:val="00A92BD1"/>
    <w:rsid w:val="00B37F31"/>
    <w:rsid w:val="00B47528"/>
    <w:rsid w:val="00B5333B"/>
    <w:rsid w:val="00B57FC5"/>
    <w:rsid w:val="00B92536"/>
    <w:rsid w:val="00BE73C9"/>
    <w:rsid w:val="00C30061"/>
    <w:rsid w:val="00C70532"/>
    <w:rsid w:val="00C70B3E"/>
    <w:rsid w:val="00C90BDE"/>
    <w:rsid w:val="00C91D5D"/>
    <w:rsid w:val="00CA5A76"/>
    <w:rsid w:val="00CD1C5B"/>
    <w:rsid w:val="00D27065"/>
    <w:rsid w:val="00D31902"/>
    <w:rsid w:val="00D74671"/>
    <w:rsid w:val="00D81D96"/>
    <w:rsid w:val="00DD3E44"/>
    <w:rsid w:val="00E05271"/>
    <w:rsid w:val="00E316B3"/>
    <w:rsid w:val="00E944F1"/>
    <w:rsid w:val="00EE7B0A"/>
    <w:rsid w:val="00F2560E"/>
    <w:rsid w:val="00FE2133"/>
    <w:rsid w:val="00FF5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AF3"/>
    <w:pPr>
      <w:ind w:left="720"/>
      <w:contextualSpacing/>
    </w:pPr>
  </w:style>
</w:styles>
</file>

<file path=word/webSettings.xml><?xml version="1.0" encoding="utf-8"?>
<w:webSettings xmlns:r="http://schemas.openxmlformats.org/officeDocument/2006/relationships" xmlns:w="http://schemas.openxmlformats.org/wordprocessingml/2006/main">
  <w:divs>
    <w:div w:id="449202987">
      <w:bodyDiv w:val="1"/>
      <w:marLeft w:val="0"/>
      <w:marRight w:val="0"/>
      <w:marTop w:val="0"/>
      <w:marBottom w:val="0"/>
      <w:divBdr>
        <w:top w:val="none" w:sz="0" w:space="0" w:color="auto"/>
        <w:left w:val="none" w:sz="0" w:space="0" w:color="auto"/>
        <w:bottom w:val="none" w:sz="0" w:space="0" w:color="auto"/>
        <w:right w:val="none" w:sz="0" w:space="0" w:color="auto"/>
      </w:divBdr>
      <w:divsChild>
        <w:div w:id="508952778">
          <w:marLeft w:val="806"/>
          <w:marRight w:val="0"/>
          <w:marTop w:val="60"/>
          <w:marBottom w:val="0"/>
          <w:divBdr>
            <w:top w:val="none" w:sz="0" w:space="0" w:color="auto"/>
            <w:left w:val="none" w:sz="0" w:space="0" w:color="auto"/>
            <w:bottom w:val="none" w:sz="0" w:space="0" w:color="auto"/>
            <w:right w:val="none" w:sz="0" w:space="0" w:color="auto"/>
          </w:divBdr>
        </w:div>
        <w:div w:id="1223370475">
          <w:marLeft w:val="806"/>
          <w:marRight w:val="0"/>
          <w:marTop w:val="60"/>
          <w:marBottom w:val="0"/>
          <w:divBdr>
            <w:top w:val="none" w:sz="0" w:space="0" w:color="auto"/>
            <w:left w:val="none" w:sz="0" w:space="0" w:color="auto"/>
            <w:bottom w:val="none" w:sz="0" w:space="0" w:color="auto"/>
            <w:right w:val="none" w:sz="0" w:space="0" w:color="auto"/>
          </w:divBdr>
        </w:div>
      </w:divsChild>
    </w:div>
    <w:div w:id="569535400">
      <w:bodyDiv w:val="1"/>
      <w:marLeft w:val="0"/>
      <w:marRight w:val="0"/>
      <w:marTop w:val="0"/>
      <w:marBottom w:val="0"/>
      <w:divBdr>
        <w:top w:val="none" w:sz="0" w:space="0" w:color="auto"/>
        <w:left w:val="none" w:sz="0" w:space="0" w:color="auto"/>
        <w:bottom w:val="none" w:sz="0" w:space="0" w:color="auto"/>
        <w:right w:val="none" w:sz="0" w:space="0" w:color="auto"/>
      </w:divBdr>
      <w:divsChild>
        <w:div w:id="1240486753">
          <w:marLeft w:val="806"/>
          <w:marRight w:val="0"/>
          <w:marTop w:val="60"/>
          <w:marBottom w:val="0"/>
          <w:divBdr>
            <w:top w:val="none" w:sz="0" w:space="0" w:color="auto"/>
            <w:left w:val="none" w:sz="0" w:space="0" w:color="auto"/>
            <w:bottom w:val="none" w:sz="0" w:space="0" w:color="auto"/>
            <w:right w:val="none" w:sz="0" w:space="0" w:color="auto"/>
          </w:divBdr>
        </w:div>
        <w:div w:id="1535583559">
          <w:marLeft w:val="806"/>
          <w:marRight w:val="0"/>
          <w:marTop w:val="60"/>
          <w:marBottom w:val="0"/>
          <w:divBdr>
            <w:top w:val="none" w:sz="0" w:space="0" w:color="auto"/>
            <w:left w:val="none" w:sz="0" w:space="0" w:color="auto"/>
            <w:bottom w:val="none" w:sz="0" w:space="0" w:color="auto"/>
            <w:right w:val="none" w:sz="0" w:space="0" w:color="auto"/>
          </w:divBdr>
        </w:div>
      </w:divsChild>
    </w:div>
    <w:div w:id="571627268">
      <w:bodyDiv w:val="1"/>
      <w:marLeft w:val="0"/>
      <w:marRight w:val="0"/>
      <w:marTop w:val="0"/>
      <w:marBottom w:val="0"/>
      <w:divBdr>
        <w:top w:val="none" w:sz="0" w:space="0" w:color="auto"/>
        <w:left w:val="none" w:sz="0" w:space="0" w:color="auto"/>
        <w:bottom w:val="none" w:sz="0" w:space="0" w:color="auto"/>
        <w:right w:val="none" w:sz="0" w:space="0" w:color="auto"/>
      </w:divBdr>
      <w:divsChild>
        <w:div w:id="1134785855">
          <w:marLeft w:val="806"/>
          <w:marRight w:val="0"/>
          <w:marTop w:val="60"/>
          <w:marBottom w:val="0"/>
          <w:divBdr>
            <w:top w:val="none" w:sz="0" w:space="0" w:color="auto"/>
            <w:left w:val="none" w:sz="0" w:space="0" w:color="auto"/>
            <w:bottom w:val="none" w:sz="0" w:space="0" w:color="auto"/>
            <w:right w:val="none" w:sz="0" w:space="0" w:color="auto"/>
          </w:divBdr>
        </w:div>
      </w:divsChild>
    </w:div>
    <w:div w:id="14922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4</cp:revision>
  <dcterms:created xsi:type="dcterms:W3CDTF">2013-01-23T21:57:00Z</dcterms:created>
  <dcterms:modified xsi:type="dcterms:W3CDTF">2013-01-24T00:11:00Z</dcterms:modified>
</cp:coreProperties>
</file>