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42" w:rsidRDefault="00CE4942">
      <w:pPr>
        <w:pStyle w:val="DEQTITLE"/>
        <w:outlineLvl w:val="0"/>
      </w:pPr>
    </w:p>
    <w:p w:rsidR="00B25942" w:rsidRPr="00C07BAC" w:rsidRDefault="00487FDC">
      <w:pPr>
        <w:pStyle w:val="DEQTITLE"/>
        <w:outlineLvl w:val="0"/>
      </w:pPr>
      <w:r w:rsidRPr="00C07B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7.2pt;margin-top:14.4pt;width:417.6pt;height:62pt;z-index:251657728;mso-position-vertical-relative:page" o:allowincell="f" fillcolor="#618889 [2406]" stroked="f">
            <v:textbox style="mso-next-textbox:#_x0000_s1045">
              <w:txbxContent>
                <w:p w:rsidR="001B6432" w:rsidRPr="001A155F" w:rsidRDefault="001B6432" w:rsidP="00CE4942">
                  <w:pPr>
                    <w:pStyle w:val="Heading1"/>
                    <w:rPr>
                      <w:color w:val="FFFFFF" w:themeColor="background1"/>
                    </w:rPr>
                  </w:pPr>
                  <w:r w:rsidRPr="001A155F">
                    <w:rPr>
                      <w:color w:val="FFFFFF" w:themeColor="background1"/>
                    </w:rPr>
                    <w:t xml:space="preserve">Corrections and Clarifications to </w:t>
                  </w:r>
                  <w:r w:rsidR="00460762">
                    <w:rPr>
                      <w:color w:val="FFFFFF" w:themeColor="background1"/>
                    </w:rPr>
                    <w:t>Toxics Water Quality Standards</w:t>
                  </w:r>
                  <w:r w:rsidRPr="001A155F">
                    <w:rPr>
                      <w:color w:val="FFFFFF" w:themeColor="background1"/>
                    </w:rPr>
                    <w:t xml:space="preserve"> Rulemaking Advisory Committee</w:t>
                  </w:r>
                </w:p>
                <w:p w:rsidR="001B6432" w:rsidRDefault="001B6432">
                  <w:pPr>
                    <w:pStyle w:val="Heading1"/>
                  </w:pPr>
                </w:p>
              </w:txbxContent>
            </v:textbox>
            <w10:wrap anchory="page"/>
            <w10:anchorlock/>
          </v:shape>
        </w:pict>
      </w:r>
      <w:r w:rsidR="00CE4942" w:rsidRPr="00C07BAC">
        <w:t>Charter</w:t>
      </w:r>
    </w:p>
    <w:p w:rsidR="00CE4942" w:rsidRDefault="00CE4942">
      <w:pPr>
        <w:pStyle w:val="DEQTITLE"/>
        <w:outlineLvl w:val="0"/>
      </w:pPr>
    </w:p>
    <w:p w:rsidR="00CE4942" w:rsidRPr="007331A7" w:rsidRDefault="005273E0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 xml:space="preserve">The members of the </w:t>
      </w:r>
      <w:r w:rsidRPr="005273E0">
        <w:rPr>
          <w:rFonts w:ascii="Times New Roman" w:hAnsi="Times New Roman"/>
          <w:b w:val="0"/>
          <w:i/>
          <w:noProof/>
          <w:sz w:val="22"/>
          <w:szCs w:val="22"/>
        </w:rPr>
        <w:t xml:space="preserve">Corrections and Clarifications to Toxics </w:t>
      </w:r>
      <w:r w:rsidR="00460762">
        <w:rPr>
          <w:rFonts w:ascii="Times New Roman" w:hAnsi="Times New Roman"/>
          <w:b w:val="0"/>
          <w:i/>
          <w:noProof/>
          <w:sz w:val="22"/>
          <w:szCs w:val="22"/>
        </w:rPr>
        <w:t xml:space="preserve">Water Quality Standards </w:t>
      </w:r>
      <w:r w:rsidRPr="005273E0">
        <w:rPr>
          <w:rFonts w:ascii="Times New Roman" w:hAnsi="Times New Roman"/>
          <w:b w:val="0"/>
          <w:i/>
          <w:noProof/>
          <w:sz w:val="22"/>
          <w:szCs w:val="22"/>
        </w:rPr>
        <w:t>R</w:t>
      </w:r>
      <w:r w:rsidR="00CE4942" w:rsidRPr="005273E0">
        <w:rPr>
          <w:rFonts w:ascii="Times New Roman" w:hAnsi="Times New Roman"/>
          <w:b w:val="0"/>
          <w:i/>
          <w:noProof/>
          <w:sz w:val="22"/>
          <w:szCs w:val="22"/>
        </w:rPr>
        <w:t>ulemaking</w:t>
      </w:r>
      <w:r w:rsidR="00CE4942" w:rsidRPr="007331A7">
        <w:rPr>
          <w:rFonts w:ascii="Times New Roman" w:hAnsi="Times New Roman"/>
          <w:b w:val="0"/>
          <w:noProof/>
          <w:sz w:val="22"/>
          <w:szCs w:val="22"/>
        </w:rPr>
        <w:t xml:space="preserve"> Advisory Committee agree to operate under this charter.</w:t>
      </w:r>
    </w:p>
    <w:p w:rsidR="00CE4942" w:rsidRPr="00CE4942" w:rsidRDefault="00CE4942" w:rsidP="00CE4942">
      <w:pPr>
        <w:pStyle w:val="DEQTITLE"/>
        <w:outlineLvl w:val="0"/>
        <w:rPr>
          <w:rFonts w:ascii="Times New Roman" w:hAnsi="Times New Roman"/>
          <w:noProof/>
          <w:sz w:val="24"/>
          <w:szCs w:val="24"/>
        </w:rPr>
      </w:pPr>
    </w:p>
    <w:p w:rsidR="00CE4942" w:rsidRPr="00CE4942" w:rsidRDefault="00CE4942" w:rsidP="00CE4942">
      <w:pPr>
        <w:pStyle w:val="DEQTITLE"/>
        <w:outlineLvl w:val="0"/>
        <w:rPr>
          <w:rFonts w:cs="Arial"/>
          <w:noProof/>
          <w:sz w:val="24"/>
          <w:szCs w:val="24"/>
        </w:rPr>
      </w:pPr>
      <w:r w:rsidRPr="00CE4942">
        <w:rPr>
          <w:rFonts w:cs="Arial"/>
          <w:noProof/>
          <w:sz w:val="24"/>
          <w:szCs w:val="24"/>
        </w:rPr>
        <w:t>I.  Purpose</w:t>
      </w:r>
    </w:p>
    <w:p w:rsidR="00CE4942" w:rsidRPr="00D83E3A" w:rsidRDefault="00D83E3A" w:rsidP="003562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83E3A">
        <w:rPr>
          <w:rFonts w:ascii="Times New Roman" w:hAnsi="Times New Roman"/>
          <w:sz w:val="22"/>
          <w:szCs w:val="22"/>
        </w:rPr>
        <w:t xml:space="preserve">The purpose of the committee is to discuss and make recommendations </w:t>
      </w:r>
      <w:r w:rsidR="007E4F6F">
        <w:rPr>
          <w:rFonts w:ascii="Times New Roman" w:hAnsi="Times New Roman"/>
          <w:sz w:val="22"/>
          <w:szCs w:val="22"/>
        </w:rPr>
        <w:t xml:space="preserve">related to proposed changes to the toxics water quality standards rules.  </w:t>
      </w:r>
      <w:r w:rsidR="003562DD">
        <w:rPr>
          <w:rFonts w:ascii="Times New Roman" w:hAnsi="Times New Roman"/>
          <w:sz w:val="22"/>
          <w:szCs w:val="22"/>
        </w:rPr>
        <w:t xml:space="preserve">The Oregon </w:t>
      </w:r>
      <w:r w:rsidR="007E4F6F">
        <w:rPr>
          <w:rFonts w:ascii="Times New Roman" w:hAnsi="Times New Roman"/>
          <w:sz w:val="22"/>
          <w:szCs w:val="22"/>
        </w:rPr>
        <w:t>D</w:t>
      </w:r>
      <w:r w:rsidR="003562DD">
        <w:rPr>
          <w:rFonts w:ascii="Times New Roman" w:hAnsi="Times New Roman"/>
          <w:sz w:val="22"/>
          <w:szCs w:val="22"/>
        </w:rPr>
        <w:t xml:space="preserve">epartment of </w:t>
      </w:r>
      <w:r w:rsidR="007E4F6F">
        <w:rPr>
          <w:rFonts w:ascii="Times New Roman" w:hAnsi="Times New Roman"/>
          <w:sz w:val="22"/>
          <w:szCs w:val="22"/>
        </w:rPr>
        <w:t>E</w:t>
      </w:r>
      <w:r w:rsidR="003562DD">
        <w:rPr>
          <w:rFonts w:ascii="Times New Roman" w:hAnsi="Times New Roman"/>
          <w:sz w:val="22"/>
          <w:szCs w:val="22"/>
        </w:rPr>
        <w:t xml:space="preserve">nvironmental </w:t>
      </w:r>
      <w:r w:rsidR="007E4F6F">
        <w:rPr>
          <w:rFonts w:ascii="Times New Roman" w:hAnsi="Times New Roman"/>
          <w:sz w:val="22"/>
          <w:szCs w:val="22"/>
        </w:rPr>
        <w:t>Q</w:t>
      </w:r>
      <w:r w:rsidR="003562DD">
        <w:rPr>
          <w:rFonts w:ascii="Times New Roman" w:hAnsi="Times New Roman"/>
          <w:sz w:val="22"/>
          <w:szCs w:val="22"/>
        </w:rPr>
        <w:t>uality (DEQ)</w:t>
      </w:r>
      <w:r w:rsidR="007E4F6F">
        <w:rPr>
          <w:rFonts w:ascii="Times New Roman" w:hAnsi="Times New Roman"/>
          <w:sz w:val="22"/>
          <w:szCs w:val="22"/>
        </w:rPr>
        <w:t xml:space="preserve"> is proposing changes to address a number of </w:t>
      </w:r>
      <w:r w:rsidR="00DB5DBA">
        <w:rPr>
          <w:rFonts w:ascii="Times New Roman" w:hAnsi="Times New Roman"/>
          <w:sz w:val="22"/>
          <w:szCs w:val="22"/>
        </w:rPr>
        <w:t xml:space="preserve">aquatic life toxics </w:t>
      </w:r>
      <w:r w:rsidR="007E4F6F">
        <w:rPr>
          <w:rFonts w:ascii="Times New Roman" w:hAnsi="Times New Roman"/>
          <w:sz w:val="22"/>
          <w:szCs w:val="22"/>
        </w:rPr>
        <w:t>criteria disapprov</w:t>
      </w:r>
      <w:r w:rsidR="00030531">
        <w:rPr>
          <w:rFonts w:ascii="Times New Roman" w:hAnsi="Times New Roman"/>
          <w:sz w:val="22"/>
          <w:szCs w:val="22"/>
        </w:rPr>
        <w:t>ed by</w:t>
      </w:r>
      <w:r w:rsidR="003562DD">
        <w:rPr>
          <w:rFonts w:ascii="Times New Roman" w:hAnsi="Times New Roman"/>
          <w:sz w:val="22"/>
          <w:szCs w:val="22"/>
        </w:rPr>
        <w:t xml:space="preserve"> </w:t>
      </w:r>
      <w:r w:rsidR="001B6432">
        <w:rPr>
          <w:rFonts w:ascii="Times New Roman" w:hAnsi="Times New Roman"/>
          <w:sz w:val="22"/>
          <w:szCs w:val="22"/>
        </w:rPr>
        <w:t xml:space="preserve">the </w:t>
      </w:r>
      <w:r w:rsidR="007E4F6F">
        <w:rPr>
          <w:rFonts w:ascii="Times New Roman" w:hAnsi="Times New Roman"/>
          <w:sz w:val="22"/>
          <w:szCs w:val="22"/>
        </w:rPr>
        <w:t>E</w:t>
      </w:r>
      <w:r w:rsidR="003562DD">
        <w:rPr>
          <w:rFonts w:ascii="Times New Roman" w:hAnsi="Times New Roman"/>
          <w:sz w:val="22"/>
          <w:szCs w:val="22"/>
        </w:rPr>
        <w:t xml:space="preserve">nvironmental </w:t>
      </w:r>
      <w:r w:rsidR="007E4F6F">
        <w:rPr>
          <w:rFonts w:ascii="Times New Roman" w:hAnsi="Times New Roman"/>
          <w:sz w:val="22"/>
          <w:szCs w:val="22"/>
        </w:rPr>
        <w:t>P</w:t>
      </w:r>
      <w:r w:rsidR="003562DD">
        <w:rPr>
          <w:rFonts w:ascii="Times New Roman" w:hAnsi="Times New Roman"/>
          <w:sz w:val="22"/>
          <w:szCs w:val="22"/>
        </w:rPr>
        <w:t xml:space="preserve">rotection </w:t>
      </w:r>
      <w:r w:rsidR="007E4F6F">
        <w:rPr>
          <w:rFonts w:ascii="Times New Roman" w:hAnsi="Times New Roman"/>
          <w:sz w:val="22"/>
          <w:szCs w:val="22"/>
        </w:rPr>
        <w:t>A</w:t>
      </w:r>
      <w:r w:rsidR="003562DD">
        <w:rPr>
          <w:rFonts w:ascii="Times New Roman" w:hAnsi="Times New Roman"/>
          <w:sz w:val="22"/>
          <w:szCs w:val="22"/>
        </w:rPr>
        <w:t>gency (EPA)</w:t>
      </w:r>
      <w:r w:rsidR="007E4F6F">
        <w:rPr>
          <w:rFonts w:ascii="Times New Roman" w:hAnsi="Times New Roman"/>
          <w:sz w:val="22"/>
          <w:szCs w:val="22"/>
        </w:rPr>
        <w:t>.  DEQ anticipates that these proposed changes are straight-forward and do not involve substantive issues.  The committee’s role is</w:t>
      </w:r>
      <w:r w:rsidR="003562DD">
        <w:rPr>
          <w:rFonts w:ascii="Times New Roman" w:hAnsi="Times New Roman"/>
          <w:sz w:val="22"/>
          <w:szCs w:val="22"/>
        </w:rPr>
        <w:t xml:space="preserve"> to:  (1) </w:t>
      </w:r>
      <w:r w:rsidR="007E4F6F">
        <w:rPr>
          <w:rFonts w:ascii="Times New Roman" w:hAnsi="Times New Roman"/>
          <w:sz w:val="22"/>
          <w:szCs w:val="22"/>
        </w:rPr>
        <w:t>provid</w:t>
      </w:r>
      <w:r w:rsidR="00CD1DB4">
        <w:rPr>
          <w:rFonts w:ascii="Times New Roman" w:hAnsi="Times New Roman"/>
          <w:sz w:val="22"/>
          <w:szCs w:val="22"/>
        </w:rPr>
        <w:t xml:space="preserve">e </w:t>
      </w:r>
      <w:r w:rsidR="007E4F6F">
        <w:rPr>
          <w:rFonts w:ascii="Times New Roman" w:hAnsi="Times New Roman"/>
          <w:sz w:val="22"/>
          <w:szCs w:val="22"/>
        </w:rPr>
        <w:t>recommendations</w:t>
      </w:r>
      <w:r w:rsidR="00CD1DB4">
        <w:rPr>
          <w:rFonts w:ascii="Times New Roman" w:hAnsi="Times New Roman"/>
          <w:sz w:val="22"/>
          <w:szCs w:val="22"/>
        </w:rPr>
        <w:t xml:space="preserve"> to </w:t>
      </w:r>
      <w:r w:rsidR="00DB5DBA">
        <w:rPr>
          <w:rFonts w:ascii="Times New Roman" w:hAnsi="Times New Roman"/>
          <w:sz w:val="22"/>
          <w:szCs w:val="22"/>
        </w:rPr>
        <w:t>assist DEQ in developing/writing clear language that</w:t>
      </w:r>
      <w:r w:rsidR="00CD1DB4">
        <w:rPr>
          <w:rFonts w:ascii="Times New Roman" w:hAnsi="Times New Roman"/>
          <w:sz w:val="22"/>
          <w:szCs w:val="22"/>
        </w:rPr>
        <w:t xml:space="preserve"> describe</w:t>
      </w:r>
      <w:r w:rsidR="00DB5DBA">
        <w:rPr>
          <w:rFonts w:ascii="Times New Roman" w:hAnsi="Times New Roman"/>
          <w:sz w:val="22"/>
          <w:szCs w:val="22"/>
        </w:rPr>
        <w:t>s</w:t>
      </w:r>
      <w:r w:rsidR="00CD1DB4">
        <w:rPr>
          <w:rFonts w:ascii="Times New Roman" w:hAnsi="Times New Roman"/>
          <w:sz w:val="22"/>
          <w:szCs w:val="22"/>
        </w:rPr>
        <w:t xml:space="preserve"> DEQ’s proposed changes</w:t>
      </w:r>
      <w:r w:rsidR="003562DD">
        <w:rPr>
          <w:rFonts w:ascii="Times New Roman" w:hAnsi="Times New Roman"/>
          <w:sz w:val="22"/>
          <w:szCs w:val="22"/>
        </w:rPr>
        <w:t>;</w:t>
      </w:r>
      <w:r w:rsidR="007E4F6F">
        <w:rPr>
          <w:rFonts w:ascii="Times New Roman" w:hAnsi="Times New Roman"/>
          <w:sz w:val="22"/>
          <w:szCs w:val="22"/>
        </w:rPr>
        <w:t xml:space="preserve"> </w:t>
      </w:r>
      <w:r w:rsidR="003562DD">
        <w:rPr>
          <w:rFonts w:ascii="Times New Roman" w:hAnsi="Times New Roman"/>
          <w:sz w:val="22"/>
          <w:szCs w:val="22"/>
        </w:rPr>
        <w:t xml:space="preserve">(2) </w:t>
      </w:r>
      <w:r w:rsidR="007E4F6F">
        <w:rPr>
          <w:rFonts w:ascii="Times New Roman" w:hAnsi="Times New Roman"/>
          <w:sz w:val="22"/>
          <w:szCs w:val="22"/>
        </w:rPr>
        <w:t>confirm that the rule revisions are non-substantive</w:t>
      </w:r>
      <w:r w:rsidR="00CD1DB4">
        <w:rPr>
          <w:rFonts w:ascii="Times New Roman" w:hAnsi="Times New Roman"/>
          <w:sz w:val="22"/>
          <w:szCs w:val="22"/>
        </w:rPr>
        <w:t xml:space="preserve"> and do not have unintended consequences</w:t>
      </w:r>
      <w:r w:rsidR="003562DD">
        <w:rPr>
          <w:rFonts w:ascii="Times New Roman" w:hAnsi="Times New Roman"/>
          <w:sz w:val="22"/>
          <w:szCs w:val="22"/>
        </w:rPr>
        <w:t>;</w:t>
      </w:r>
      <w:r w:rsidR="007E4F6F">
        <w:rPr>
          <w:rFonts w:ascii="Times New Roman" w:hAnsi="Times New Roman"/>
          <w:sz w:val="22"/>
          <w:szCs w:val="22"/>
        </w:rPr>
        <w:t xml:space="preserve"> and</w:t>
      </w:r>
      <w:r w:rsidR="003562DD">
        <w:rPr>
          <w:rFonts w:ascii="Times New Roman" w:hAnsi="Times New Roman"/>
          <w:sz w:val="22"/>
          <w:szCs w:val="22"/>
        </w:rPr>
        <w:t xml:space="preserve"> (3) </w:t>
      </w:r>
      <w:r w:rsidR="007E4F6F">
        <w:rPr>
          <w:rFonts w:ascii="Times New Roman" w:hAnsi="Times New Roman"/>
          <w:sz w:val="22"/>
          <w:szCs w:val="22"/>
        </w:rPr>
        <w:t>provide</w:t>
      </w:r>
      <w:r w:rsidR="00CD1DB4">
        <w:rPr>
          <w:rFonts w:ascii="Times New Roman" w:hAnsi="Times New Roman"/>
          <w:sz w:val="22"/>
          <w:szCs w:val="22"/>
        </w:rPr>
        <w:t xml:space="preserve"> </w:t>
      </w:r>
      <w:r w:rsidR="00030531">
        <w:rPr>
          <w:rFonts w:ascii="Times New Roman" w:hAnsi="Times New Roman"/>
          <w:sz w:val="22"/>
          <w:szCs w:val="22"/>
        </w:rPr>
        <w:t xml:space="preserve">potential </w:t>
      </w:r>
      <w:r w:rsidR="00DB5DBA">
        <w:rPr>
          <w:rFonts w:ascii="Times New Roman" w:hAnsi="Times New Roman"/>
          <w:sz w:val="22"/>
          <w:szCs w:val="22"/>
        </w:rPr>
        <w:t>fiscal impacts</w:t>
      </w:r>
      <w:r w:rsidR="00CD1DB4">
        <w:rPr>
          <w:rFonts w:ascii="Times New Roman" w:hAnsi="Times New Roman"/>
          <w:sz w:val="22"/>
          <w:szCs w:val="22"/>
        </w:rPr>
        <w:t xml:space="preserve">, </w:t>
      </w:r>
      <w:r w:rsidR="007E4F6F">
        <w:rPr>
          <w:rFonts w:ascii="Times New Roman" w:hAnsi="Times New Roman"/>
          <w:sz w:val="22"/>
          <w:szCs w:val="22"/>
        </w:rPr>
        <w:t>including benefits</w:t>
      </w:r>
      <w:r w:rsidR="00DB5DBA">
        <w:rPr>
          <w:rFonts w:ascii="Times New Roman" w:hAnsi="Times New Roman"/>
          <w:sz w:val="22"/>
          <w:szCs w:val="22"/>
        </w:rPr>
        <w:t>, if any</w:t>
      </w:r>
      <w:r w:rsidR="00030531">
        <w:rPr>
          <w:rFonts w:ascii="Times New Roman" w:hAnsi="Times New Roman"/>
          <w:sz w:val="22"/>
          <w:szCs w:val="22"/>
        </w:rPr>
        <w:t>,</w:t>
      </w:r>
      <w:r w:rsidR="007E4F6F">
        <w:rPr>
          <w:rFonts w:ascii="Times New Roman" w:hAnsi="Times New Roman"/>
          <w:sz w:val="22"/>
          <w:szCs w:val="22"/>
        </w:rPr>
        <w:t xml:space="preserve"> that may </w:t>
      </w:r>
      <w:r w:rsidR="00CD1DB4">
        <w:rPr>
          <w:rFonts w:ascii="Times New Roman" w:hAnsi="Times New Roman"/>
          <w:sz w:val="22"/>
          <w:szCs w:val="22"/>
        </w:rPr>
        <w:t>re</w:t>
      </w:r>
      <w:r w:rsidR="00086BD3">
        <w:rPr>
          <w:rFonts w:ascii="Times New Roman" w:hAnsi="Times New Roman"/>
          <w:sz w:val="22"/>
          <w:szCs w:val="22"/>
        </w:rPr>
        <w:t xml:space="preserve">sult </w:t>
      </w:r>
      <w:r w:rsidR="00CD1DB4">
        <w:rPr>
          <w:rFonts w:ascii="Times New Roman" w:hAnsi="Times New Roman"/>
          <w:sz w:val="22"/>
          <w:szCs w:val="22"/>
        </w:rPr>
        <w:t xml:space="preserve">from </w:t>
      </w:r>
      <w:r w:rsidR="007E4F6F">
        <w:rPr>
          <w:rFonts w:ascii="Times New Roman" w:hAnsi="Times New Roman"/>
          <w:sz w:val="22"/>
          <w:szCs w:val="22"/>
        </w:rPr>
        <w:t>this rulemaking.</w:t>
      </w:r>
    </w:p>
    <w:p w:rsidR="00CE4942" w:rsidRPr="00CE4942" w:rsidRDefault="00CE4942" w:rsidP="00CE4942">
      <w:pPr>
        <w:pStyle w:val="DEQTITLE"/>
        <w:outlineLvl w:val="0"/>
        <w:rPr>
          <w:rFonts w:ascii="Times New Roman" w:hAnsi="Times New Roman"/>
          <w:noProof/>
          <w:sz w:val="24"/>
          <w:szCs w:val="24"/>
        </w:rPr>
      </w:pPr>
    </w:p>
    <w:p w:rsidR="00CE4942" w:rsidRPr="00CE4942" w:rsidRDefault="00CE4942" w:rsidP="00CE4942">
      <w:pPr>
        <w:pStyle w:val="DEQTITLE"/>
        <w:outlineLvl w:val="0"/>
        <w:rPr>
          <w:rFonts w:cs="Arial"/>
          <w:noProof/>
          <w:sz w:val="24"/>
          <w:szCs w:val="24"/>
        </w:rPr>
      </w:pPr>
      <w:r w:rsidRPr="00CE4942">
        <w:rPr>
          <w:rFonts w:cs="Arial"/>
          <w:noProof/>
          <w:sz w:val="24"/>
          <w:szCs w:val="24"/>
        </w:rPr>
        <w:t>II. Background</w:t>
      </w:r>
    </w:p>
    <w:p w:rsidR="007331A7" w:rsidRPr="007331A7" w:rsidRDefault="003562DD" w:rsidP="007331A7">
      <w:pPr>
        <w:rPr>
          <w:rFonts w:ascii="Times New Roman" w:hAnsi="Times New Roman"/>
          <w:color w:val="000000" w:themeColor="text1"/>
          <w:sz w:val="22"/>
          <w:szCs w:val="22"/>
          <w:lang w:eastAsia="zh-CN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On Jan. 31, 2013, the EPA </w:t>
      </w:r>
      <w:r w:rsidR="007331A7"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>took action on Oregon’s aquatic life toxics criteria adopted by the Oregon Environmental Quality Commission and submitte</w:t>
      </w:r>
      <w:r>
        <w:rPr>
          <w:rFonts w:ascii="Times New Roman" w:hAnsi="Times New Roman"/>
          <w:color w:val="000000" w:themeColor="text1"/>
          <w:sz w:val="22"/>
          <w:szCs w:val="22"/>
          <w:lang w:eastAsia="zh-CN"/>
        </w:rPr>
        <w:t>d to EPA in 2004. DEQ</w:t>
      </w:r>
      <w:r w:rsidR="007331A7"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 developed these water quality criteria to address toxic pollutants and to protect</w:t>
      </w:r>
      <w:r w:rsidR="007331A7" w:rsidRPr="007331A7">
        <w:rPr>
          <w:rFonts w:ascii="Times New Roman" w:hAnsi="Times New Roman"/>
          <w:color w:val="000000" w:themeColor="text1"/>
          <w:sz w:val="22"/>
          <w:szCs w:val="22"/>
        </w:rPr>
        <w:t xml:space="preserve"> aquatic organisms such as fish, shellfish, and aquatic insects. </w:t>
      </w:r>
      <w:r w:rsidR="007331A7"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The aquatic life toxics criteria for each pollutant are typically comprised of four values: acute and chronic values for freshwater protection and acute and chronic values for saltwater protection.  </w:t>
      </w:r>
    </w:p>
    <w:p w:rsidR="007331A7" w:rsidRPr="007331A7" w:rsidRDefault="007331A7" w:rsidP="007331A7">
      <w:pPr>
        <w:pStyle w:val="DEQTEXTforFACTSHEET"/>
        <w:rPr>
          <w:sz w:val="22"/>
          <w:szCs w:val="22"/>
        </w:rPr>
      </w:pPr>
    </w:p>
    <w:p w:rsidR="007331A7" w:rsidRPr="007331A7" w:rsidRDefault="007331A7" w:rsidP="007331A7">
      <w:pPr>
        <w:rPr>
          <w:rFonts w:ascii="Times New Roman" w:hAnsi="Times New Roman"/>
          <w:color w:val="000000" w:themeColor="text1"/>
          <w:sz w:val="22"/>
          <w:szCs w:val="22"/>
          <w:lang w:eastAsia="zh-CN"/>
        </w:rPr>
      </w:pPr>
      <w:r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EPA approved 38 criteria associated with 14 toxic pollutants.  </w:t>
      </w:r>
      <w:r w:rsidRPr="007331A7">
        <w:rPr>
          <w:rFonts w:ascii="Times New Roman" w:hAnsi="Times New Roman"/>
          <w:color w:val="000000" w:themeColor="text1"/>
          <w:sz w:val="22"/>
          <w:szCs w:val="22"/>
        </w:rPr>
        <w:t xml:space="preserve">EPA disapproved freshwater criteria associated with three pollutants—ammonia, cadmium and copper—based on findings in the National Marine Fisheries Service’s </w:t>
      </w:r>
      <w:r w:rsidR="00E74FD4">
        <w:rPr>
          <w:rFonts w:ascii="Times New Roman" w:hAnsi="Times New Roman"/>
          <w:color w:val="000000" w:themeColor="text1"/>
          <w:sz w:val="22"/>
          <w:szCs w:val="22"/>
        </w:rPr>
        <w:t xml:space="preserve">(NMFS) </w:t>
      </w:r>
      <w:r w:rsidRPr="007331A7">
        <w:rPr>
          <w:rFonts w:ascii="Times New Roman" w:hAnsi="Times New Roman"/>
          <w:color w:val="000000" w:themeColor="text1"/>
          <w:sz w:val="22"/>
          <w:szCs w:val="22"/>
        </w:rPr>
        <w:t xml:space="preserve">August 2012 Biological Opinion. </w:t>
      </w:r>
      <w:r w:rsidRPr="007331A7">
        <w:rPr>
          <w:sz w:val="22"/>
          <w:szCs w:val="22"/>
        </w:rPr>
        <w:t>NMFS found that</w:t>
      </w:r>
      <w:r w:rsidRPr="007331A7">
        <w:rPr>
          <w:rFonts w:eastAsia="Times New Roman"/>
          <w:sz w:val="22"/>
          <w:szCs w:val="22"/>
        </w:rPr>
        <w:t xml:space="preserve"> criteria values submitted by DEQ for these pollutants were not sufficiently protective</w:t>
      </w:r>
      <w:r w:rsidRPr="007331A7">
        <w:rPr>
          <w:rFonts w:eastAsia="Times New Roman"/>
          <w:color w:val="1F497D"/>
          <w:sz w:val="22"/>
          <w:szCs w:val="22"/>
        </w:rPr>
        <w:t xml:space="preserve"> </w:t>
      </w:r>
      <w:r w:rsidRPr="007331A7">
        <w:rPr>
          <w:rFonts w:eastAsia="Times New Roman"/>
          <w:sz w:val="22"/>
          <w:szCs w:val="22"/>
        </w:rPr>
        <w:t xml:space="preserve">and could </w:t>
      </w:r>
      <w:r w:rsidRPr="007331A7">
        <w:rPr>
          <w:sz w:val="22"/>
          <w:szCs w:val="22"/>
        </w:rPr>
        <w:t xml:space="preserve">jeopardize the continued existence of endangered and threatened species in Oregon and/or are likely to destroy or adversely modify designated critical habitat. NMFS jurisdiction includes protection of ocean species such as salmon and steelhead.  </w:t>
      </w:r>
    </w:p>
    <w:p w:rsidR="007331A7" w:rsidRPr="007331A7" w:rsidRDefault="007331A7" w:rsidP="007331A7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7331A7" w:rsidRDefault="007331A7" w:rsidP="007331A7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7331A7">
        <w:rPr>
          <w:rFonts w:ascii="Times New Roman" w:hAnsi="Times New Roman"/>
          <w:color w:val="000000" w:themeColor="text1"/>
          <w:sz w:val="22"/>
          <w:szCs w:val="22"/>
        </w:rPr>
        <w:t>EPA also disapproved criteria associated with 13 other pollutants (11 pesticides, selenium and aluminum)</w:t>
      </w:r>
      <w:r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 </w:t>
      </w:r>
      <w:r w:rsidRPr="007331A7">
        <w:rPr>
          <w:rFonts w:ascii="Times New Roman" w:hAnsi="Times New Roman"/>
          <w:color w:val="000000" w:themeColor="text1"/>
          <w:sz w:val="22"/>
          <w:szCs w:val="22"/>
        </w:rPr>
        <w:t>due to inconsistencies associated with EPA’s nationally recommended criteria.</w:t>
      </w:r>
      <w:r w:rsidR="00FA170C">
        <w:rPr>
          <w:rFonts w:ascii="Times New Roman" w:hAnsi="Times New Roman"/>
          <w:color w:val="000000" w:themeColor="text1"/>
          <w:sz w:val="22"/>
          <w:szCs w:val="22"/>
        </w:rPr>
        <w:t xml:space="preserve">  For more detail on EPA’s action see documents at:  </w:t>
      </w:r>
      <w:hyperlink r:id="rId10" w:history="1">
        <w:r w:rsidR="00FA170C" w:rsidRPr="00D50CD8">
          <w:rPr>
            <w:rStyle w:val="Hyperlink"/>
            <w:rFonts w:ascii="Times New Roman" w:hAnsi="Times New Roman"/>
            <w:sz w:val="22"/>
            <w:szCs w:val="22"/>
          </w:rPr>
          <w:t>http://www.deq.state.or.us/wq/standards/toxics.htm</w:t>
        </w:r>
      </w:hyperlink>
    </w:p>
    <w:p w:rsidR="00FA170C" w:rsidRPr="007331A7" w:rsidRDefault="00FA170C" w:rsidP="007331A7">
      <w:pPr>
        <w:rPr>
          <w:rFonts w:ascii="Times New Roman" w:hAnsi="Times New Roman"/>
          <w:color w:val="000000" w:themeColor="text1"/>
          <w:sz w:val="22"/>
          <w:szCs w:val="22"/>
          <w:lang w:eastAsia="zh-CN"/>
        </w:rPr>
      </w:pPr>
    </w:p>
    <w:p w:rsidR="007331A7" w:rsidRPr="007331A7" w:rsidRDefault="007331A7" w:rsidP="007331A7">
      <w:pPr>
        <w:rPr>
          <w:rFonts w:ascii="Times New Roman" w:hAnsi="Times New Roman"/>
          <w:color w:val="000000" w:themeColor="text1"/>
          <w:sz w:val="22"/>
          <w:szCs w:val="22"/>
          <w:lang w:eastAsia="zh-CN"/>
        </w:rPr>
      </w:pPr>
      <w:r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>Aquatic life criteria approved by EPA are now federally effective for Clean Water Act programs.</w:t>
      </w:r>
      <w:r w:rsidRPr="007331A7">
        <w:rPr>
          <w:rFonts w:ascii="Times New Roman" w:hAnsi="Times New Roman"/>
          <w:b/>
          <w:color w:val="000000" w:themeColor="text1"/>
          <w:sz w:val="22"/>
          <w:szCs w:val="22"/>
          <w:lang w:eastAsia="zh-CN"/>
        </w:rPr>
        <w:t xml:space="preserve"> </w:t>
      </w:r>
      <w:r w:rsidRPr="007331A7">
        <w:rPr>
          <w:rFonts w:ascii="Times New Roman" w:hAnsi="Times New Roman"/>
          <w:color w:val="000000" w:themeColor="text1"/>
          <w:sz w:val="22"/>
          <w:szCs w:val="22"/>
        </w:rPr>
        <w:t xml:space="preserve">When EPA disapproves a standard submitted by the state, the previously effective standard remains in effect for Clean Water Act purposes until such time the standard is revised to address EPA’s concerns. </w:t>
      </w:r>
      <w:r w:rsidRPr="007331A7">
        <w:rPr>
          <w:rFonts w:ascii="Times New Roman" w:hAnsi="Times New Roman"/>
          <w:color w:val="000000" w:themeColor="text1"/>
          <w:sz w:val="22"/>
          <w:szCs w:val="22"/>
          <w:lang w:eastAsia="zh-CN"/>
        </w:rPr>
        <w:t>The newly effective criteria represent both more stringent criteria and less stringent criteria compared to the previously effective criteria.</w:t>
      </w:r>
    </w:p>
    <w:p w:rsidR="007331A7" w:rsidRPr="007331A7" w:rsidRDefault="007331A7" w:rsidP="00CE4942">
      <w:pPr>
        <w:pStyle w:val="DEQTITLE"/>
        <w:outlineLvl w:val="0"/>
        <w:rPr>
          <w:rFonts w:ascii="Times New Roman" w:hAnsi="Times New Roman"/>
          <w:noProof/>
          <w:sz w:val="22"/>
          <w:szCs w:val="22"/>
        </w:rPr>
      </w:pPr>
    </w:p>
    <w:p w:rsidR="00AD0473" w:rsidRDefault="00FA170C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 w:rsidRPr="00FA170C">
        <w:rPr>
          <w:rFonts w:ascii="Times New Roman" w:hAnsi="Times New Roman"/>
          <w:b w:val="0"/>
          <w:sz w:val="22"/>
          <w:szCs w:val="22"/>
        </w:rPr>
        <w:t xml:space="preserve">The Clean Water Act requires Oregon to fix the deficiencies identified in EPA’s disapproval action. </w:t>
      </w:r>
      <w:r>
        <w:rPr>
          <w:rFonts w:ascii="Times New Roman" w:hAnsi="Times New Roman"/>
          <w:b w:val="0"/>
          <w:sz w:val="22"/>
          <w:szCs w:val="22"/>
        </w:rPr>
        <w:t>If Oregon does not</w:t>
      </w:r>
      <w:r w:rsidRPr="00FA170C">
        <w:rPr>
          <w:rFonts w:ascii="Times New Roman" w:hAnsi="Times New Roman"/>
          <w:b w:val="0"/>
          <w:sz w:val="22"/>
          <w:szCs w:val="22"/>
        </w:rPr>
        <w:t xml:space="preserve"> make these revisions, EPA </w:t>
      </w:r>
      <w:r w:rsidR="00030531">
        <w:rPr>
          <w:rFonts w:ascii="Times New Roman" w:hAnsi="Times New Roman"/>
          <w:b w:val="0"/>
          <w:sz w:val="22"/>
          <w:szCs w:val="22"/>
        </w:rPr>
        <w:t>is required to</w:t>
      </w:r>
      <w:r w:rsidR="00030531" w:rsidRPr="00FA170C">
        <w:rPr>
          <w:rFonts w:ascii="Times New Roman" w:hAnsi="Times New Roman"/>
          <w:b w:val="0"/>
          <w:sz w:val="22"/>
          <w:szCs w:val="22"/>
        </w:rPr>
        <w:t xml:space="preserve"> </w:t>
      </w:r>
      <w:r w:rsidRPr="00FA170C">
        <w:rPr>
          <w:rFonts w:ascii="Times New Roman" w:hAnsi="Times New Roman"/>
          <w:b w:val="0"/>
          <w:sz w:val="22"/>
          <w:szCs w:val="22"/>
        </w:rPr>
        <w:t xml:space="preserve">put in place its own regulations addressing the deficiencies.  </w:t>
      </w:r>
    </w:p>
    <w:p w:rsidR="00CE4942" w:rsidRPr="00AD0473" w:rsidRDefault="00CE4942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 w:rsidRPr="00CE4942">
        <w:rPr>
          <w:rFonts w:cs="Arial"/>
          <w:noProof/>
          <w:sz w:val="24"/>
          <w:szCs w:val="24"/>
        </w:rPr>
        <w:lastRenderedPageBreak/>
        <w:t>III. Scope of the Proposed Rulemaking</w:t>
      </w:r>
    </w:p>
    <w:p w:rsidR="001C7117" w:rsidRPr="001C7117" w:rsidRDefault="001C7117" w:rsidP="001C7117">
      <w:pPr>
        <w:rPr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This </w:t>
      </w:r>
      <w:r w:rsidR="00D83E3A" w:rsidRPr="00D83E3A"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rulemaking will propose minor corrections to address several of the EPA disapproved </w:t>
      </w:r>
      <w:r w:rsidR="00E74FD4">
        <w:rPr>
          <w:rFonts w:ascii="Times New Roman" w:hAnsi="Times New Roman"/>
          <w:color w:val="000000" w:themeColor="text1"/>
          <w:sz w:val="22"/>
          <w:szCs w:val="22"/>
          <w:lang w:eastAsia="zh-CN"/>
        </w:rPr>
        <w:t>toxic</w:t>
      </w:r>
      <w:r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 </w:t>
      </w:r>
      <w:r w:rsidR="00030531">
        <w:rPr>
          <w:rFonts w:ascii="Times New Roman" w:hAnsi="Times New Roman"/>
          <w:color w:val="000000" w:themeColor="text1"/>
          <w:sz w:val="22"/>
          <w:szCs w:val="22"/>
          <w:lang w:eastAsia="zh-CN"/>
        </w:rPr>
        <w:t>criteria</w:t>
      </w:r>
      <w:r w:rsidR="00D83E3A" w:rsidRPr="00D83E3A">
        <w:rPr>
          <w:rFonts w:ascii="Times New Roman" w:hAnsi="Times New Roman"/>
          <w:color w:val="000000" w:themeColor="text1"/>
          <w:sz w:val="22"/>
          <w:szCs w:val="22"/>
          <w:lang w:eastAsia="zh-CN"/>
        </w:rPr>
        <w:t xml:space="preserve">, plus other minor revisions to the toxics rule. For example, EPA disapproved criteria for 11 pesticides based on an unclear reading of the frequency and duration components of these criteria. </w:t>
      </w:r>
      <w:r w:rsidR="00D83E3A" w:rsidRPr="00D83E3A">
        <w:rPr>
          <w:rFonts w:ascii="Times New Roman" w:hAnsi="Times New Roman"/>
          <w:sz w:val="22"/>
          <w:szCs w:val="22"/>
        </w:rPr>
        <w:t>DEQ expects that clarifying this aspect of the criteria will remedy the disapproval of 35 pesticide criteria values associated with 11 pesticides.</w:t>
      </w:r>
      <w:r w:rsidR="00086BD3">
        <w:rPr>
          <w:rFonts w:ascii="Times New Roman" w:hAnsi="Times New Roman"/>
          <w:sz w:val="22"/>
          <w:szCs w:val="22"/>
        </w:rPr>
        <w:t xml:space="preserve">  </w:t>
      </w:r>
      <w:r w:rsidRPr="001C7117">
        <w:rPr>
          <w:sz w:val="22"/>
          <w:szCs w:val="22"/>
        </w:rPr>
        <w:t>DEQ a</w:t>
      </w:r>
      <w:r w:rsidR="001B6432">
        <w:rPr>
          <w:sz w:val="22"/>
          <w:szCs w:val="22"/>
        </w:rPr>
        <w:t>lso anticipates correcting typographical errors</w:t>
      </w:r>
      <w:r w:rsidRPr="001C7117">
        <w:rPr>
          <w:sz w:val="22"/>
          <w:szCs w:val="22"/>
        </w:rPr>
        <w:t xml:space="preserve"> associate</w:t>
      </w:r>
      <w:r w:rsidR="00E74FD4">
        <w:rPr>
          <w:sz w:val="22"/>
          <w:szCs w:val="22"/>
        </w:rPr>
        <w:t>d with the Human Health Toxics R</w:t>
      </w:r>
      <w:r w:rsidRPr="001C7117">
        <w:rPr>
          <w:sz w:val="22"/>
          <w:szCs w:val="22"/>
        </w:rPr>
        <w:t xml:space="preserve">ulemaking and will also propose to consolidate the aquatic life toxics criteria into one table, rather than </w:t>
      </w:r>
      <w:r>
        <w:rPr>
          <w:sz w:val="22"/>
          <w:szCs w:val="22"/>
        </w:rPr>
        <w:t xml:space="preserve">retaining the toxics criteria that are currently </w:t>
      </w:r>
      <w:r w:rsidRPr="001C7117">
        <w:rPr>
          <w:sz w:val="22"/>
          <w:szCs w:val="22"/>
        </w:rPr>
        <w:t xml:space="preserve">distributed among three tables.  </w:t>
      </w:r>
    </w:p>
    <w:p w:rsidR="001C7117" w:rsidRDefault="001C7117" w:rsidP="001C7117"/>
    <w:p w:rsidR="001C7117" w:rsidRDefault="00086BD3" w:rsidP="001C7117">
      <w:p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rulemaking will not include remedies to address the disapproval of the freshwater criteria for aluminum, ammonia, copper, and cadmium (acute only). </w:t>
      </w:r>
      <w:r w:rsidR="001C7117">
        <w:rPr>
          <w:rFonts w:ascii="Times New Roman" w:hAnsi="Times New Roman"/>
          <w:sz w:val="22"/>
          <w:szCs w:val="22"/>
        </w:rPr>
        <w:t xml:space="preserve"> DEQ expects to conduct a</w:t>
      </w:r>
      <w:r w:rsidR="00030531">
        <w:rPr>
          <w:rFonts w:ascii="Times New Roman" w:hAnsi="Times New Roman"/>
          <w:sz w:val="22"/>
          <w:szCs w:val="22"/>
        </w:rPr>
        <w:t xml:space="preserve"> separate,</w:t>
      </w:r>
      <w:r w:rsidR="001C7117">
        <w:rPr>
          <w:rFonts w:ascii="Times New Roman" w:hAnsi="Times New Roman"/>
          <w:sz w:val="22"/>
          <w:szCs w:val="22"/>
        </w:rPr>
        <w:t xml:space="preserve"> </w:t>
      </w:r>
      <w:r w:rsidR="00030531">
        <w:rPr>
          <w:rFonts w:ascii="Times New Roman" w:hAnsi="Times New Roman"/>
          <w:sz w:val="22"/>
          <w:szCs w:val="22"/>
        </w:rPr>
        <w:t xml:space="preserve">subsequent </w:t>
      </w:r>
      <w:r w:rsidR="001C7117">
        <w:rPr>
          <w:rFonts w:ascii="Times New Roman" w:hAnsi="Times New Roman"/>
          <w:sz w:val="22"/>
          <w:szCs w:val="22"/>
        </w:rPr>
        <w:t>rulemaking</w:t>
      </w:r>
      <w:r w:rsidR="00E74FD4">
        <w:rPr>
          <w:rFonts w:ascii="Times New Roman" w:hAnsi="Times New Roman"/>
          <w:sz w:val="22"/>
          <w:szCs w:val="22"/>
        </w:rPr>
        <w:t xml:space="preserve"> that</w:t>
      </w:r>
      <w:r w:rsidR="001C7117">
        <w:rPr>
          <w:rFonts w:ascii="Times New Roman" w:hAnsi="Times New Roman"/>
          <w:sz w:val="22"/>
          <w:szCs w:val="22"/>
        </w:rPr>
        <w:t xml:space="preserve"> will likely address the copper and ammonia disapprovals, and may also include other related toxics proposed revisions</w:t>
      </w:r>
      <w:r w:rsidR="00C91823">
        <w:rPr>
          <w:rFonts w:ascii="Times New Roman" w:hAnsi="Times New Roman"/>
          <w:sz w:val="22"/>
          <w:szCs w:val="22"/>
        </w:rPr>
        <w:t xml:space="preserve"> (see </w:t>
      </w:r>
      <w:r w:rsidR="00030531">
        <w:rPr>
          <w:rFonts w:ascii="Times New Roman" w:hAnsi="Times New Roman"/>
          <w:sz w:val="22"/>
          <w:szCs w:val="22"/>
        </w:rPr>
        <w:t xml:space="preserve">Apr. 30, 2013 </w:t>
      </w:r>
      <w:r w:rsidR="00E74FD4">
        <w:rPr>
          <w:rFonts w:ascii="Times New Roman" w:hAnsi="Times New Roman"/>
          <w:sz w:val="22"/>
          <w:szCs w:val="22"/>
        </w:rPr>
        <w:t xml:space="preserve">DEQ </w:t>
      </w:r>
      <w:r w:rsidR="00F10BFF">
        <w:rPr>
          <w:rFonts w:ascii="Times New Roman" w:hAnsi="Times New Roman"/>
          <w:sz w:val="22"/>
          <w:szCs w:val="22"/>
        </w:rPr>
        <w:t>letter to EPA for more information)</w:t>
      </w:r>
      <w:r w:rsidR="001C7117">
        <w:rPr>
          <w:rFonts w:ascii="Times New Roman" w:hAnsi="Times New Roman"/>
          <w:sz w:val="22"/>
          <w:szCs w:val="22"/>
        </w:rPr>
        <w:t>.</w:t>
      </w:r>
      <w:r w:rsidR="00F10BFF">
        <w:rPr>
          <w:rFonts w:ascii="Times New Roman" w:hAnsi="Times New Roman"/>
          <w:sz w:val="22"/>
          <w:szCs w:val="22"/>
        </w:rPr>
        <w:t xml:space="preserve">  </w:t>
      </w:r>
      <w:r w:rsidR="001C7117" w:rsidRPr="001C7117">
        <w:rPr>
          <w:sz w:val="22"/>
          <w:szCs w:val="22"/>
        </w:rPr>
        <w:t xml:space="preserve">DEQ is </w:t>
      </w:r>
      <w:r w:rsidR="001C7117">
        <w:rPr>
          <w:sz w:val="22"/>
          <w:szCs w:val="22"/>
        </w:rPr>
        <w:t xml:space="preserve">separating these rulemakings to help </w:t>
      </w:r>
      <w:r w:rsidR="00F10BFF">
        <w:rPr>
          <w:sz w:val="22"/>
          <w:szCs w:val="22"/>
        </w:rPr>
        <w:t>ensure that the</w:t>
      </w:r>
      <w:r w:rsidR="001C7117" w:rsidRPr="001C7117">
        <w:rPr>
          <w:sz w:val="22"/>
          <w:szCs w:val="22"/>
        </w:rPr>
        <w:t xml:space="preserve"> straight-forward corrections are compl</w:t>
      </w:r>
      <w:r w:rsidR="00460762">
        <w:rPr>
          <w:sz w:val="22"/>
          <w:szCs w:val="22"/>
        </w:rPr>
        <w:t xml:space="preserve">eted in a timely manner, and are not </w:t>
      </w:r>
      <w:r w:rsidR="001C7117" w:rsidRPr="001C7117">
        <w:rPr>
          <w:sz w:val="22"/>
          <w:szCs w:val="22"/>
        </w:rPr>
        <w:t>unnecessarily delayed by the more substantive issues DEQ anticipates arising from the other disapproved criteria.</w:t>
      </w:r>
    </w:p>
    <w:p w:rsidR="00F10BFF" w:rsidRDefault="00F10BFF" w:rsidP="001C7117">
      <w:pPr>
        <w:rPr>
          <w:sz w:val="22"/>
          <w:szCs w:val="22"/>
        </w:rPr>
      </w:pPr>
    </w:p>
    <w:p w:rsidR="00F10BFF" w:rsidRDefault="00F10BFF" w:rsidP="00F10BFF">
      <w:pPr>
        <w:rPr>
          <w:sz w:val="22"/>
          <w:szCs w:val="22"/>
        </w:rPr>
      </w:pPr>
      <w:r>
        <w:rPr>
          <w:sz w:val="22"/>
          <w:szCs w:val="22"/>
        </w:rPr>
        <w:t>Below is a summary of</w:t>
      </w:r>
      <w:r w:rsidR="00D63C2A">
        <w:rPr>
          <w:sz w:val="22"/>
          <w:szCs w:val="22"/>
        </w:rPr>
        <w:t xml:space="preserve"> actions </w:t>
      </w:r>
      <w:r w:rsidR="00030531">
        <w:rPr>
          <w:sz w:val="22"/>
          <w:szCs w:val="22"/>
        </w:rPr>
        <w:t>DEQ intends to</w:t>
      </w:r>
      <w:r w:rsidR="00D63C2A">
        <w:rPr>
          <w:sz w:val="22"/>
          <w:szCs w:val="22"/>
        </w:rPr>
        <w:t xml:space="preserve"> include in</w:t>
      </w:r>
      <w:r>
        <w:rPr>
          <w:sz w:val="22"/>
          <w:szCs w:val="22"/>
        </w:rPr>
        <w:t xml:space="preserve"> t</w:t>
      </w:r>
      <w:r w:rsidR="00D63C2A">
        <w:rPr>
          <w:sz w:val="22"/>
          <w:szCs w:val="22"/>
        </w:rPr>
        <w:t>he scope of proposed rulemaking:</w:t>
      </w:r>
    </w:p>
    <w:p w:rsidR="00F10BFF" w:rsidRPr="00F10BFF" w:rsidRDefault="00F10BFF" w:rsidP="00F10BFF">
      <w:pPr>
        <w:rPr>
          <w:sz w:val="22"/>
          <w:szCs w:val="22"/>
        </w:rPr>
      </w:pPr>
    </w:p>
    <w:p w:rsidR="00F10BFF" w:rsidRPr="00F10BFF" w:rsidRDefault="00F10BFF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 w:rsidRPr="00F10BFF">
        <w:rPr>
          <w:sz w:val="22"/>
          <w:szCs w:val="22"/>
        </w:rPr>
        <w:t xml:space="preserve">Re-adopt </w:t>
      </w:r>
      <w:r w:rsidR="00933BB4">
        <w:rPr>
          <w:sz w:val="22"/>
          <w:szCs w:val="22"/>
        </w:rPr>
        <w:t xml:space="preserve">freshwater and saltwater </w:t>
      </w:r>
      <w:r>
        <w:rPr>
          <w:sz w:val="22"/>
          <w:szCs w:val="22"/>
        </w:rPr>
        <w:t>arsenic</w:t>
      </w:r>
      <w:r w:rsidR="00933BB4">
        <w:rPr>
          <w:sz w:val="22"/>
          <w:szCs w:val="22"/>
        </w:rPr>
        <w:t xml:space="preserve"> criteria</w:t>
      </w:r>
      <w:r>
        <w:rPr>
          <w:sz w:val="22"/>
          <w:szCs w:val="22"/>
        </w:rPr>
        <w:t xml:space="preserve"> and </w:t>
      </w:r>
      <w:r w:rsidR="00933BB4">
        <w:rPr>
          <w:sz w:val="22"/>
          <w:szCs w:val="22"/>
        </w:rPr>
        <w:t xml:space="preserve">saltwater criteria for </w:t>
      </w:r>
      <w:r>
        <w:rPr>
          <w:sz w:val="22"/>
          <w:szCs w:val="22"/>
        </w:rPr>
        <w:t>chromium</w:t>
      </w:r>
      <w:r w:rsidR="00D63C2A">
        <w:rPr>
          <w:sz w:val="22"/>
          <w:szCs w:val="22"/>
        </w:rPr>
        <w:t xml:space="preserve"> VI.  These criteria were </w:t>
      </w:r>
      <w:r w:rsidRPr="00F10BFF">
        <w:rPr>
          <w:sz w:val="22"/>
          <w:szCs w:val="22"/>
        </w:rPr>
        <w:t>inadvertently left off Table 33B</w:t>
      </w:r>
      <w:r>
        <w:rPr>
          <w:sz w:val="22"/>
          <w:szCs w:val="22"/>
        </w:rPr>
        <w:t xml:space="preserve"> in </w:t>
      </w:r>
      <w:r w:rsidR="00D63C2A">
        <w:rPr>
          <w:sz w:val="22"/>
          <w:szCs w:val="22"/>
        </w:rPr>
        <w:t xml:space="preserve">the </w:t>
      </w:r>
      <w:r>
        <w:rPr>
          <w:sz w:val="22"/>
          <w:szCs w:val="22"/>
        </w:rPr>
        <w:t>2007 rule adoptions</w:t>
      </w:r>
      <w:r w:rsidRPr="00F10BFF">
        <w:rPr>
          <w:sz w:val="22"/>
          <w:szCs w:val="22"/>
        </w:rPr>
        <w:t>.  EPA took no action, but recommended reinstatement of the criteria</w:t>
      </w:r>
      <w:r w:rsidR="00933BB4">
        <w:rPr>
          <w:sz w:val="22"/>
          <w:szCs w:val="22"/>
        </w:rPr>
        <w:t xml:space="preserve"> (Table 20 criteria for arsenic and chromium VI currently in effect)</w:t>
      </w:r>
      <w:r w:rsidRPr="00F10BFF">
        <w:rPr>
          <w:sz w:val="22"/>
          <w:szCs w:val="22"/>
        </w:rPr>
        <w:t>.</w:t>
      </w:r>
    </w:p>
    <w:p w:rsidR="00F10BFF" w:rsidRPr="00F10BFF" w:rsidRDefault="00933BB4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Express freshwater s</w:t>
      </w:r>
      <w:r w:rsidR="00F10BFF" w:rsidRPr="00F10BFF">
        <w:rPr>
          <w:sz w:val="22"/>
          <w:szCs w:val="22"/>
        </w:rPr>
        <w:t>e</w:t>
      </w:r>
      <w:r>
        <w:rPr>
          <w:sz w:val="22"/>
          <w:szCs w:val="22"/>
        </w:rPr>
        <w:t>lenium</w:t>
      </w:r>
      <w:r w:rsidR="00F10BFF" w:rsidRPr="00F10BFF">
        <w:rPr>
          <w:sz w:val="22"/>
          <w:szCs w:val="22"/>
        </w:rPr>
        <w:t xml:space="preserve"> criteria as dissolved</w:t>
      </w:r>
      <w:r>
        <w:rPr>
          <w:sz w:val="22"/>
          <w:szCs w:val="22"/>
        </w:rPr>
        <w:t>—</w:t>
      </w:r>
      <w:r w:rsidR="00D63C2A">
        <w:rPr>
          <w:sz w:val="22"/>
          <w:szCs w:val="22"/>
        </w:rPr>
        <w:t>DEQ did not</w:t>
      </w:r>
      <w:r>
        <w:rPr>
          <w:sz w:val="22"/>
          <w:szCs w:val="22"/>
        </w:rPr>
        <w:t xml:space="preserve"> </w:t>
      </w:r>
      <w:r w:rsidR="00E74FD4">
        <w:rPr>
          <w:sz w:val="22"/>
          <w:szCs w:val="22"/>
        </w:rPr>
        <w:t xml:space="preserve">express the criteria </w:t>
      </w:r>
      <w:r>
        <w:rPr>
          <w:sz w:val="22"/>
          <w:szCs w:val="22"/>
        </w:rPr>
        <w:t>as dissolved as intended in 2004</w:t>
      </w:r>
      <w:r w:rsidR="00F749D9">
        <w:rPr>
          <w:sz w:val="22"/>
          <w:szCs w:val="22"/>
        </w:rPr>
        <w:t xml:space="preserve"> (Table 20 criteria for freshwater selenium currently in effect)</w:t>
      </w:r>
      <w:r w:rsidR="00D63C2A">
        <w:rPr>
          <w:sz w:val="22"/>
          <w:szCs w:val="22"/>
        </w:rPr>
        <w:t>.</w:t>
      </w:r>
    </w:p>
    <w:p w:rsidR="00F10BFF" w:rsidRPr="00F749D9" w:rsidRDefault="00F10BFF" w:rsidP="00F749D9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 w:rsidRPr="00F10BFF">
        <w:rPr>
          <w:sz w:val="22"/>
          <w:szCs w:val="22"/>
        </w:rPr>
        <w:t xml:space="preserve">Correct </w:t>
      </w:r>
      <w:r w:rsidR="00933BB4">
        <w:rPr>
          <w:sz w:val="22"/>
          <w:szCs w:val="22"/>
        </w:rPr>
        <w:t xml:space="preserve">11 pesticides:  Add note to aquatic life criteria </w:t>
      </w:r>
      <w:r w:rsidRPr="00F10BFF">
        <w:rPr>
          <w:sz w:val="22"/>
          <w:szCs w:val="22"/>
        </w:rPr>
        <w:t>table that the frequency and duration of the pesticides is different</w:t>
      </w:r>
      <w:r w:rsidR="00030531">
        <w:rPr>
          <w:sz w:val="22"/>
          <w:szCs w:val="22"/>
        </w:rPr>
        <w:t xml:space="preserve"> than other criteria</w:t>
      </w:r>
      <w:r w:rsidRPr="00F10BFF">
        <w:rPr>
          <w:sz w:val="22"/>
          <w:szCs w:val="22"/>
        </w:rPr>
        <w:t>.  Clarify pesticide footnote</w:t>
      </w:r>
      <w:r w:rsidR="00F749D9">
        <w:rPr>
          <w:sz w:val="22"/>
          <w:szCs w:val="22"/>
        </w:rPr>
        <w:t xml:space="preserve"> (Table 20 criteria for the p</w:t>
      </w:r>
      <w:r w:rsidR="00E74FD4">
        <w:rPr>
          <w:sz w:val="22"/>
          <w:szCs w:val="22"/>
        </w:rPr>
        <w:t xml:space="preserve">esticides currently in effect).  Currently, there are </w:t>
      </w:r>
      <w:r w:rsidR="00F749D9">
        <w:rPr>
          <w:sz w:val="22"/>
          <w:szCs w:val="22"/>
        </w:rPr>
        <w:t xml:space="preserve">no numeric criteria for </w:t>
      </w:r>
      <w:proofErr w:type="spellStart"/>
      <w:r w:rsidRPr="00F749D9">
        <w:rPr>
          <w:sz w:val="22"/>
          <w:szCs w:val="22"/>
        </w:rPr>
        <w:t>endosulfan</w:t>
      </w:r>
      <w:proofErr w:type="spellEnd"/>
      <w:r w:rsidRPr="00F749D9">
        <w:rPr>
          <w:sz w:val="22"/>
          <w:szCs w:val="22"/>
        </w:rPr>
        <w:t xml:space="preserve">-alpha, </w:t>
      </w:r>
      <w:proofErr w:type="spellStart"/>
      <w:r w:rsidRPr="00F749D9">
        <w:rPr>
          <w:sz w:val="22"/>
          <w:szCs w:val="22"/>
        </w:rPr>
        <w:t>endosulfan</w:t>
      </w:r>
      <w:proofErr w:type="spellEnd"/>
      <w:r w:rsidRPr="00F749D9">
        <w:rPr>
          <w:sz w:val="22"/>
          <w:szCs w:val="22"/>
        </w:rPr>
        <w:t xml:space="preserve">-beta, and heptachlor </w:t>
      </w:r>
      <w:proofErr w:type="spellStart"/>
      <w:r w:rsidRPr="00F749D9">
        <w:rPr>
          <w:sz w:val="22"/>
          <w:szCs w:val="22"/>
        </w:rPr>
        <w:t>epoxide</w:t>
      </w:r>
      <w:proofErr w:type="spellEnd"/>
      <w:r w:rsidR="00F749D9">
        <w:rPr>
          <w:sz w:val="22"/>
          <w:szCs w:val="22"/>
        </w:rPr>
        <w:t xml:space="preserve"> in Table 20</w:t>
      </w:r>
      <w:r w:rsidR="00F749D9" w:rsidRPr="00F749D9">
        <w:rPr>
          <w:sz w:val="22"/>
          <w:szCs w:val="22"/>
        </w:rPr>
        <w:t xml:space="preserve">.  </w:t>
      </w:r>
    </w:p>
    <w:p w:rsidR="00F10BFF" w:rsidRPr="00F10BFF" w:rsidRDefault="00F749D9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Silver</w:t>
      </w:r>
      <w:r w:rsidR="00F10BFF" w:rsidRPr="00F10BFF">
        <w:rPr>
          <w:sz w:val="22"/>
          <w:szCs w:val="22"/>
        </w:rPr>
        <w:t xml:space="preserve"> acute criterion:  Remove Footnote P</w:t>
      </w:r>
    </w:p>
    <w:p w:rsidR="00F10BFF" w:rsidRPr="00F10BFF" w:rsidRDefault="00F10BFF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proofErr w:type="spellStart"/>
      <w:r w:rsidRPr="00F10BFF">
        <w:rPr>
          <w:sz w:val="22"/>
          <w:szCs w:val="22"/>
        </w:rPr>
        <w:t>Endosulfan</w:t>
      </w:r>
      <w:proofErr w:type="spellEnd"/>
      <w:r w:rsidRPr="00F10BFF">
        <w:rPr>
          <w:sz w:val="22"/>
          <w:szCs w:val="22"/>
        </w:rPr>
        <w:t>:  Footnote P should be Footnote O</w:t>
      </w:r>
    </w:p>
    <w:p w:rsidR="00F10BFF" w:rsidRPr="00F10BFF" w:rsidRDefault="00F749D9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Consolidate aquatic life criteria</w:t>
      </w:r>
      <w:r w:rsidR="00F10BFF" w:rsidRPr="00F10BFF">
        <w:rPr>
          <w:sz w:val="22"/>
          <w:szCs w:val="22"/>
        </w:rPr>
        <w:t xml:space="preserve"> into one table—clarify several foot</w:t>
      </w:r>
      <w:r>
        <w:rPr>
          <w:sz w:val="22"/>
          <w:szCs w:val="22"/>
        </w:rPr>
        <w:t xml:space="preserve">notes, correct  criteria to reflect </w:t>
      </w:r>
      <w:r w:rsidR="00030531">
        <w:rPr>
          <w:sz w:val="22"/>
          <w:szCs w:val="22"/>
        </w:rPr>
        <w:t>two</w:t>
      </w:r>
      <w:r>
        <w:rPr>
          <w:sz w:val="22"/>
          <w:szCs w:val="22"/>
        </w:rPr>
        <w:t xml:space="preserve"> significant</w:t>
      </w:r>
      <w:r w:rsidR="00F10BFF" w:rsidRPr="00F10BFF">
        <w:rPr>
          <w:sz w:val="22"/>
          <w:szCs w:val="22"/>
        </w:rPr>
        <w:t xml:space="preserve"> digits</w:t>
      </w:r>
    </w:p>
    <w:p w:rsidR="00F10BFF" w:rsidRPr="00F10BFF" w:rsidRDefault="00D04ECC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Correct m</w:t>
      </w:r>
      <w:r w:rsidR="00F10BFF" w:rsidRPr="00F10BFF">
        <w:rPr>
          <w:sz w:val="22"/>
          <w:szCs w:val="22"/>
        </w:rPr>
        <w:t xml:space="preserve">inor typos in Table 40 </w:t>
      </w:r>
      <w:r w:rsidR="00F749D9">
        <w:rPr>
          <w:sz w:val="22"/>
          <w:szCs w:val="22"/>
        </w:rPr>
        <w:t xml:space="preserve">(human health criteria).  </w:t>
      </w:r>
      <w:r w:rsidR="00D63C2A">
        <w:rPr>
          <w:sz w:val="22"/>
          <w:szCs w:val="22"/>
        </w:rPr>
        <w:t xml:space="preserve">Revisions do </w:t>
      </w:r>
      <w:r w:rsidR="00F749D9">
        <w:rPr>
          <w:sz w:val="22"/>
          <w:szCs w:val="22"/>
        </w:rPr>
        <w:t>not include criteria changes.</w:t>
      </w:r>
    </w:p>
    <w:p w:rsidR="00F10BFF" w:rsidRPr="00F10BFF" w:rsidRDefault="00F749D9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Correct typos in Arsenic</w:t>
      </w:r>
      <w:r w:rsidR="00F10BFF" w:rsidRPr="00F10BFF">
        <w:rPr>
          <w:sz w:val="22"/>
          <w:szCs w:val="22"/>
        </w:rPr>
        <w:t xml:space="preserve"> Red</w:t>
      </w:r>
      <w:r>
        <w:rPr>
          <w:sz w:val="22"/>
          <w:szCs w:val="22"/>
        </w:rPr>
        <w:t>uction</w:t>
      </w:r>
      <w:r w:rsidR="00F10BFF" w:rsidRPr="00F10BFF">
        <w:rPr>
          <w:sz w:val="22"/>
          <w:szCs w:val="22"/>
        </w:rPr>
        <w:t xml:space="preserve"> Policy Rule</w:t>
      </w:r>
      <w:r>
        <w:rPr>
          <w:sz w:val="22"/>
          <w:szCs w:val="22"/>
        </w:rPr>
        <w:t xml:space="preserve"> (OAR 340-041-</w:t>
      </w:r>
      <w:r w:rsidR="00D63C2A">
        <w:rPr>
          <w:sz w:val="22"/>
          <w:szCs w:val="22"/>
        </w:rPr>
        <w:t>0033(7))</w:t>
      </w:r>
    </w:p>
    <w:p w:rsidR="00F10BFF" w:rsidRPr="00F10BFF" w:rsidRDefault="00F10BFF" w:rsidP="00F10BFF">
      <w:pPr>
        <w:pStyle w:val="ListParagraph"/>
        <w:numPr>
          <w:ilvl w:val="1"/>
          <w:numId w:val="2"/>
        </w:numPr>
        <w:spacing w:after="200" w:line="276" w:lineRule="auto"/>
        <w:rPr>
          <w:sz w:val="22"/>
          <w:szCs w:val="22"/>
        </w:rPr>
      </w:pPr>
      <w:r w:rsidRPr="00F10BFF">
        <w:rPr>
          <w:sz w:val="22"/>
          <w:szCs w:val="22"/>
        </w:rPr>
        <w:t>Revisions</w:t>
      </w:r>
      <w:r w:rsidR="00D63C2A">
        <w:rPr>
          <w:sz w:val="22"/>
          <w:szCs w:val="22"/>
        </w:rPr>
        <w:t>/updates</w:t>
      </w:r>
      <w:r w:rsidRPr="00F10BFF">
        <w:rPr>
          <w:sz w:val="22"/>
          <w:szCs w:val="22"/>
        </w:rPr>
        <w:t xml:space="preserve"> to Toxics Rule in </w:t>
      </w:r>
      <w:r w:rsidR="00D63C2A">
        <w:rPr>
          <w:sz w:val="22"/>
          <w:szCs w:val="22"/>
        </w:rPr>
        <w:t>OAR 340-041</w:t>
      </w:r>
      <w:r w:rsidRPr="00F10BFF">
        <w:rPr>
          <w:sz w:val="22"/>
          <w:szCs w:val="22"/>
        </w:rPr>
        <w:t>-003</w:t>
      </w:r>
      <w:r w:rsidR="00D63C2A">
        <w:rPr>
          <w:sz w:val="22"/>
          <w:szCs w:val="22"/>
        </w:rPr>
        <w:t>3 and associated revisions to groundwater</w:t>
      </w:r>
      <w:r w:rsidRPr="00F10BFF">
        <w:rPr>
          <w:sz w:val="22"/>
          <w:szCs w:val="22"/>
        </w:rPr>
        <w:t xml:space="preserve"> rules from the removal of Table 20 (instead programs should point to the toxics rule in general rather than specifically Table 20)</w:t>
      </w:r>
    </w:p>
    <w:p w:rsidR="001A155F" w:rsidRDefault="00DB5DBA" w:rsidP="00CE4942">
      <w:pPr>
        <w:pStyle w:val="DEQTITLE"/>
        <w:outlineLvl w:val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I</w:t>
      </w:r>
      <w:r w:rsidR="001A155F">
        <w:rPr>
          <w:rFonts w:cs="Arial"/>
          <w:noProof/>
          <w:sz w:val="24"/>
          <w:szCs w:val="24"/>
        </w:rPr>
        <w:t>V.  Advisory Committee Schedule and Guidelines</w:t>
      </w:r>
    </w:p>
    <w:p w:rsidR="00974244" w:rsidRDefault="00974244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 xml:space="preserve">All committee meetings will be held at DEQ Headquarters: </w:t>
      </w:r>
    </w:p>
    <w:p w:rsidR="00AD0473" w:rsidRDefault="00AD0473" w:rsidP="00974244">
      <w:pPr>
        <w:pStyle w:val="DEQTITLE"/>
        <w:ind w:left="720"/>
        <w:outlineLvl w:val="0"/>
        <w:rPr>
          <w:rFonts w:ascii="Times New Roman" w:hAnsi="Times New Roman"/>
          <w:b w:val="0"/>
          <w:noProof/>
          <w:sz w:val="22"/>
          <w:szCs w:val="22"/>
        </w:rPr>
      </w:pPr>
    </w:p>
    <w:p w:rsidR="000A7EDC" w:rsidRDefault="000A7EDC" w:rsidP="00974244">
      <w:pPr>
        <w:pStyle w:val="DEQTITLE"/>
        <w:ind w:left="720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>811 SW Sixth Ave.</w:t>
      </w:r>
    </w:p>
    <w:p w:rsidR="00974244" w:rsidRDefault="00974244" w:rsidP="00974244">
      <w:pPr>
        <w:pStyle w:val="DEQTITLE"/>
        <w:ind w:left="720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>Portland OR  97204</w:t>
      </w:r>
    </w:p>
    <w:p w:rsidR="00974244" w:rsidRDefault="00974244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</w:p>
    <w:p w:rsidR="00974244" w:rsidRDefault="00974244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</w:p>
    <w:p w:rsidR="00D04ECC" w:rsidRPr="00974244" w:rsidRDefault="00D04ECC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</w:p>
    <w:p w:rsidR="001A155F" w:rsidRPr="005273E0" w:rsidRDefault="001A155F" w:rsidP="00CE4942">
      <w:pPr>
        <w:pStyle w:val="DEQTITLE"/>
        <w:outlineLvl w:val="0"/>
        <w:rPr>
          <w:rFonts w:cs="Arial"/>
          <w:noProof/>
          <w:sz w:val="20"/>
        </w:rPr>
      </w:pPr>
      <w:r w:rsidRPr="005273E0">
        <w:rPr>
          <w:rFonts w:cs="Arial"/>
          <w:noProof/>
          <w:sz w:val="20"/>
        </w:rPr>
        <w:t>1. Schedule</w:t>
      </w:r>
    </w:p>
    <w:p w:rsidR="001A155F" w:rsidRDefault="001A155F" w:rsidP="00CE4942">
      <w:pPr>
        <w:pStyle w:val="DEQTITLE"/>
        <w:outlineLvl w:val="0"/>
        <w:rPr>
          <w:rFonts w:cs="Arial"/>
          <w:noProof/>
          <w:sz w:val="24"/>
          <w:szCs w:val="24"/>
        </w:rPr>
      </w:pPr>
    </w:p>
    <w:tbl>
      <w:tblPr>
        <w:tblStyle w:val="LightGrid-Accent5"/>
        <w:tblW w:w="0" w:type="auto"/>
        <w:tblLook w:val="04A0"/>
      </w:tblPr>
      <w:tblGrid>
        <w:gridCol w:w="2098"/>
        <w:gridCol w:w="1160"/>
        <w:gridCol w:w="1710"/>
        <w:gridCol w:w="3885"/>
      </w:tblGrid>
      <w:tr w:rsidR="005273E0" w:rsidTr="005273E0">
        <w:trPr>
          <w:cnfStyle w:val="100000000000"/>
        </w:trPr>
        <w:tc>
          <w:tcPr>
            <w:cnfStyle w:val="001000000000"/>
            <w:tcW w:w="2098" w:type="dxa"/>
          </w:tcPr>
          <w:p w:rsidR="005273E0" w:rsidRDefault="005273E0" w:rsidP="00CE4942">
            <w:pPr>
              <w:pStyle w:val="DEQTITLE"/>
              <w:outlineLvl w:val="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1160" w:type="dxa"/>
          </w:tcPr>
          <w:p w:rsidR="005273E0" w:rsidRDefault="005273E0" w:rsidP="00CE4942">
            <w:pPr>
              <w:pStyle w:val="DEQTITLE"/>
              <w:outlineLvl w:val="0"/>
              <w:cnfStyle w:val="10000000000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Time</w:t>
            </w:r>
          </w:p>
        </w:tc>
        <w:tc>
          <w:tcPr>
            <w:tcW w:w="1710" w:type="dxa"/>
          </w:tcPr>
          <w:p w:rsidR="005273E0" w:rsidRDefault="005273E0" w:rsidP="00CE4942">
            <w:pPr>
              <w:pStyle w:val="DEQTITLE"/>
              <w:outlineLvl w:val="0"/>
              <w:cnfStyle w:val="10000000000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3885" w:type="dxa"/>
          </w:tcPr>
          <w:p w:rsidR="005273E0" w:rsidRDefault="005273E0" w:rsidP="00CE4942">
            <w:pPr>
              <w:pStyle w:val="DEQTITLE"/>
              <w:outlineLvl w:val="0"/>
              <w:cnfStyle w:val="10000000000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Topic</w:t>
            </w:r>
          </w:p>
        </w:tc>
      </w:tr>
      <w:tr w:rsidR="005273E0" w:rsidTr="005273E0">
        <w:trPr>
          <w:cnfStyle w:val="000000100000"/>
        </w:trPr>
        <w:tc>
          <w:tcPr>
            <w:cnfStyle w:val="001000000000"/>
            <w:tcW w:w="2098" w:type="dxa"/>
          </w:tcPr>
          <w:p w:rsidR="005273E0" w:rsidRPr="005273E0" w:rsidRDefault="005273E0" w:rsidP="00CE4942">
            <w:pPr>
              <w:pStyle w:val="DEQTITLE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 w:cs="Times New Roman"/>
                <w:noProof/>
                <w:sz w:val="24"/>
                <w:szCs w:val="24"/>
              </w:rPr>
              <w:t>June 25, 2013</w:t>
            </w:r>
          </w:p>
        </w:tc>
        <w:tc>
          <w:tcPr>
            <w:tcW w:w="1160" w:type="dxa"/>
          </w:tcPr>
          <w:p w:rsidR="005273E0" w:rsidRPr="005273E0" w:rsidRDefault="005273E0" w:rsidP="00CE4942">
            <w:pPr>
              <w:pStyle w:val="DEQTITLE"/>
              <w:outlineLvl w:val="0"/>
              <w:cnfStyle w:val="00000010000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1 - 4</w:t>
            </w:r>
          </w:p>
        </w:tc>
        <w:tc>
          <w:tcPr>
            <w:tcW w:w="1710" w:type="dxa"/>
          </w:tcPr>
          <w:p w:rsidR="005273E0" w:rsidRPr="005273E0" w:rsidRDefault="005273E0" w:rsidP="00CE4942">
            <w:pPr>
              <w:pStyle w:val="DEQTITLE"/>
              <w:outlineLvl w:val="0"/>
              <w:cnfStyle w:val="00000010000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DEQ HQ</w:t>
            </w:r>
          </w:p>
        </w:tc>
        <w:tc>
          <w:tcPr>
            <w:tcW w:w="3885" w:type="dxa"/>
          </w:tcPr>
          <w:p w:rsidR="005273E0" w:rsidRPr="005273E0" w:rsidRDefault="005273E0" w:rsidP="00CE4942">
            <w:pPr>
              <w:pStyle w:val="DEQTITLE"/>
              <w:outlineLvl w:val="0"/>
              <w:cnfStyle w:val="00000010000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Summary of proposed rule revisions</w:t>
            </w:r>
            <w:r w:rsidR="00D04ECC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and opportunity to ask questions</w:t>
            </w:r>
          </w:p>
        </w:tc>
      </w:tr>
      <w:tr w:rsidR="005273E0" w:rsidTr="005273E0">
        <w:trPr>
          <w:cnfStyle w:val="000000010000"/>
        </w:trPr>
        <w:tc>
          <w:tcPr>
            <w:cnfStyle w:val="001000000000"/>
            <w:tcW w:w="2098" w:type="dxa"/>
          </w:tcPr>
          <w:p w:rsidR="005273E0" w:rsidRPr="005273E0" w:rsidRDefault="005273E0" w:rsidP="00CE4942">
            <w:pPr>
              <w:pStyle w:val="DEQTITLE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 w:cs="Times New Roman"/>
                <w:noProof/>
                <w:sz w:val="24"/>
                <w:szCs w:val="24"/>
              </w:rPr>
              <w:t>July 11, 2013</w:t>
            </w:r>
          </w:p>
        </w:tc>
        <w:tc>
          <w:tcPr>
            <w:tcW w:w="1160" w:type="dxa"/>
          </w:tcPr>
          <w:p w:rsidR="005273E0" w:rsidRPr="005273E0" w:rsidRDefault="005273E0" w:rsidP="00CE4942">
            <w:pPr>
              <w:pStyle w:val="DEQTITLE"/>
              <w:outlineLvl w:val="0"/>
              <w:cnfStyle w:val="00000001000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10 - 12</w:t>
            </w:r>
          </w:p>
        </w:tc>
        <w:tc>
          <w:tcPr>
            <w:tcW w:w="1710" w:type="dxa"/>
          </w:tcPr>
          <w:p w:rsidR="005273E0" w:rsidRPr="005273E0" w:rsidRDefault="005273E0" w:rsidP="00CE4942">
            <w:pPr>
              <w:pStyle w:val="DEQTITLE"/>
              <w:outlineLvl w:val="0"/>
              <w:cnfStyle w:val="00000001000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DEQ HQ</w:t>
            </w:r>
          </w:p>
        </w:tc>
        <w:tc>
          <w:tcPr>
            <w:tcW w:w="3885" w:type="dxa"/>
          </w:tcPr>
          <w:p w:rsidR="005273E0" w:rsidRPr="005273E0" w:rsidRDefault="005273E0" w:rsidP="00CE4942">
            <w:pPr>
              <w:pStyle w:val="DEQTITLE"/>
              <w:outlineLvl w:val="0"/>
              <w:cnfStyle w:val="000000010000"/>
              <w:rPr>
                <w:rFonts w:ascii="Times New Roman" w:hAnsi="Times New Roman"/>
                <w:b w:val="0"/>
                <w:noProof/>
                <w:sz w:val="24"/>
                <w:szCs w:val="24"/>
              </w:rPr>
            </w:pPr>
            <w:r w:rsidRPr="005273E0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Fiscal analysis</w:t>
            </w:r>
          </w:p>
        </w:tc>
      </w:tr>
    </w:tbl>
    <w:p w:rsidR="001A155F" w:rsidRDefault="001A155F" w:rsidP="00CE4942">
      <w:pPr>
        <w:pStyle w:val="DEQTITLE"/>
        <w:outlineLvl w:val="0"/>
        <w:rPr>
          <w:rFonts w:cs="Arial"/>
          <w:noProof/>
          <w:sz w:val="24"/>
          <w:szCs w:val="24"/>
        </w:rPr>
      </w:pPr>
    </w:p>
    <w:p w:rsidR="00A0799D" w:rsidRPr="00E8568F" w:rsidRDefault="00E8568F" w:rsidP="00CE4942">
      <w:pPr>
        <w:pStyle w:val="DEQTITLE"/>
        <w:outlineLvl w:val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 xml:space="preserve">DEQ anticipates </w:t>
      </w:r>
      <w:r w:rsidR="00030531">
        <w:rPr>
          <w:rFonts w:ascii="Times New Roman" w:hAnsi="Times New Roman"/>
          <w:b w:val="0"/>
          <w:noProof/>
          <w:sz w:val="22"/>
          <w:szCs w:val="22"/>
        </w:rPr>
        <w:t>publishing</w:t>
      </w:r>
      <w:r>
        <w:rPr>
          <w:rFonts w:ascii="Times New Roman" w:hAnsi="Times New Roman"/>
          <w:b w:val="0"/>
          <w:noProof/>
          <w:sz w:val="22"/>
          <w:szCs w:val="22"/>
        </w:rPr>
        <w:t xml:space="preserve"> the proposed rules for pu</w:t>
      </w:r>
      <w:r w:rsidR="007A46A3">
        <w:rPr>
          <w:rFonts w:ascii="Times New Roman" w:hAnsi="Times New Roman"/>
          <w:b w:val="0"/>
          <w:noProof/>
          <w:sz w:val="22"/>
          <w:szCs w:val="22"/>
        </w:rPr>
        <w:t xml:space="preserve">blic comment </w:t>
      </w:r>
      <w:r w:rsidR="00030531">
        <w:rPr>
          <w:rFonts w:ascii="Times New Roman" w:hAnsi="Times New Roman"/>
          <w:b w:val="0"/>
          <w:noProof/>
          <w:sz w:val="22"/>
          <w:szCs w:val="22"/>
        </w:rPr>
        <w:t xml:space="preserve">during </w:t>
      </w:r>
      <w:r w:rsidR="007A46A3">
        <w:rPr>
          <w:rFonts w:ascii="Times New Roman" w:hAnsi="Times New Roman"/>
          <w:b w:val="0"/>
          <w:noProof/>
          <w:sz w:val="22"/>
          <w:szCs w:val="22"/>
        </w:rPr>
        <w:t>the month of September</w:t>
      </w:r>
      <w:r>
        <w:rPr>
          <w:rFonts w:ascii="Times New Roman" w:hAnsi="Times New Roman"/>
          <w:b w:val="0"/>
          <w:noProof/>
          <w:sz w:val="22"/>
          <w:szCs w:val="22"/>
        </w:rPr>
        <w:t xml:space="preserve"> and </w:t>
      </w:r>
      <w:r w:rsidR="00030531">
        <w:rPr>
          <w:rFonts w:ascii="Times New Roman" w:hAnsi="Times New Roman"/>
          <w:b w:val="0"/>
          <w:noProof/>
          <w:sz w:val="22"/>
          <w:szCs w:val="22"/>
        </w:rPr>
        <w:t xml:space="preserve">submitting the rules </w:t>
      </w:r>
      <w:r>
        <w:rPr>
          <w:rFonts w:ascii="Times New Roman" w:hAnsi="Times New Roman"/>
          <w:b w:val="0"/>
          <w:noProof/>
          <w:sz w:val="22"/>
          <w:szCs w:val="22"/>
        </w:rPr>
        <w:t xml:space="preserve">to the Environmental Quality Commission for adoption in December.  </w:t>
      </w:r>
      <w:r w:rsidR="00D04ECC">
        <w:rPr>
          <w:rFonts w:ascii="Times New Roman" w:hAnsi="Times New Roman"/>
          <w:b w:val="0"/>
          <w:noProof/>
          <w:sz w:val="22"/>
          <w:szCs w:val="22"/>
        </w:rPr>
        <w:t xml:space="preserve">EPA must </w:t>
      </w:r>
      <w:r w:rsidR="00030531">
        <w:rPr>
          <w:rFonts w:ascii="Times New Roman" w:hAnsi="Times New Roman"/>
          <w:b w:val="0"/>
          <w:noProof/>
          <w:sz w:val="22"/>
          <w:szCs w:val="22"/>
        </w:rPr>
        <w:t xml:space="preserve">then </w:t>
      </w:r>
      <w:r w:rsidR="00D04ECC">
        <w:rPr>
          <w:rFonts w:ascii="Times New Roman" w:hAnsi="Times New Roman"/>
          <w:b w:val="0"/>
          <w:noProof/>
          <w:sz w:val="22"/>
          <w:szCs w:val="22"/>
        </w:rPr>
        <w:t>approve t</w:t>
      </w:r>
      <w:r>
        <w:rPr>
          <w:rFonts w:ascii="Times New Roman" w:hAnsi="Times New Roman"/>
          <w:b w:val="0"/>
          <w:noProof/>
          <w:sz w:val="22"/>
          <w:szCs w:val="22"/>
        </w:rPr>
        <w:t>he adopte</w:t>
      </w:r>
      <w:r w:rsidR="00D04ECC">
        <w:rPr>
          <w:rFonts w:ascii="Times New Roman" w:hAnsi="Times New Roman"/>
          <w:b w:val="0"/>
          <w:noProof/>
          <w:sz w:val="22"/>
          <w:szCs w:val="22"/>
        </w:rPr>
        <w:t xml:space="preserve">d rules </w:t>
      </w:r>
      <w:r>
        <w:rPr>
          <w:rFonts w:ascii="Times New Roman" w:hAnsi="Times New Roman"/>
          <w:b w:val="0"/>
          <w:noProof/>
          <w:sz w:val="22"/>
          <w:szCs w:val="22"/>
        </w:rPr>
        <w:t>before they become effective</w:t>
      </w:r>
      <w:r w:rsidR="00D04ECC">
        <w:rPr>
          <w:rFonts w:ascii="Times New Roman" w:hAnsi="Times New Roman"/>
          <w:b w:val="0"/>
          <w:noProof/>
          <w:sz w:val="22"/>
          <w:szCs w:val="22"/>
        </w:rPr>
        <w:t xml:space="preserve"> for state CWA programs</w:t>
      </w:r>
      <w:r>
        <w:rPr>
          <w:rFonts w:ascii="Times New Roman" w:hAnsi="Times New Roman"/>
          <w:b w:val="0"/>
          <w:noProof/>
          <w:sz w:val="22"/>
          <w:szCs w:val="22"/>
        </w:rPr>
        <w:t>.</w:t>
      </w:r>
    </w:p>
    <w:p w:rsidR="00A0799D" w:rsidRPr="00CE4942" w:rsidRDefault="00A0799D" w:rsidP="00CE4942">
      <w:pPr>
        <w:pStyle w:val="DEQTITLE"/>
        <w:outlineLvl w:val="0"/>
        <w:rPr>
          <w:rFonts w:cs="Arial"/>
          <w:noProof/>
          <w:sz w:val="24"/>
          <w:szCs w:val="24"/>
        </w:rPr>
      </w:pPr>
    </w:p>
    <w:p w:rsidR="00974244" w:rsidRDefault="00974244" w:rsidP="0097424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2. Process Overview</w:t>
      </w:r>
    </w:p>
    <w:p w:rsidR="00E32716" w:rsidRDefault="00974244" w:rsidP="00974244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  <w:r w:rsidRPr="00E32716">
        <w:rPr>
          <w:rFonts w:ascii="Times New Roman" w:hAnsi="Times New Roman"/>
          <w:b/>
          <w:sz w:val="22"/>
          <w:szCs w:val="22"/>
        </w:rPr>
        <w:t>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32716">
        <w:rPr>
          <w:rFonts w:ascii="Times New Roman" w:hAnsi="Times New Roman"/>
          <w:b/>
          <w:sz w:val="22"/>
          <w:szCs w:val="22"/>
        </w:rPr>
        <w:t>Meeting materials: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974244" w:rsidRDefault="00974244" w:rsidP="00974244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DEQ staff will </w:t>
      </w:r>
      <w:r w:rsidR="00030531">
        <w:rPr>
          <w:rFonts w:ascii="Times New Roman" w:hAnsi="Times New Roman"/>
          <w:sz w:val="22"/>
          <w:szCs w:val="22"/>
        </w:rPr>
        <w:t>target</w:t>
      </w:r>
      <w:r>
        <w:rPr>
          <w:rFonts w:ascii="Times New Roman" w:hAnsi="Times New Roman"/>
          <w:sz w:val="22"/>
          <w:szCs w:val="22"/>
        </w:rPr>
        <w:t xml:space="preserve"> </w:t>
      </w:r>
      <w:r w:rsidR="00111307">
        <w:rPr>
          <w:rFonts w:ascii="Times New Roman" w:hAnsi="Times New Roman"/>
          <w:sz w:val="22"/>
          <w:szCs w:val="22"/>
        </w:rPr>
        <w:t xml:space="preserve">distribution of </w:t>
      </w:r>
      <w:r>
        <w:rPr>
          <w:rFonts w:ascii="Times New Roman" w:hAnsi="Times New Roman"/>
          <w:sz w:val="22"/>
          <w:szCs w:val="22"/>
        </w:rPr>
        <w:t>briefing materials</w:t>
      </w:r>
      <w:r w:rsidR="00C91823">
        <w:rPr>
          <w:rFonts w:ascii="Times New Roman" w:hAnsi="Times New Roman"/>
          <w:sz w:val="22"/>
          <w:szCs w:val="22"/>
        </w:rPr>
        <w:t>, including agenda,</w:t>
      </w:r>
      <w:r>
        <w:rPr>
          <w:rFonts w:ascii="Times New Roman" w:hAnsi="Times New Roman"/>
          <w:sz w:val="22"/>
          <w:szCs w:val="22"/>
        </w:rPr>
        <w:t xml:space="preserve"> at least one week prior to each meeting.  DEQ staff will lead the committee in a discussion designed to provide information and seek consensus on recommen</w:t>
      </w:r>
      <w:r w:rsidR="00E32716">
        <w:rPr>
          <w:rFonts w:ascii="Times New Roman" w:hAnsi="Times New Roman"/>
          <w:sz w:val="22"/>
          <w:szCs w:val="22"/>
        </w:rPr>
        <w:t>dations for addressing issues where</w:t>
      </w:r>
      <w:r>
        <w:rPr>
          <w:rFonts w:ascii="Times New Roman" w:hAnsi="Times New Roman"/>
          <w:sz w:val="22"/>
          <w:szCs w:val="22"/>
        </w:rPr>
        <w:t xml:space="preserve"> applicable.</w:t>
      </w:r>
      <w:r w:rsidR="00D04ECC">
        <w:rPr>
          <w:rFonts w:ascii="Times New Roman" w:hAnsi="Times New Roman"/>
          <w:sz w:val="22"/>
          <w:szCs w:val="22"/>
        </w:rPr>
        <w:t xml:space="preserve">  Meeting materials will be posted on the DEQ website.</w:t>
      </w:r>
    </w:p>
    <w:p w:rsidR="00974244" w:rsidRDefault="00974244" w:rsidP="00974244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:rsidR="00E32716" w:rsidRPr="00E32716" w:rsidRDefault="00974244" w:rsidP="00974244">
      <w:pPr>
        <w:autoSpaceDE w:val="0"/>
        <w:autoSpaceDN w:val="0"/>
        <w:adjustRightInd w:val="0"/>
        <w:ind w:left="720"/>
        <w:rPr>
          <w:rFonts w:ascii="Times New Roman" w:hAnsi="Times New Roman"/>
          <w:b/>
          <w:sz w:val="22"/>
          <w:szCs w:val="22"/>
        </w:rPr>
      </w:pPr>
      <w:r w:rsidRPr="00E32716">
        <w:rPr>
          <w:rFonts w:ascii="Times New Roman" w:hAnsi="Times New Roman"/>
          <w:b/>
          <w:sz w:val="22"/>
          <w:szCs w:val="22"/>
        </w:rPr>
        <w:t xml:space="preserve">b. Meeting summaries: </w:t>
      </w:r>
    </w:p>
    <w:p w:rsidR="00974244" w:rsidRDefault="00974244" w:rsidP="00974244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DEQ staff will</w:t>
      </w:r>
      <w:r w:rsidR="00D04ECC">
        <w:rPr>
          <w:rFonts w:ascii="Times New Roman" w:hAnsi="Times New Roman"/>
          <w:sz w:val="22"/>
          <w:szCs w:val="22"/>
        </w:rPr>
        <w:t xml:space="preserve"> prepare committee minutes. Minutes</w:t>
      </w:r>
      <w:r>
        <w:rPr>
          <w:rFonts w:ascii="Times New Roman" w:hAnsi="Times New Roman"/>
          <w:sz w:val="22"/>
          <w:szCs w:val="22"/>
        </w:rPr>
        <w:t xml:space="preserve"> will summarize significant issues raised during the discussion, whethe</w:t>
      </w:r>
      <w:r w:rsidR="00E32716">
        <w:rPr>
          <w:rFonts w:ascii="Times New Roman" w:hAnsi="Times New Roman"/>
          <w:sz w:val="22"/>
          <w:szCs w:val="22"/>
        </w:rPr>
        <w:t xml:space="preserve">r and how issues were resolved, </w:t>
      </w:r>
      <w:proofErr w:type="gramStart"/>
      <w:r w:rsidR="00D04ECC">
        <w:rPr>
          <w:rFonts w:ascii="Times New Roman" w:hAnsi="Times New Roman"/>
          <w:sz w:val="22"/>
          <w:szCs w:val="22"/>
        </w:rPr>
        <w:t xml:space="preserve">committee  </w:t>
      </w:r>
      <w:r>
        <w:rPr>
          <w:rFonts w:ascii="Times New Roman" w:hAnsi="Times New Roman"/>
          <w:sz w:val="22"/>
          <w:szCs w:val="22"/>
        </w:rPr>
        <w:t>recommendations</w:t>
      </w:r>
      <w:proofErr w:type="gramEnd"/>
      <w:r>
        <w:rPr>
          <w:rFonts w:ascii="Times New Roman" w:hAnsi="Times New Roman"/>
          <w:sz w:val="22"/>
          <w:szCs w:val="22"/>
        </w:rPr>
        <w:t xml:space="preserve"> regarding rulemaking and program implementation and other action items. Th</w:t>
      </w:r>
      <w:r w:rsidR="00D04ECC">
        <w:rPr>
          <w:rFonts w:ascii="Times New Roman" w:hAnsi="Times New Roman"/>
          <w:sz w:val="22"/>
          <w:szCs w:val="22"/>
        </w:rPr>
        <w:t>e meeting minutes</w:t>
      </w:r>
      <w:r>
        <w:rPr>
          <w:rFonts w:ascii="Times New Roman" w:hAnsi="Times New Roman"/>
          <w:sz w:val="22"/>
          <w:szCs w:val="22"/>
        </w:rPr>
        <w:t xml:space="preserve"> will be posted on the DEQ website after they are approved by the committee.</w:t>
      </w:r>
    </w:p>
    <w:p w:rsidR="00CE4942" w:rsidRDefault="00CE4942" w:rsidP="00974244">
      <w:pPr>
        <w:autoSpaceDE w:val="0"/>
        <w:autoSpaceDN w:val="0"/>
        <w:adjustRightInd w:val="0"/>
        <w:rPr>
          <w:rFonts w:ascii="Times New Roman" w:hAnsi="Times New Roman"/>
          <w:b/>
          <w:noProof/>
          <w:szCs w:val="24"/>
        </w:rPr>
      </w:pPr>
    </w:p>
    <w:p w:rsidR="00E32716" w:rsidRDefault="00E32716" w:rsidP="00E327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3. Ground Rules</w:t>
      </w:r>
    </w:p>
    <w:p w:rsidR="00E32716" w:rsidRDefault="00E32716" w:rsidP="00E3271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All committee members commit to:</w:t>
      </w:r>
    </w:p>
    <w:p w:rsidR="00E32716" w:rsidRDefault="00E32716" w:rsidP="00E3271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 xml:space="preserve">Attend </w:t>
      </w:r>
      <w:r w:rsidR="00E8568F">
        <w:rPr>
          <w:rFonts w:ascii="Times New Roman" w:hAnsi="Times New Roman"/>
          <w:color w:val="000000"/>
          <w:sz w:val="22"/>
          <w:szCs w:val="22"/>
        </w:rPr>
        <w:t xml:space="preserve">both </w:t>
      </w:r>
      <w:r w:rsidRPr="00E32716">
        <w:rPr>
          <w:rFonts w:ascii="Times New Roman" w:hAnsi="Times New Roman"/>
          <w:color w:val="000000"/>
          <w:sz w:val="22"/>
          <w:szCs w:val="22"/>
        </w:rPr>
        <w:t>meeting</w:t>
      </w:r>
      <w:r w:rsidR="00E8568F">
        <w:rPr>
          <w:rFonts w:ascii="Times New Roman" w:hAnsi="Times New Roman"/>
          <w:color w:val="000000"/>
          <w:sz w:val="22"/>
          <w:szCs w:val="22"/>
        </w:rPr>
        <w:t>s, although it is acceptable if a member cannot attend the entire meeting</w:t>
      </w:r>
      <w:r w:rsidRPr="00E32716">
        <w:rPr>
          <w:rFonts w:ascii="Times New Roman" w:hAnsi="Times New Roman"/>
          <w:color w:val="000000"/>
          <w:sz w:val="22"/>
          <w:szCs w:val="22"/>
        </w:rPr>
        <w:t>; avoid substituting or alternating members whenever possible;</w:t>
      </w: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Treat everyone and his or her opinions with respect;</w:t>
      </w: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Allow one person to speak at a time;</w:t>
      </w: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Comment constructively and specifically;</w:t>
      </w: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Engage in honest, constructive and good faith discussions in all aspects of the discussion;</w:t>
      </w: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Consult regularly with constituencies and provide their input;</w:t>
      </w:r>
    </w:p>
    <w:p w:rsid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Operate according to, and stay focused on, the committee’s specific charge; and</w:t>
      </w:r>
    </w:p>
    <w:p w:rsidR="00E32716" w:rsidRPr="00E32716" w:rsidRDefault="00E32716" w:rsidP="00E327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E32716">
        <w:rPr>
          <w:rFonts w:ascii="Times New Roman" w:hAnsi="Times New Roman"/>
          <w:color w:val="000000"/>
          <w:sz w:val="22"/>
          <w:szCs w:val="22"/>
        </w:rPr>
        <w:t>Not represent the views of any other member, group, or the committee as a whole to the public.</w:t>
      </w:r>
    </w:p>
    <w:p w:rsidR="00E32716" w:rsidRDefault="00E32716" w:rsidP="00E32716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szCs w:val="22"/>
        </w:rPr>
      </w:pPr>
    </w:p>
    <w:p w:rsidR="00CE4942" w:rsidRPr="00E32716" w:rsidRDefault="00E32716" w:rsidP="00E3271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The committee will seek to operate by consensus and strive to make recommendations on all issues identified. However, if the committee cannot achieve consensus on an issue within a reasonable a</w:t>
      </w:r>
      <w:r w:rsidR="00DB5DBA">
        <w:rPr>
          <w:rFonts w:ascii="Times New Roman" w:hAnsi="Times New Roman"/>
          <w:color w:val="000000"/>
          <w:sz w:val="22"/>
          <w:szCs w:val="22"/>
        </w:rPr>
        <w:t xml:space="preserve">mount of time, the meeting minutes </w:t>
      </w:r>
      <w:r>
        <w:rPr>
          <w:rFonts w:ascii="Times New Roman" w:hAnsi="Times New Roman"/>
          <w:color w:val="000000"/>
          <w:sz w:val="22"/>
          <w:szCs w:val="22"/>
        </w:rPr>
        <w:t>will note the different perspectives of committee members on the issue.</w:t>
      </w:r>
    </w:p>
    <w:p w:rsidR="00CE4942" w:rsidRDefault="00CE4942" w:rsidP="00CE4942">
      <w:pPr>
        <w:pStyle w:val="DEQTITLE"/>
        <w:outlineLvl w:val="0"/>
        <w:rPr>
          <w:rFonts w:ascii="Times New Roman" w:hAnsi="Times New Roman"/>
          <w:b w:val="0"/>
          <w:noProof/>
          <w:sz w:val="24"/>
          <w:szCs w:val="24"/>
        </w:rPr>
      </w:pPr>
    </w:p>
    <w:p w:rsidR="00CE4942" w:rsidRPr="00CE4942" w:rsidRDefault="00CE4942" w:rsidP="00CE4942">
      <w:pPr>
        <w:rPr>
          <w:rFonts w:ascii="Arial" w:hAnsi="Arial" w:cs="Arial"/>
        </w:rPr>
      </w:pPr>
      <w:r w:rsidRPr="00CE4942">
        <w:rPr>
          <w:rFonts w:ascii="Arial" w:hAnsi="Arial" w:cs="Arial"/>
          <w:b/>
          <w:noProof/>
          <w:szCs w:val="24"/>
        </w:rPr>
        <w:t>V.  Public Involvement</w:t>
      </w:r>
    </w:p>
    <w:p w:rsidR="00CE4942" w:rsidRDefault="00300399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 meetings of the advisory committee are open to the public. Citize</w:t>
      </w:r>
      <w:r w:rsidR="00DB5DBA">
        <w:rPr>
          <w:rFonts w:ascii="Times New Roman" w:hAnsi="Times New Roman"/>
          <w:sz w:val="22"/>
          <w:szCs w:val="22"/>
        </w:rPr>
        <w:t>ns who wish to discuss issues</w:t>
      </w:r>
      <w:r>
        <w:rPr>
          <w:rFonts w:ascii="Times New Roman" w:hAnsi="Times New Roman"/>
          <w:sz w:val="22"/>
          <w:szCs w:val="22"/>
        </w:rPr>
        <w:t xml:space="preserve"> are encouraged to communicate directly with DEQ project staff. DEQ will accept </w:t>
      </w:r>
      <w:r>
        <w:rPr>
          <w:rFonts w:ascii="Times New Roman" w:hAnsi="Times New Roman"/>
          <w:sz w:val="22"/>
          <w:szCs w:val="22"/>
        </w:rPr>
        <w:lastRenderedPageBreak/>
        <w:t xml:space="preserve">comments submitted during development of the proposed rules through an informal process. DEQ will hold a formal public comment </w:t>
      </w:r>
      <w:r w:rsidRPr="00300399">
        <w:rPr>
          <w:rFonts w:ascii="Times New Roman" w:hAnsi="Times New Roman"/>
          <w:sz w:val="22"/>
          <w:szCs w:val="22"/>
        </w:rPr>
        <w:t>period following the conclusion of the stakeholder meetings.  DEQ anticipates holding one public hearing</w:t>
      </w:r>
      <w:r w:rsidR="007A46A3">
        <w:rPr>
          <w:rFonts w:ascii="Times New Roman" w:hAnsi="Times New Roman"/>
          <w:sz w:val="22"/>
          <w:szCs w:val="22"/>
        </w:rPr>
        <w:t xml:space="preserve"> tentatively scheduled for Sept. 18, 2013</w:t>
      </w:r>
      <w:r w:rsidRPr="00300399">
        <w:rPr>
          <w:rFonts w:ascii="Times New Roman" w:hAnsi="Times New Roman"/>
          <w:sz w:val="22"/>
          <w:szCs w:val="22"/>
        </w:rPr>
        <w:t>.  Citizens may attend the public hearing and provide either oral or written testimony and may also provide written comments submitted any</w:t>
      </w:r>
      <w:r w:rsidR="00111307">
        <w:rPr>
          <w:rFonts w:ascii="Times New Roman" w:hAnsi="Times New Roman"/>
          <w:sz w:val="22"/>
          <w:szCs w:val="22"/>
        </w:rPr>
        <w:t xml:space="preserve"> </w:t>
      </w:r>
      <w:r w:rsidRPr="00300399">
        <w:rPr>
          <w:rFonts w:ascii="Times New Roman" w:hAnsi="Times New Roman"/>
          <w:sz w:val="22"/>
          <w:szCs w:val="22"/>
        </w:rPr>
        <w:t>time within the public comment period.</w:t>
      </w:r>
    </w:p>
    <w:p w:rsidR="00111307" w:rsidRDefault="00111307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D04ECC" w:rsidRPr="00D04ECC" w:rsidRDefault="00D04ECC" w:rsidP="00300399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  <w:r w:rsidRPr="00D04ECC">
        <w:rPr>
          <w:rFonts w:ascii="Arial" w:hAnsi="Arial" w:cs="Arial"/>
          <w:b/>
          <w:szCs w:val="24"/>
        </w:rPr>
        <w:t>VI</w:t>
      </w:r>
      <w:proofErr w:type="gramStart"/>
      <w:r w:rsidRPr="00D04ECC">
        <w:rPr>
          <w:rFonts w:ascii="Arial" w:hAnsi="Arial" w:cs="Arial"/>
          <w:b/>
          <w:szCs w:val="24"/>
        </w:rPr>
        <w:t>.  DEQ</w:t>
      </w:r>
      <w:proofErr w:type="gramEnd"/>
      <w:r w:rsidRPr="00D04ECC">
        <w:rPr>
          <w:rFonts w:ascii="Arial" w:hAnsi="Arial" w:cs="Arial"/>
          <w:b/>
          <w:szCs w:val="24"/>
        </w:rPr>
        <w:t xml:space="preserve"> Contacts</w:t>
      </w:r>
    </w:p>
    <w:p w:rsidR="00D04ECC" w:rsidRDefault="00D04ECC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A3ADB" w:rsidRDefault="001A3ADB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Andrea Matzke</w:t>
      </w:r>
    </w:p>
    <w:p w:rsidR="001A3ADB" w:rsidRDefault="001A3ADB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Water Quality Standards Specialist</w:t>
      </w:r>
    </w:p>
    <w:p w:rsidR="001A3ADB" w:rsidRDefault="001A3ADB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503-229-5384</w:t>
      </w:r>
    </w:p>
    <w:p w:rsidR="001A3ADB" w:rsidRDefault="00487FDC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hyperlink r:id="rId11" w:history="1">
        <w:r w:rsidR="001A3ADB" w:rsidRPr="00511615">
          <w:rPr>
            <w:rStyle w:val="Hyperlink"/>
            <w:rFonts w:ascii="Times New Roman" w:hAnsi="Times New Roman"/>
            <w:sz w:val="22"/>
            <w:szCs w:val="22"/>
          </w:rPr>
          <w:t>matzke.andrea@deq.state.or.us</w:t>
        </w:r>
      </w:hyperlink>
    </w:p>
    <w:p w:rsidR="001A3ADB" w:rsidRDefault="001A3ADB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A3ADB" w:rsidRPr="00300399" w:rsidRDefault="001A3ADB" w:rsidP="0030039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25942" w:rsidRPr="001A3ADB" w:rsidRDefault="001A3ADB">
      <w:pPr>
        <w:pStyle w:val="DEQTITLE"/>
        <w:rPr>
          <w:rFonts w:ascii="Times New Roman" w:hAnsi="Times New Roman"/>
          <w:b w:val="0"/>
          <w:sz w:val="22"/>
          <w:szCs w:val="22"/>
        </w:rPr>
      </w:pPr>
      <w:r w:rsidRPr="001A3ADB">
        <w:rPr>
          <w:rFonts w:ascii="Times New Roman" w:hAnsi="Times New Roman"/>
          <w:b w:val="0"/>
          <w:sz w:val="22"/>
          <w:szCs w:val="22"/>
        </w:rPr>
        <w:t>Jennifer Wigal</w:t>
      </w:r>
    </w:p>
    <w:p w:rsidR="00B25942" w:rsidRPr="001A3ADB" w:rsidRDefault="00B25942">
      <w:pPr>
        <w:pStyle w:val="DEQTITLE"/>
        <w:rPr>
          <w:rFonts w:ascii="Times New Roman" w:hAnsi="Times New Roman"/>
          <w:b w:val="0"/>
          <w:sz w:val="22"/>
          <w:szCs w:val="22"/>
        </w:rPr>
        <w:sectPr w:rsidR="00B25942" w:rsidRPr="001A3ADB">
          <w:headerReference w:type="default" r:id="rId12"/>
          <w:footerReference w:type="default" r:id="rId13"/>
          <w:pgSz w:w="12240" w:h="15840"/>
          <w:pgMar w:top="1260" w:right="720" w:bottom="720" w:left="720" w:header="720" w:footer="720" w:gutter="0"/>
          <w:cols w:space="360"/>
        </w:sectPr>
      </w:pPr>
    </w:p>
    <w:p w:rsidR="00B25942" w:rsidRDefault="001A3ADB">
      <w:pPr>
        <w:pStyle w:val="DEQTEXTforFACTSHEE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Manager, Standards &amp;Assessment Section</w:t>
      </w:r>
    </w:p>
    <w:p w:rsidR="001A3ADB" w:rsidRDefault="001A3ADB">
      <w:pPr>
        <w:pStyle w:val="DEQTEXTforFACTSHEE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503-229-5323</w:t>
      </w:r>
    </w:p>
    <w:p w:rsidR="001A3ADB" w:rsidRDefault="00487FDC">
      <w:pPr>
        <w:pStyle w:val="DEQTEXTforFACTSHEET"/>
        <w:rPr>
          <w:rFonts w:ascii="Times New Roman" w:hAnsi="Times New Roman"/>
          <w:sz w:val="22"/>
          <w:szCs w:val="22"/>
        </w:rPr>
      </w:pPr>
      <w:hyperlink r:id="rId14" w:history="1">
        <w:r w:rsidR="001A3ADB" w:rsidRPr="00511615">
          <w:rPr>
            <w:rStyle w:val="Hyperlink"/>
            <w:rFonts w:ascii="Times New Roman" w:hAnsi="Times New Roman"/>
            <w:sz w:val="22"/>
            <w:szCs w:val="22"/>
          </w:rPr>
          <w:t>wigal.jennifer@deq.state.or.us</w:t>
        </w:r>
      </w:hyperlink>
    </w:p>
    <w:p w:rsidR="001A3ADB" w:rsidRPr="001A3ADB" w:rsidRDefault="001A3ADB">
      <w:pPr>
        <w:pStyle w:val="DEQTEXTforFACTSHEET"/>
        <w:rPr>
          <w:rFonts w:ascii="Times New Roman" w:hAnsi="Times New Roman"/>
          <w:sz w:val="22"/>
          <w:szCs w:val="22"/>
        </w:rPr>
      </w:pPr>
    </w:p>
    <w:p w:rsidR="007331A7" w:rsidRPr="001A3ADB" w:rsidRDefault="007331A7">
      <w:pPr>
        <w:pStyle w:val="DEQTEXTforFACTSHEET"/>
        <w:rPr>
          <w:rFonts w:ascii="Times New Roman" w:hAnsi="Times New Roman"/>
          <w:sz w:val="22"/>
          <w:szCs w:val="22"/>
        </w:rPr>
      </w:pPr>
    </w:p>
    <w:p w:rsidR="007331A7" w:rsidRDefault="007331A7">
      <w:pPr>
        <w:pStyle w:val="DEQTEXTforFACTSHEET"/>
      </w:pPr>
    </w:p>
    <w:p w:rsidR="007331A7" w:rsidRDefault="007331A7">
      <w:pPr>
        <w:pStyle w:val="DEQTEXTforFACTSHEET"/>
      </w:pPr>
    </w:p>
    <w:p w:rsidR="007331A7" w:rsidRDefault="007331A7" w:rsidP="007331A7">
      <w:pPr>
        <w:rPr>
          <w:rFonts w:ascii="Arial" w:hAnsi="Arial" w:cs="Arial"/>
          <w:b/>
          <w:sz w:val="20"/>
        </w:rPr>
        <w:sectPr w:rsidR="007331A7" w:rsidSect="00B25942">
          <w:headerReference w:type="default" r:id="rId15"/>
          <w:type w:val="continuous"/>
          <w:pgSz w:w="12240" w:h="15840"/>
          <w:pgMar w:top="1080" w:right="720" w:bottom="720" w:left="720" w:header="720" w:footer="720" w:gutter="0"/>
          <w:cols w:num="3" w:space="360" w:equalWidth="0">
            <w:col w:w="3960" w:space="360"/>
            <w:col w:w="3960" w:space="216"/>
            <w:col w:w="2304"/>
          </w:cols>
        </w:sectPr>
      </w:pPr>
    </w:p>
    <w:p w:rsidR="007331A7" w:rsidRDefault="007331A7" w:rsidP="007331A7">
      <w:pPr>
        <w:rPr>
          <w:rFonts w:ascii="Arial" w:hAnsi="Arial" w:cs="Arial"/>
          <w:b/>
          <w:sz w:val="20"/>
        </w:rPr>
      </w:pPr>
    </w:p>
    <w:p w:rsidR="007331A7" w:rsidRDefault="007331A7" w:rsidP="007331A7">
      <w:pPr>
        <w:rPr>
          <w:rFonts w:ascii="Arial" w:hAnsi="Arial" w:cs="Arial"/>
          <w:b/>
          <w:sz w:val="20"/>
        </w:rPr>
      </w:pPr>
    </w:p>
    <w:p w:rsidR="007331A7" w:rsidRDefault="007331A7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DB5DBA" w:rsidRDefault="00DB5DBA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AD0473" w:rsidRDefault="00AD0473" w:rsidP="007331A7">
      <w:pPr>
        <w:rPr>
          <w:rFonts w:ascii="Arial" w:hAnsi="Arial" w:cs="Arial"/>
          <w:b/>
          <w:sz w:val="20"/>
        </w:rPr>
      </w:pPr>
    </w:p>
    <w:p w:rsidR="007331A7" w:rsidRPr="00017EBA" w:rsidRDefault="007331A7" w:rsidP="007331A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Alternative f</w:t>
      </w:r>
      <w:r w:rsidRPr="00017EBA">
        <w:rPr>
          <w:rFonts w:ascii="Arial" w:hAnsi="Arial" w:cs="Arial"/>
          <w:b/>
          <w:sz w:val="20"/>
        </w:rPr>
        <w:t>ormats</w:t>
      </w:r>
    </w:p>
    <w:p w:rsidR="007331A7" w:rsidRDefault="007331A7">
      <w:pPr>
        <w:pStyle w:val="DEQTEXTforFACTSHEET"/>
        <w:sectPr w:rsidR="007331A7" w:rsidSect="007331A7">
          <w:type w:val="continuous"/>
          <w:pgSz w:w="12240" w:h="15840"/>
          <w:pgMar w:top="1080" w:right="720" w:bottom="720" w:left="720" w:header="720" w:footer="720" w:gutter="0"/>
          <w:cols w:space="360"/>
        </w:sectPr>
      </w:pPr>
      <w:r w:rsidRPr="00C05F59">
        <w:t xml:space="preserve">Alternative formats of this document can be made available. Contact </w:t>
      </w:r>
      <w:r>
        <w:t>DEQ’s Office of Communications and</w:t>
      </w:r>
      <w:r w:rsidRPr="00C05F59">
        <w:t xml:space="preserve"> Outreach</w:t>
      </w:r>
      <w:r>
        <w:t>, Portland for more information at 503-</w:t>
      </w:r>
      <w:r w:rsidRPr="00C05F59">
        <w:t>229-5696</w:t>
      </w:r>
      <w:r>
        <w:t>, or call toll-free in Oregon at 800-452-4011, ext. 5696</w:t>
      </w:r>
      <w:r w:rsidRPr="00C05F59">
        <w:t>.</w:t>
      </w:r>
      <w:r>
        <w:t xml:space="preserve"> Hearing-impaired persons may call 711.</w:t>
      </w:r>
    </w:p>
    <w:p w:rsidR="007331A7" w:rsidRDefault="007331A7">
      <w:pPr>
        <w:pStyle w:val="DEQTEXTforFACTSHEET"/>
      </w:pPr>
    </w:p>
    <w:sectPr w:rsidR="007331A7" w:rsidSect="00B25942">
      <w:type w:val="continuous"/>
      <w:pgSz w:w="12240" w:h="15840"/>
      <w:pgMar w:top="1080" w:right="720" w:bottom="72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32" w:rsidRDefault="001B6432">
      <w:r>
        <w:separator/>
      </w:r>
    </w:p>
  </w:endnote>
  <w:endnote w:type="continuationSeparator" w:id="0">
    <w:p w:rsidR="001B6432" w:rsidRDefault="001B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18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6432" w:rsidRDefault="001B6432">
            <w:pPr>
              <w:pStyle w:val="Footer"/>
              <w:jc w:val="center"/>
            </w:pPr>
            <w:r>
              <w:t xml:space="preserve">Page </w:t>
            </w:r>
            <w:r w:rsidR="00487FD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7FDC">
              <w:rPr>
                <w:b/>
                <w:szCs w:val="24"/>
              </w:rPr>
              <w:fldChar w:fldCharType="separate"/>
            </w:r>
            <w:r w:rsidR="007B0D34">
              <w:rPr>
                <w:b/>
                <w:noProof/>
              </w:rPr>
              <w:t>4</w:t>
            </w:r>
            <w:r w:rsidR="00487FDC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487FD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7FDC">
              <w:rPr>
                <w:b/>
                <w:szCs w:val="24"/>
              </w:rPr>
              <w:fldChar w:fldCharType="separate"/>
            </w:r>
            <w:r w:rsidR="007B0D34">
              <w:rPr>
                <w:b/>
                <w:noProof/>
              </w:rPr>
              <w:t>4</w:t>
            </w:r>
            <w:r w:rsidR="00487FDC">
              <w:rPr>
                <w:b/>
                <w:szCs w:val="24"/>
              </w:rPr>
              <w:fldChar w:fldCharType="end"/>
            </w:r>
          </w:p>
        </w:sdtContent>
      </w:sdt>
    </w:sdtContent>
  </w:sdt>
  <w:p w:rsidR="001B6432" w:rsidRDefault="001B6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32" w:rsidRDefault="001B6432">
      <w:r>
        <w:separator/>
      </w:r>
    </w:p>
  </w:footnote>
  <w:footnote w:type="continuationSeparator" w:id="0">
    <w:p w:rsidR="001B6432" w:rsidRDefault="001B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32" w:rsidRDefault="001B6432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5015" cy="1720850"/>
          <wp:effectExtent l="19050" t="0" r="6985" b="0"/>
          <wp:docPr id="1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72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6432" w:rsidRDefault="001B6432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1B6432" w:rsidRDefault="001B6432">
    <w:pPr>
      <w:pStyle w:val="DEQDIVISIONNAMEUNDERLOGO"/>
      <w:framePr w:w="1670" w:h="14544" w:wrap="around" w:x="10023" w:y="721" w:anchorLock="1"/>
      <w:ind w:right="-150"/>
    </w:pPr>
    <w:r>
      <w:t>Water Quality Division</w:t>
    </w:r>
  </w:p>
  <w:p w:rsidR="001B6432" w:rsidRDefault="001B6432">
    <w:pPr>
      <w:pStyle w:val="DEQDIVISIONNAMEUNDERLOGO"/>
      <w:framePr w:w="1670" w:h="14544" w:wrap="around" w:x="10023" w:y="721" w:anchorLock="1"/>
      <w:ind w:right="-150"/>
    </w:pPr>
    <w:r>
      <w:t>Standards and Assessment Section</w:t>
    </w:r>
  </w:p>
  <w:p w:rsidR="001B6432" w:rsidRDefault="001B6432">
    <w:pPr>
      <w:pStyle w:val="DEQADDRESSUNDERLOGO"/>
      <w:framePr w:w="1670" w:h="14544" w:wrap="around" w:x="10023" w:y="721" w:anchorLock="1"/>
      <w:ind w:right="-150"/>
    </w:pPr>
    <w:r>
      <w:t>811 SW 6</w:t>
    </w:r>
    <w:r>
      <w:rPr>
        <w:vertAlign w:val="superscript"/>
      </w:rPr>
      <w:t>th</w:t>
    </w:r>
    <w:r>
      <w:t xml:space="preserve"> Avenue</w:t>
    </w:r>
  </w:p>
  <w:p w:rsidR="001B6432" w:rsidRDefault="001B6432">
    <w:pPr>
      <w:pStyle w:val="DEQADDRESSUNDERLOGO"/>
      <w:framePr w:w="1670" w:h="14544" w:wrap="around" w:x="10023" w:y="721" w:anchorLock="1"/>
      <w:ind w:right="-150"/>
    </w:pPr>
    <w:r>
      <w:t>Portland, OR 97204</w:t>
    </w:r>
  </w:p>
  <w:p w:rsidR="001B6432" w:rsidRDefault="001B6432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229-5384</w:t>
    </w:r>
  </w:p>
  <w:p w:rsidR="001B6432" w:rsidRDefault="001B6432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1B6432" w:rsidRDefault="001B6432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229-6037</w:t>
    </w:r>
  </w:p>
  <w:p w:rsidR="001B6432" w:rsidRDefault="001B6432">
    <w:pPr>
      <w:pStyle w:val="DEQADDRESSUNDERLOGO"/>
      <w:framePr w:w="1670" w:h="14544" w:wrap="around" w:x="10023" w:y="721" w:anchorLock="1"/>
      <w:ind w:right="-150"/>
    </w:pPr>
    <w:r>
      <w:t>Contact: Andrea Matzke</w:t>
    </w:r>
  </w:p>
  <w:p w:rsidR="001B6432" w:rsidRDefault="001B6432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1B6432">
    <w:pPr>
      <w:pStyle w:val="DEQADDRESSUNDERLOGO"/>
      <w:framePr w:w="1670" w:h="14544" w:wrap="around" w:x="10023" w:y="721" w:anchorLock="1"/>
      <w:ind w:right="-150"/>
    </w:pPr>
  </w:p>
  <w:p w:rsidR="001B6432" w:rsidRDefault="00460762">
    <w:pPr>
      <w:pStyle w:val="DEQADDRESSUNDERLOGO"/>
      <w:framePr w:w="1670" w:h="14544" w:wrap="around" w:x="10023" w:y="721" w:anchorLock="1"/>
      <w:ind w:right="-150"/>
    </w:pPr>
    <w:r>
      <w:t>Last Updated: 06/04</w:t>
    </w:r>
    <w:r w:rsidR="001B6432">
      <w:t>/13</w:t>
    </w:r>
  </w:p>
  <w:p w:rsidR="001B6432" w:rsidRDefault="001B6432">
    <w:pPr>
      <w:pStyle w:val="DEQADDRESSUNDERLOGO"/>
      <w:framePr w:w="1670" w:h="14544" w:wrap="around" w:x="10023" w:y="721" w:anchorLock="1"/>
      <w:ind w:right="-150"/>
    </w:pPr>
    <w:r>
      <w:t>By: Andrea Matzke</w:t>
    </w:r>
  </w:p>
  <w:p w:rsidR="001B6432" w:rsidRDefault="001B64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32" w:rsidRDefault="001B6432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1B6432" w:rsidRDefault="001B6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04B2"/>
    <w:multiLevelType w:val="hybridMultilevel"/>
    <w:tmpl w:val="812CE6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1829FD"/>
    <w:multiLevelType w:val="hybridMultilevel"/>
    <w:tmpl w:val="FAAE946C"/>
    <w:lvl w:ilvl="0" w:tplc="4CB2AA2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1B6432"/>
    <w:rsid w:val="00030531"/>
    <w:rsid w:val="00086BD3"/>
    <w:rsid w:val="000873A4"/>
    <w:rsid w:val="000A7EDC"/>
    <w:rsid w:val="00111307"/>
    <w:rsid w:val="001A155F"/>
    <w:rsid w:val="001A3ADB"/>
    <w:rsid w:val="001B60E3"/>
    <w:rsid w:val="001B6432"/>
    <w:rsid w:val="001C7117"/>
    <w:rsid w:val="002065EB"/>
    <w:rsid w:val="00300399"/>
    <w:rsid w:val="003562DD"/>
    <w:rsid w:val="00460762"/>
    <w:rsid w:val="00487FDC"/>
    <w:rsid w:val="004B5EE8"/>
    <w:rsid w:val="004C3506"/>
    <w:rsid w:val="005273E0"/>
    <w:rsid w:val="0057624D"/>
    <w:rsid w:val="00600680"/>
    <w:rsid w:val="00684FEB"/>
    <w:rsid w:val="007331A7"/>
    <w:rsid w:val="007530A3"/>
    <w:rsid w:val="0079492B"/>
    <w:rsid w:val="007A46A3"/>
    <w:rsid w:val="007B0D34"/>
    <w:rsid w:val="007E4F6F"/>
    <w:rsid w:val="007E6E1C"/>
    <w:rsid w:val="007F4916"/>
    <w:rsid w:val="00867B27"/>
    <w:rsid w:val="008E233F"/>
    <w:rsid w:val="00933BB4"/>
    <w:rsid w:val="00974244"/>
    <w:rsid w:val="009A34E6"/>
    <w:rsid w:val="009B0C6A"/>
    <w:rsid w:val="009E4851"/>
    <w:rsid w:val="00A0799D"/>
    <w:rsid w:val="00A21AD0"/>
    <w:rsid w:val="00AD0473"/>
    <w:rsid w:val="00B25942"/>
    <w:rsid w:val="00C07BAC"/>
    <w:rsid w:val="00C46A46"/>
    <w:rsid w:val="00C86132"/>
    <w:rsid w:val="00C91823"/>
    <w:rsid w:val="00C942E2"/>
    <w:rsid w:val="00CB3391"/>
    <w:rsid w:val="00CD1DB4"/>
    <w:rsid w:val="00CE4942"/>
    <w:rsid w:val="00D04ECC"/>
    <w:rsid w:val="00D63C2A"/>
    <w:rsid w:val="00D826B6"/>
    <w:rsid w:val="00D83E3A"/>
    <w:rsid w:val="00DB5DBA"/>
    <w:rsid w:val="00DD0B2F"/>
    <w:rsid w:val="00E314F1"/>
    <w:rsid w:val="00E32716"/>
    <w:rsid w:val="00E4602B"/>
    <w:rsid w:val="00E74FD4"/>
    <w:rsid w:val="00E8568F"/>
    <w:rsid w:val="00F10BFF"/>
    <w:rsid w:val="00F54F97"/>
    <w:rsid w:val="00F749D9"/>
    <w:rsid w:val="00F82AF1"/>
    <w:rsid w:val="00FA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4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5942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B25942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B25942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B25942"/>
    <w:rPr>
      <w:sz w:val="20"/>
    </w:rPr>
  </w:style>
  <w:style w:type="paragraph" w:customStyle="1" w:styleId="DEQCAPTIONS">
    <w:name w:val="(DEQ) CAPTIONS"/>
    <w:basedOn w:val="DEQTEXTforFACTSHEET"/>
    <w:rsid w:val="00B25942"/>
    <w:rPr>
      <w:i/>
      <w:sz w:val="18"/>
    </w:rPr>
  </w:style>
  <w:style w:type="paragraph" w:customStyle="1" w:styleId="DEQSPACEUNDERPIC">
    <w:name w:val="(DEQ)SPACE UNDER PIC"/>
    <w:basedOn w:val="DEQTEXTforFACTSHEET"/>
    <w:rsid w:val="00B25942"/>
    <w:rPr>
      <w:i/>
      <w:sz w:val="6"/>
    </w:rPr>
  </w:style>
  <w:style w:type="paragraph" w:customStyle="1" w:styleId="DEQADDRESSUNDERLOGO">
    <w:name w:val="(DEQ)ADDRESS UNDER LOGO"/>
    <w:basedOn w:val="Normal"/>
    <w:rsid w:val="00B25942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25942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semiHidden/>
    <w:rsid w:val="00B25942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B25942"/>
    <w:rPr>
      <w:sz w:val="16"/>
    </w:rPr>
  </w:style>
  <w:style w:type="paragraph" w:customStyle="1" w:styleId="DEQADDITIONALCONTACTTEXT">
    <w:name w:val="(DEQ)ADDITIONAL CONTACT TEXT"/>
    <w:basedOn w:val="DEQTEXTforFACTSHEET"/>
    <w:rsid w:val="00B25942"/>
    <w:rPr>
      <w:i/>
    </w:rPr>
  </w:style>
  <w:style w:type="paragraph" w:styleId="Footer">
    <w:name w:val="footer"/>
    <w:basedOn w:val="Normal"/>
    <w:link w:val="FooterChar"/>
    <w:uiPriority w:val="99"/>
    <w:rsid w:val="00B2594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B25942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B25942"/>
    <w:rPr>
      <w:rFonts w:ascii="Times New Roman" w:hAnsi="Times New Roman"/>
      <w:i/>
    </w:rPr>
  </w:style>
  <w:style w:type="paragraph" w:customStyle="1" w:styleId="SMALLHEADLINESDEQ">
    <w:name w:val="SMALL HEADLINES (DEQ)"/>
    <w:basedOn w:val="Normal"/>
    <w:rsid w:val="00B25942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B25942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B25942"/>
    <w:rPr>
      <w:i/>
      <w:sz w:val="6"/>
    </w:rPr>
  </w:style>
  <w:style w:type="paragraph" w:customStyle="1" w:styleId="CAPTIONDEQ">
    <w:name w:val="CAPTION(DEQ)"/>
    <w:basedOn w:val="FSTEXTDEQ"/>
    <w:rsid w:val="00B25942"/>
    <w:rPr>
      <w:i/>
      <w:sz w:val="18"/>
    </w:rPr>
  </w:style>
  <w:style w:type="paragraph" w:styleId="DocumentMap">
    <w:name w:val="Document Map"/>
    <w:basedOn w:val="Normal"/>
    <w:semiHidden/>
    <w:rsid w:val="00B259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4942"/>
    <w:rPr>
      <w:color w:val="FFFFFF"/>
      <w:sz w:val="48"/>
    </w:rPr>
  </w:style>
  <w:style w:type="table" w:styleId="TableGrid">
    <w:name w:val="Table Grid"/>
    <w:basedOn w:val="TableNormal"/>
    <w:uiPriority w:val="59"/>
    <w:rsid w:val="001A1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974244"/>
    <w:tblPr>
      <w:tblStyleRowBandSize w:val="1"/>
      <w:tblStyleColBandSize w:val="1"/>
      <w:tblInd w:w="0" w:type="dxa"/>
      <w:tblBorders>
        <w:top w:val="single" w:sz="8" w:space="0" w:color="8FB08C" w:themeColor="accent5"/>
        <w:left w:val="single" w:sz="8" w:space="0" w:color="8FB08C" w:themeColor="accent5"/>
        <w:bottom w:val="single" w:sz="8" w:space="0" w:color="8FB08C" w:themeColor="accent5"/>
        <w:right w:val="single" w:sz="8" w:space="0" w:color="8FB08C" w:themeColor="accent5"/>
        <w:insideH w:val="single" w:sz="8" w:space="0" w:color="8FB08C" w:themeColor="accent5"/>
        <w:insideV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1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H w:val="nil"/>
          <w:insideV w:val="single" w:sz="8" w:space="0" w:color="8FB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</w:tcPr>
    </w:tblStylePr>
    <w:tblStylePr w:type="band1Vert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</w:tcBorders>
        <w:shd w:val="clear" w:color="auto" w:fill="E3EBE2" w:themeFill="accent5" w:themeFillTint="3F"/>
      </w:tcPr>
    </w:tblStylePr>
    <w:tblStylePr w:type="band1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  <w:shd w:val="clear" w:color="auto" w:fill="E3EBE2" w:themeFill="accent5" w:themeFillTint="3F"/>
      </w:tcPr>
    </w:tblStylePr>
    <w:tblStylePr w:type="band2Horz">
      <w:tblPr/>
      <w:tcPr>
        <w:tcBorders>
          <w:top w:val="single" w:sz="8" w:space="0" w:color="8FB08C" w:themeColor="accent5"/>
          <w:left w:val="single" w:sz="8" w:space="0" w:color="8FB08C" w:themeColor="accent5"/>
          <w:bottom w:val="single" w:sz="8" w:space="0" w:color="8FB08C" w:themeColor="accent5"/>
          <w:right w:val="single" w:sz="8" w:space="0" w:color="8FB08C" w:themeColor="accent5"/>
          <w:insideV w:val="single" w:sz="8" w:space="0" w:color="8FB08C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327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F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F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F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D047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zke.andrea@deq.state.or.u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deq.state.or.us/wq/standards/toxic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igal.jennifer@deq.state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D7CB7740-03D7-4E55-97B9-79CD4B66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085FF-7349-4308-8906-04F222213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2A537-8A7F-4FE0-9600-BDA135E363B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and Clarifications to Toxics Water Quality Standards Rulemaking</dc:title>
  <dc:subject>Charter</dc:subject>
  <dc:creator/>
  <cp:keywords>charter, toxics, rulemaking, Oregon, DEQ</cp:keywords>
  <cp:lastModifiedBy/>
  <cp:revision>1</cp:revision>
  <dcterms:created xsi:type="dcterms:W3CDTF">2013-06-26T17:33:00Z</dcterms:created>
  <dcterms:modified xsi:type="dcterms:W3CDTF">2013-06-26T17:33:00Z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