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676" w:rsidRDefault="00C75676" w:rsidP="00C7567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Corrections and Clarifications to Toxics Regulations Rulemaking</w:t>
      </w:r>
    </w:p>
    <w:p w:rsidR="00C75676" w:rsidRPr="00C75676" w:rsidRDefault="00C75676" w:rsidP="00C75676">
      <w:pPr>
        <w:jc w:val="center"/>
      </w:pPr>
      <w:r>
        <w:t>May 16, 2013</w:t>
      </w:r>
    </w:p>
    <w:p w:rsidR="00C75676" w:rsidRDefault="00C75676">
      <w:pPr>
        <w:rPr>
          <w:b/>
          <w:sz w:val="36"/>
          <w:szCs w:val="36"/>
        </w:rPr>
      </w:pPr>
    </w:p>
    <w:p w:rsidR="00F90DBF" w:rsidRPr="00C75676" w:rsidRDefault="00F90DBF">
      <w:pPr>
        <w:rPr>
          <w:b/>
          <w:sz w:val="36"/>
          <w:szCs w:val="36"/>
        </w:rPr>
      </w:pPr>
      <w:r w:rsidRPr="00C75676">
        <w:rPr>
          <w:b/>
          <w:sz w:val="36"/>
          <w:szCs w:val="36"/>
        </w:rPr>
        <w:t>Agenda</w:t>
      </w:r>
    </w:p>
    <w:p w:rsidR="005B711E" w:rsidRPr="00C75676" w:rsidRDefault="005B711E" w:rsidP="00F90DBF">
      <w:pPr>
        <w:pStyle w:val="ListParagraph"/>
        <w:numPr>
          <w:ilvl w:val="0"/>
          <w:numId w:val="2"/>
        </w:numPr>
        <w:rPr>
          <w:b/>
        </w:rPr>
      </w:pPr>
      <w:r w:rsidRPr="00C75676">
        <w:rPr>
          <w:b/>
        </w:rPr>
        <w:t>Logistics, rulemaking process</w:t>
      </w:r>
    </w:p>
    <w:p w:rsidR="0065031F" w:rsidRDefault="005B711E" w:rsidP="0065031F">
      <w:pPr>
        <w:pStyle w:val="ListParagraph"/>
        <w:numPr>
          <w:ilvl w:val="1"/>
          <w:numId w:val="2"/>
        </w:numPr>
      </w:pPr>
      <w:r>
        <w:t>Following new rulemaking process</w:t>
      </w:r>
    </w:p>
    <w:p w:rsidR="0065031F" w:rsidRDefault="0065031F" w:rsidP="0065031F">
      <w:pPr>
        <w:pStyle w:val="ListParagraph"/>
        <w:numPr>
          <w:ilvl w:val="1"/>
          <w:numId w:val="2"/>
        </w:numPr>
      </w:pPr>
      <w:r>
        <w:t xml:space="preserve">If you work on any aspect of the rulemaking use the following Q-time code:  </w:t>
      </w:r>
      <w:r w:rsidRPr="0065031F">
        <w:rPr>
          <w:b/>
        </w:rPr>
        <w:t>42986</w:t>
      </w:r>
    </w:p>
    <w:p w:rsidR="005B711E" w:rsidRDefault="005B711E" w:rsidP="005B711E">
      <w:pPr>
        <w:pStyle w:val="ListParagraph"/>
        <w:numPr>
          <w:ilvl w:val="1"/>
          <w:numId w:val="2"/>
        </w:numPr>
      </w:pPr>
      <w:r>
        <w:t xml:space="preserve">All documents are in the </w:t>
      </w:r>
      <w:proofErr w:type="spellStart"/>
      <w:r>
        <w:t>AquTox</w:t>
      </w:r>
      <w:proofErr w:type="spellEnd"/>
      <w:r>
        <w:t xml:space="preserve"> </w:t>
      </w:r>
      <w:proofErr w:type="spellStart"/>
      <w:r>
        <w:t>Sharepoint</w:t>
      </w:r>
      <w:proofErr w:type="spellEnd"/>
      <w:r>
        <w:t xml:space="preserve"> folder</w:t>
      </w:r>
    </w:p>
    <w:p w:rsidR="00A81A3F" w:rsidRDefault="00A81A3F" w:rsidP="00A81A3F">
      <w:pPr>
        <w:pStyle w:val="ListParagraph"/>
        <w:ind w:left="1480"/>
      </w:pPr>
      <w:hyperlink r:id="rId5" w:history="1">
        <w:r w:rsidRPr="000E238C">
          <w:rPr>
            <w:rStyle w:val="Hyperlink"/>
          </w:rPr>
          <w:t>http://deqsps/programs/rulemaking/wq/alt/docs/Forms/byCategory.aspx</w:t>
        </w:r>
      </w:hyperlink>
    </w:p>
    <w:p w:rsidR="00C75676" w:rsidRDefault="00C75676" w:rsidP="0065031F">
      <w:pPr>
        <w:pStyle w:val="ListParagraph"/>
        <w:ind w:left="1480"/>
      </w:pPr>
    </w:p>
    <w:p w:rsidR="0065031F" w:rsidRDefault="00A81A3F" w:rsidP="0065031F">
      <w:pPr>
        <w:pStyle w:val="ListParagraph"/>
        <w:ind w:left="1480"/>
      </w:pPr>
      <w:r>
        <w:t xml:space="preserve">This is where </w:t>
      </w:r>
      <w:r w:rsidRPr="00A81A3F">
        <w:rPr>
          <w:u w:val="single"/>
        </w:rPr>
        <w:t>all</w:t>
      </w:r>
      <w:r>
        <w:t xml:space="preserve"> the working documents are kept until they become final.  Then they go to the official rulemaking folders.  Need to maintain file naming conventions</w:t>
      </w:r>
      <w:r w:rsidR="0065031F">
        <w:t>.</w:t>
      </w:r>
    </w:p>
    <w:p w:rsidR="0065031F" w:rsidRDefault="0065031F" w:rsidP="00A81A3F">
      <w:pPr>
        <w:pStyle w:val="ListParagraph"/>
        <w:ind w:left="1480"/>
      </w:pPr>
    </w:p>
    <w:p w:rsidR="00A81A3F" w:rsidRDefault="00A81A3F" w:rsidP="00A81A3F">
      <w:pPr>
        <w:pStyle w:val="ListParagraph"/>
        <w:ind w:left="1480"/>
      </w:pPr>
    </w:p>
    <w:p w:rsidR="00A81A3F" w:rsidRDefault="00A81A3F" w:rsidP="00A81A3F">
      <w:pPr>
        <w:pStyle w:val="ListParagraph"/>
        <w:ind w:left="760"/>
      </w:pPr>
      <w:r>
        <w:rPr>
          <w:noProof/>
          <w:lang w:eastAsia="zh-TW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259.6pt;margin-top:382.45pt;width:171.75pt;height:51.05pt;z-index:251661312;mso-wrap-distance-top:7.2pt;mso-wrap-distance-bottom:7.2pt;mso-position-horizontal-relative:margin;mso-position-vertical-relative:margin" o:allowincell="f" filled="f" fillcolor="#cf7b79 [2421]" strokecolor="#c00000" strokeweight=".5pt">
            <v:fill opacity="19661f"/>
            <v:textbox style="mso-next-textbox:#_x0000_s1029" inset="10.8pt,7.2pt,10.8pt">
              <w:txbxContent>
                <w:p w:rsidR="00A81A3F" w:rsidRPr="00A81A3F" w:rsidRDefault="00A81A3F">
                  <w:pPr>
                    <w:spacing w:after="0" w:line="240" w:lineRule="auto"/>
                    <w:rPr>
                      <w:rFonts w:asciiTheme="majorHAnsi" w:eastAsiaTheme="majorEastAsia" w:hAnsiTheme="majorHAnsi" w:cstheme="majorBidi"/>
                      <w:i/>
                      <w:iCs/>
                      <w:color w:val="C00000"/>
                      <w:sz w:val="20"/>
                      <w:szCs w:val="20"/>
                    </w:rPr>
                  </w:pPr>
                  <w:r w:rsidRPr="00A81A3F">
                    <w:rPr>
                      <w:rFonts w:asciiTheme="majorHAnsi" w:eastAsiaTheme="majorEastAsia" w:hAnsiTheme="majorHAnsi" w:cstheme="majorBidi"/>
                      <w:i/>
                      <w:iCs/>
                      <w:color w:val="C00000"/>
                      <w:sz w:val="20"/>
                      <w:szCs w:val="20"/>
                    </w:rPr>
                    <w:t>This where the rule schedule and resources and considerations docs are found</w:t>
                  </w:r>
                </w:p>
              </w:txbxContent>
            </v:textbox>
            <w10:wrap anchorx="margin" anchory="margin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6.95pt;margin-top:99.75pt;width:72.65pt;height:46.25pt;flip:x;z-index:251659264" o:connectortype="straight" strokecolor="#c00000">
            <v:stroke endarrow="block"/>
          </v:shape>
        </w:pict>
      </w:r>
      <w:r>
        <w:rPr>
          <w:noProof/>
        </w:rPr>
        <w:pict>
          <v:oval id="_x0000_s1026" style="position:absolute;left:0;text-align:left;margin-left:149.3pt;margin-top:146pt;width:40.95pt;height:17.85pt;z-index:251658240" filled="f" strokecolor="#c00000"/>
        </w:pict>
      </w:r>
      <w:r w:rsidRPr="00A81A3F">
        <w:drawing>
          <wp:inline distT="0" distB="0" distL="0" distR="0">
            <wp:extent cx="5943600" cy="371324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1F" w:rsidRDefault="0065031F" w:rsidP="0065031F">
      <w:pPr>
        <w:pStyle w:val="ListParagraph"/>
        <w:ind w:left="760"/>
      </w:pPr>
    </w:p>
    <w:p w:rsidR="00C75676" w:rsidRDefault="00C75676" w:rsidP="0065031F">
      <w:pPr>
        <w:pStyle w:val="ListParagraph"/>
        <w:ind w:left="760"/>
      </w:pPr>
    </w:p>
    <w:p w:rsidR="00C71041" w:rsidRDefault="00F90DBF" w:rsidP="00C71041">
      <w:pPr>
        <w:pStyle w:val="ListParagraph"/>
        <w:numPr>
          <w:ilvl w:val="0"/>
          <w:numId w:val="2"/>
        </w:numPr>
      </w:pPr>
      <w:r w:rsidRPr="00C75676">
        <w:rPr>
          <w:b/>
        </w:rPr>
        <w:lastRenderedPageBreak/>
        <w:t>Rulemaking Schedule</w:t>
      </w:r>
      <w:r w:rsidR="00087577">
        <w:t xml:space="preserve"> (see handout)</w:t>
      </w:r>
    </w:p>
    <w:p w:rsidR="00F90DBF" w:rsidRDefault="00F90DBF" w:rsidP="00F90DBF">
      <w:pPr>
        <w:pStyle w:val="ListParagraph"/>
        <w:numPr>
          <w:ilvl w:val="1"/>
          <w:numId w:val="2"/>
        </w:numPr>
      </w:pPr>
      <w:r>
        <w:t>EQC Adoption Dec. 11, 2013</w:t>
      </w:r>
    </w:p>
    <w:p w:rsidR="00F90DBF" w:rsidRDefault="00F90DBF" w:rsidP="00F90DBF">
      <w:pPr>
        <w:pStyle w:val="ListParagraph"/>
        <w:numPr>
          <w:ilvl w:val="1"/>
          <w:numId w:val="2"/>
        </w:numPr>
      </w:pPr>
      <w:r>
        <w:t>Stakeholder Meetings (2)</w:t>
      </w:r>
    </w:p>
    <w:p w:rsidR="00C71041" w:rsidRDefault="00C71041" w:rsidP="00F90DBF">
      <w:pPr>
        <w:pStyle w:val="ListParagraph"/>
        <w:numPr>
          <w:ilvl w:val="2"/>
          <w:numId w:val="2"/>
        </w:numPr>
      </w:pPr>
      <w:r>
        <w:t>Members confirmed</w:t>
      </w:r>
      <w:r w:rsidR="00087577">
        <w:t xml:space="preserve"> (see handout)</w:t>
      </w:r>
    </w:p>
    <w:p w:rsidR="00F90DBF" w:rsidRDefault="00F90DBF" w:rsidP="00F90DBF">
      <w:pPr>
        <w:pStyle w:val="ListParagraph"/>
        <w:numPr>
          <w:ilvl w:val="2"/>
          <w:numId w:val="2"/>
        </w:numPr>
      </w:pPr>
      <w:r>
        <w:t>Week of June 24 (Info and Summary of Proposed Changes)</w:t>
      </w:r>
    </w:p>
    <w:p w:rsidR="00F90DBF" w:rsidRDefault="00F90DBF" w:rsidP="00F90DBF">
      <w:pPr>
        <w:pStyle w:val="ListParagraph"/>
        <w:numPr>
          <w:ilvl w:val="2"/>
          <w:numId w:val="2"/>
        </w:numPr>
      </w:pPr>
      <w:r>
        <w:t>Week of July 11(Fiscal Discussion) Dec EQC Adoption</w:t>
      </w:r>
    </w:p>
    <w:p w:rsidR="00C75676" w:rsidRDefault="00C75676" w:rsidP="00F90DBF">
      <w:pPr>
        <w:pStyle w:val="ListParagraph"/>
        <w:numPr>
          <w:ilvl w:val="2"/>
          <w:numId w:val="2"/>
        </w:numPr>
      </w:pPr>
      <w:r>
        <w:t>Develop committee charge:  expectations, scope of rulemaking</w:t>
      </w:r>
    </w:p>
    <w:p w:rsidR="0065031F" w:rsidRDefault="0065031F" w:rsidP="00F90DBF">
      <w:pPr>
        <w:pStyle w:val="ListParagraph"/>
        <w:numPr>
          <w:ilvl w:val="2"/>
          <w:numId w:val="2"/>
        </w:numPr>
      </w:pPr>
      <w:r>
        <w:t>Open to the public</w:t>
      </w:r>
    </w:p>
    <w:p w:rsidR="0065031F" w:rsidRDefault="0065031F" w:rsidP="00F90DBF">
      <w:pPr>
        <w:pStyle w:val="ListParagraph"/>
        <w:numPr>
          <w:ilvl w:val="2"/>
          <w:numId w:val="2"/>
        </w:numPr>
      </w:pPr>
      <w:r>
        <w:t>Post meeting on website and Public Transparency website (may not be needed here)</w:t>
      </w:r>
      <w:r w:rsidR="00C75676">
        <w:t>.  Two weeks ahead of meeting required?</w:t>
      </w:r>
    </w:p>
    <w:p w:rsidR="00C71041" w:rsidRDefault="00C71041" w:rsidP="00C71041">
      <w:pPr>
        <w:pStyle w:val="ListParagraph"/>
        <w:numPr>
          <w:ilvl w:val="1"/>
          <w:numId w:val="2"/>
        </w:numPr>
      </w:pPr>
      <w:r>
        <w:t>SOS Filing:  8/15/13</w:t>
      </w:r>
    </w:p>
    <w:p w:rsidR="00C71041" w:rsidRDefault="00C71041" w:rsidP="00C71041">
      <w:pPr>
        <w:pStyle w:val="ListParagraph"/>
        <w:numPr>
          <w:ilvl w:val="1"/>
          <w:numId w:val="2"/>
        </w:numPr>
      </w:pPr>
      <w:r>
        <w:t>Public Comment:  9/1 – 9/30</w:t>
      </w:r>
    </w:p>
    <w:p w:rsidR="00C71041" w:rsidRDefault="00C71041" w:rsidP="00C71041">
      <w:pPr>
        <w:pStyle w:val="ListParagraph"/>
        <w:numPr>
          <w:ilvl w:val="1"/>
          <w:numId w:val="2"/>
        </w:numPr>
      </w:pPr>
      <w:r>
        <w:t>Public Hearing (Portland):  9/18</w:t>
      </w:r>
    </w:p>
    <w:p w:rsidR="00C71041" w:rsidRDefault="00C71041" w:rsidP="00C71041">
      <w:pPr>
        <w:pStyle w:val="ListParagraph"/>
        <w:numPr>
          <w:ilvl w:val="1"/>
          <w:numId w:val="2"/>
        </w:numPr>
      </w:pPr>
      <w:r>
        <w:t>Submit EQC Staff Report:  11/1</w:t>
      </w:r>
    </w:p>
    <w:p w:rsidR="00C71041" w:rsidRDefault="00C71041" w:rsidP="00C71041">
      <w:pPr>
        <w:pStyle w:val="ListParagraph"/>
        <w:ind w:left="2200"/>
      </w:pPr>
    </w:p>
    <w:p w:rsidR="00C71041" w:rsidRPr="00C75676" w:rsidRDefault="00C71041" w:rsidP="00C71041">
      <w:pPr>
        <w:pStyle w:val="ListParagraph"/>
        <w:numPr>
          <w:ilvl w:val="0"/>
          <w:numId w:val="2"/>
        </w:numPr>
        <w:rPr>
          <w:b/>
        </w:rPr>
      </w:pPr>
      <w:r w:rsidRPr="00C75676">
        <w:rPr>
          <w:b/>
        </w:rPr>
        <w:t>Develop ALC rulemaking website</w:t>
      </w:r>
    </w:p>
    <w:p w:rsidR="0065031F" w:rsidRDefault="0065031F" w:rsidP="00C75676">
      <w:pPr>
        <w:pStyle w:val="ListParagraph"/>
        <w:numPr>
          <w:ilvl w:val="1"/>
          <w:numId w:val="2"/>
        </w:numPr>
      </w:pPr>
      <w:r>
        <w:t>Description and purpose of rulemaking</w:t>
      </w:r>
    </w:p>
    <w:p w:rsidR="0065031F" w:rsidRDefault="0065031F" w:rsidP="00C75676">
      <w:pPr>
        <w:pStyle w:val="ListParagraph"/>
        <w:numPr>
          <w:ilvl w:val="1"/>
          <w:numId w:val="2"/>
        </w:numPr>
      </w:pPr>
      <w:r>
        <w:t>Post</w:t>
      </w:r>
      <w:r w:rsidR="00C71041">
        <w:t xml:space="preserve"> Advisory Committee</w:t>
      </w:r>
      <w:r>
        <w:t xml:space="preserve"> agenda, meeting materials, and minutes here</w:t>
      </w:r>
    </w:p>
    <w:p w:rsidR="00C75676" w:rsidRDefault="00C75676" w:rsidP="00C75676">
      <w:pPr>
        <w:pStyle w:val="ListParagraph"/>
        <w:ind w:left="2200"/>
      </w:pPr>
    </w:p>
    <w:p w:rsidR="00087577" w:rsidRPr="00C75676" w:rsidRDefault="00087577" w:rsidP="00087577">
      <w:pPr>
        <w:pStyle w:val="ListParagraph"/>
        <w:numPr>
          <w:ilvl w:val="0"/>
          <w:numId w:val="2"/>
        </w:numPr>
        <w:rPr>
          <w:b/>
        </w:rPr>
      </w:pPr>
      <w:r w:rsidRPr="00C75676">
        <w:rPr>
          <w:b/>
        </w:rPr>
        <w:t>Scope of Rulemaking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 xml:space="preserve">Re-adopt </w:t>
      </w:r>
      <w:r w:rsidRPr="00087577">
        <w:t>arsenic and Cr VI</w:t>
      </w:r>
      <w:r>
        <w:t>—inadvertently left off Table 33B.  EPA took no action, but recommended reinstatement of the criteria.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>Express Se criteria as dissolved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>Correct 11 pesticides:  Add note to ALC table that the frequency and duration of the pesticides is different.  Clarify pesticide footnote</w:t>
      </w:r>
    </w:p>
    <w:p w:rsidR="00114E35" w:rsidRDefault="00114E35" w:rsidP="00114E35">
      <w:pPr>
        <w:pStyle w:val="ListParagraph"/>
        <w:numPr>
          <w:ilvl w:val="1"/>
          <w:numId w:val="2"/>
        </w:numPr>
      </w:pPr>
      <w:r>
        <w:t xml:space="preserve">Re-propose </w:t>
      </w:r>
      <w:proofErr w:type="spellStart"/>
      <w:r>
        <w:t>endosulfan</w:t>
      </w:r>
      <w:proofErr w:type="spellEnd"/>
      <w:r>
        <w:t xml:space="preserve">-alpha, </w:t>
      </w:r>
      <w:proofErr w:type="spellStart"/>
      <w:r>
        <w:t>endosulfan</w:t>
      </w:r>
      <w:proofErr w:type="spellEnd"/>
      <w:r>
        <w:t xml:space="preserve">-beta, and heptachlor </w:t>
      </w:r>
      <w:proofErr w:type="spellStart"/>
      <w:r>
        <w:t>epoxide</w:t>
      </w:r>
      <w:proofErr w:type="spellEnd"/>
    </w:p>
    <w:p w:rsidR="00C75676" w:rsidRDefault="00C75676" w:rsidP="00114E35">
      <w:pPr>
        <w:pStyle w:val="ListParagraph"/>
        <w:numPr>
          <w:ilvl w:val="1"/>
          <w:numId w:val="2"/>
        </w:numPr>
      </w:pPr>
      <w:r>
        <w:t>Ag acute criterion:  Remove Footnote P</w:t>
      </w:r>
    </w:p>
    <w:p w:rsidR="00C75676" w:rsidRDefault="00C75676" w:rsidP="00C75676">
      <w:pPr>
        <w:pStyle w:val="ListParagraph"/>
        <w:numPr>
          <w:ilvl w:val="1"/>
          <w:numId w:val="2"/>
        </w:numPr>
      </w:pPr>
      <w:proofErr w:type="spellStart"/>
      <w:r>
        <w:t>Endosulfan</w:t>
      </w:r>
      <w:proofErr w:type="spellEnd"/>
      <w:r>
        <w:t>:  Footnote P should be Footnote O</w:t>
      </w:r>
    </w:p>
    <w:p w:rsidR="00087577" w:rsidRDefault="00114E35" w:rsidP="00087577">
      <w:pPr>
        <w:pStyle w:val="ListParagraph"/>
        <w:numPr>
          <w:ilvl w:val="1"/>
          <w:numId w:val="2"/>
        </w:numPr>
      </w:pPr>
      <w:r>
        <w:t>Consolidate ALC into one table—clarify several footnotes, revise criteria to 2 sig. digits</w:t>
      </w:r>
    </w:p>
    <w:p w:rsidR="00114E35" w:rsidRDefault="00114E35" w:rsidP="00087577">
      <w:pPr>
        <w:pStyle w:val="ListParagraph"/>
        <w:numPr>
          <w:ilvl w:val="1"/>
          <w:numId w:val="2"/>
        </w:numPr>
      </w:pPr>
      <w:r>
        <w:t xml:space="preserve">Minor typos in Table 40 </w:t>
      </w:r>
    </w:p>
    <w:p w:rsidR="00114E35" w:rsidRDefault="00114E35" w:rsidP="00087577">
      <w:pPr>
        <w:pStyle w:val="ListParagraph"/>
        <w:numPr>
          <w:ilvl w:val="1"/>
          <w:numId w:val="2"/>
        </w:numPr>
      </w:pPr>
      <w:r>
        <w:t>Correct typos in As Red Policy Rule</w:t>
      </w:r>
    </w:p>
    <w:p w:rsidR="00F90DBF" w:rsidRDefault="00114E35" w:rsidP="00F90DBF">
      <w:pPr>
        <w:pStyle w:val="ListParagraph"/>
        <w:numPr>
          <w:ilvl w:val="1"/>
          <w:numId w:val="2"/>
        </w:numPr>
      </w:pPr>
      <w:r>
        <w:t>Revisions to Toxics Rule in -0033 and associated revisions to GW rules from the removal of Table 20 (instead programs should point to the toxics rule in general rather than specifically Table 20)</w:t>
      </w:r>
    </w:p>
    <w:p w:rsidR="00C75676" w:rsidRDefault="00C75676" w:rsidP="00C75676">
      <w:pPr>
        <w:pStyle w:val="ListParagraph"/>
        <w:ind w:left="1480"/>
      </w:pPr>
    </w:p>
    <w:p w:rsidR="00C71041" w:rsidRPr="00C75676" w:rsidRDefault="00C71041" w:rsidP="00C71041">
      <w:pPr>
        <w:pStyle w:val="ListParagraph"/>
        <w:numPr>
          <w:ilvl w:val="0"/>
          <w:numId w:val="2"/>
        </w:numPr>
        <w:rPr>
          <w:b/>
        </w:rPr>
      </w:pPr>
      <w:r w:rsidRPr="00C75676">
        <w:rPr>
          <w:b/>
        </w:rPr>
        <w:t>Resources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>Andrea:  Advisory committee materials, coordination, rulemaking docs, etc.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>Jennifer:  Review and approval of rulemaking docs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>Deb:  review of rulemaking docs</w:t>
      </w:r>
    </w:p>
    <w:p w:rsidR="00087577" w:rsidRDefault="00087577" w:rsidP="00087577">
      <w:pPr>
        <w:pStyle w:val="ListParagraph"/>
        <w:numPr>
          <w:ilvl w:val="1"/>
          <w:numId w:val="2"/>
        </w:numPr>
      </w:pPr>
      <w:r>
        <w:t>Lori Pillsbury:  review of consolidated ALC table</w:t>
      </w:r>
    </w:p>
    <w:p w:rsidR="00F90DBF" w:rsidRDefault="00087577" w:rsidP="00377F32">
      <w:pPr>
        <w:pStyle w:val="ListParagraph"/>
        <w:numPr>
          <w:ilvl w:val="1"/>
          <w:numId w:val="2"/>
        </w:numPr>
      </w:pPr>
      <w:r>
        <w:t>Permitting/TMDL/groundwater/clean up staff:  review of proposed rules</w:t>
      </w:r>
    </w:p>
    <w:sectPr w:rsidR="00F90DBF" w:rsidSect="00E05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829FD"/>
    <w:multiLevelType w:val="hybridMultilevel"/>
    <w:tmpl w:val="FAAE946C"/>
    <w:lvl w:ilvl="0" w:tplc="4CB2AA2A">
      <w:start w:val="1"/>
      <w:numFmt w:val="decimal"/>
      <w:lvlText w:val="%1."/>
      <w:lvlJc w:val="left"/>
      <w:pPr>
        <w:ind w:left="7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513C405E"/>
    <w:multiLevelType w:val="hybridMultilevel"/>
    <w:tmpl w:val="159E9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E71EF"/>
    <w:multiLevelType w:val="hybridMultilevel"/>
    <w:tmpl w:val="7A7AFE6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5EE7F8D"/>
    <w:multiLevelType w:val="hybridMultilevel"/>
    <w:tmpl w:val="2A80E5FC"/>
    <w:lvl w:ilvl="0" w:tplc="90BE33C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color w:val="31849B" w:themeColor="accent5" w:themeShade="BF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40493A"/>
    <w:multiLevelType w:val="hybridMultilevel"/>
    <w:tmpl w:val="DE34F2BA"/>
    <w:lvl w:ilvl="0" w:tplc="90BE33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31849B" w:themeColor="accent5" w:themeShade="BF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/>
  <w:rsids>
    <w:rsidRoot w:val="00F90DBF"/>
    <w:rsid w:val="00017E04"/>
    <w:rsid w:val="000314FF"/>
    <w:rsid w:val="000360AB"/>
    <w:rsid w:val="00056B0C"/>
    <w:rsid w:val="0006636A"/>
    <w:rsid w:val="00087577"/>
    <w:rsid w:val="000A4B54"/>
    <w:rsid w:val="000B5072"/>
    <w:rsid w:val="00101F3A"/>
    <w:rsid w:val="00103359"/>
    <w:rsid w:val="00114E35"/>
    <w:rsid w:val="00136128"/>
    <w:rsid w:val="00146749"/>
    <w:rsid w:val="001A5886"/>
    <w:rsid w:val="0021014B"/>
    <w:rsid w:val="002715CB"/>
    <w:rsid w:val="0029423B"/>
    <w:rsid w:val="003211A0"/>
    <w:rsid w:val="003265F2"/>
    <w:rsid w:val="00360E32"/>
    <w:rsid w:val="00377F32"/>
    <w:rsid w:val="003B2F13"/>
    <w:rsid w:val="003B68E6"/>
    <w:rsid w:val="003C1553"/>
    <w:rsid w:val="003F588E"/>
    <w:rsid w:val="00420BEB"/>
    <w:rsid w:val="00423242"/>
    <w:rsid w:val="00460D36"/>
    <w:rsid w:val="00466F9A"/>
    <w:rsid w:val="004B3958"/>
    <w:rsid w:val="004C029E"/>
    <w:rsid w:val="004D33AA"/>
    <w:rsid w:val="004F5EC8"/>
    <w:rsid w:val="00540ED1"/>
    <w:rsid w:val="00561631"/>
    <w:rsid w:val="0058468D"/>
    <w:rsid w:val="005B711E"/>
    <w:rsid w:val="005E7281"/>
    <w:rsid w:val="005F2444"/>
    <w:rsid w:val="006043A3"/>
    <w:rsid w:val="0063490E"/>
    <w:rsid w:val="0065031F"/>
    <w:rsid w:val="006750DB"/>
    <w:rsid w:val="006A30F9"/>
    <w:rsid w:val="006A5DC8"/>
    <w:rsid w:val="006B366D"/>
    <w:rsid w:val="007D5E6D"/>
    <w:rsid w:val="007F1494"/>
    <w:rsid w:val="007F4DAD"/>
    <w:rsid w:val="008360C4"/>
    <w:rsid w:val="00836B4B"/>
    <w:rsid w:val="008F78D5"/>
    <w:rsid w:val="008F7ED6"/>
    <w:rsid w:val="00913F9B"/>
    <w:rsid w:val="0095547B"/>
    <w:rsid w:val="009738A6"/>
    <w:rsid w:val="009741DE"/>
    <w:rsid w:val="00974594"/>
    <w:rsid w:val="009A7D37"/>
    <w:rsid w:val="009F32C9"/>
    <w:rsid w:val="00A045A7"/>
    <w:rsid w:val="00A36679"/>
    <w:rsid w:val="00A71E49"/>
    <w:rsid w:val="00A72AEE"/>
    <w:rsid w:val="00A81A3F"/>
    <w:rsid w:val="00A92BD1"/>
    <w:rsid w:val="00B37F31"/>
    <w:rsid w:val="00B47528"/>
    <w:rsid w:val="00B5333B"/>
    <w:rsid w:val="00B57FC5"/>
    <w:rsid w:val="00B958BA"/>
    <w:rsid w:val="00BA44CB"/>
    <w:rsid w:val="00BE73C9"/>
    <w:rsid w:val="00C05FE2"/>
    <w:rsid w:val="00C30061"/>
    <w:rsid w:val="00C70532"/>
    <w:rsid w:val="00C70B3E"/>
    <w:rsid w:val="00C71041"/>
    <w:rsid w:val="00C75676"/>
    <w:rsid w:val="00C90BDE"/>
    <w:rsid w:val="00C91D5D"/>
    <w:rsid w:val="00CA5A76"/>
    <w:rsid w:val="00CD1C5B"/>
    <w:rsid w:val="00D31902"/>
    <w:rsid w:val="00D45315"/>
    <w:rsid w:val="00D74671"/>
    <w:rsid w:val="00D81D96"/>
    <w:rsid w:val="00DD3E44"/>
    <w:rsid w:val="00E05271"/>
    <w:rsid w:val="00E944F1"/>
    <w:rsid w:val="00EE7B0A"/>
    <w:rsid w:val="00F2560E"/>
    <w:rsid w:val="00F90DBF"/>
    <w:rsid w:val="00FE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#c00000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D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A3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://deqsps/programs/rulemaking/wq/alt/docs/Forms/byCategory.aspx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0CE39A159454D9D9417F47C3E573F" ma:contentTypeVersion="" ma:contentTypeDescription="Create a new document." ma:contentTypeScope="" ma:versionID="932c72e578cf51cf0ad9711861407725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Supporting Document</Category>
  </documentManagement>
</p:properties>
</file>

<file path=customXml/itemProps1.xml><?xml version="1.0" encoding="utf-8"?>
<ds:datastoreItem xmlns:ds="http://schemas.openxmlformats.org/officeDocument/2006/customXml" ds:itemID="{F927C2A8-5BAE-430A-83FE-51CC2624AF58}"/>
</file>

<file path=customXml/itemProps2.xml><?xml version="1.0" encoding="utf-8"?>
<ds:datastoreItem xmlns:ds="http://schemas.openxmlformats.org/officeDocument/2006/customXml" ds:itemID="{4AF5A245-7AE6-4211-9AD9-7362A1263CDB}"/>
</file>

<file path=customXml/itemProps3.xml><?xml version="1.0" encoding="utf-8"?>
<ds:datastoreItem xmlns:ds="http://schemas.openxmlformats.org/officeDocument/2006/customXml" ds:itemID="{B81C762C-1F6E-4BE5-8BE2-4C8DF53CF2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amatzke</dc:creator>
  <cp:lastModifiedBy>amatzke</cp:lastModifiedBy>
  <cp:revision>4</cp:revision>
  <dcterms:created xsi:type="dcterms:W3CDTF">2013-05-16T17:45:00Z</dcterms:created>
  <dcterms:modified xsi:type="dcterms:W3CDTF">2013-05-16T18:47:00Z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0x0101002030CE39A159454D9D9417F47C3E573F</vt:lpwstr>
  </property>
</Properties>
</file>