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5C3" w:rsidRDefault="005065C3" w:rsidP="005065C3">
      <w:pPr>
        <w:rPr>
          <w:rFonts w:ascii="Arial" w:hAnsi="Arial" w:cs="Arial"/>
          <w:b/>
          <w:sz w:val="32"/>
          <w:szCs w:val="32"/>
        </w:rPr>
      </w:pPr>
    </w:p>
    <w:p w:rsidR="00CF5155" w:rsidRDefault="00CF5155" w:rsidP="005065C3">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CF5155" w:rsidRPr="001B54E4" w:rsidRDefault="00A163B8" w:rsidP="005065C3">
      <w:pPr>
        <w:jc w:val="center"/>
        <w:rPr>
          <w:rFonts w:ascii="Arial" w:hAnsi="Arial" w:cs="Arial"/>
          <w:i/>
          <w:sz w:val="28"/>
          <w:szCs w:val="28"/>
        </w:rPr>
      </w:pPr>
      <w:r>
        <w:rPr>
          <w:rFonts w:ascii="Arial" w:hAnsi="Arial" w:cs="Arial"/>
          <w:i/>
          <w:sz w:val="28"/>
          <w:szCs w:val="28"/>
        </w:rPr>
        <w:t xml:space="preserve">Effective </w:t>
      </w:r>
      <w:r w:rsidR="00BE64FF">
        <w:rPr>
          <w:rFonts w:ascii="Arial" w:hAnsi="Arial" w:cs="Arial"/>
          <w:i/>
          <w:sz w:val="28"/>
          <w:szCs w:val="28"/>
        </w:rPr>
        <w:t>[EPA Approval]</w:t>
      </w:r>
    </w:p>
    <w:p w:rsidR="00CF5155" w:rsidRDefault="00CF5155" w:rsidP="00CF5155">
      <w:pPr>
        <w:rPr>
          <w:rFonts w:ascii="Arial" w:hAnsi="Arial" w:cs="Arial"/>
        </w:rPr>
      </w:pPr>
    </w:p>
    <w:p w:rsidR="00CF5155" w:rsidRPr="00300148" w:rsidRDefault="00CF5155" w:rsidP="00CF5155">
      <w:pPr>
        <w:jc w:val="center"/>
        <w:rPr>
          <w:rFonts w:ascii="Arial" w:hAnsi="Arial" w:cs="Arial"/>
          <w:b/>
          <w:sz w:val="28"/>
          <w:szCs w:val="28"/>
        </w:rPr>
      </w:pPr>
      <w:r w:rsidRPr="00300148">
        <w:rPr>
          <w:rFonts w:ascii="Arial" w:hAnsi="Arial" w:cs="Arial"/>
          <w:b/>
          <w:sz w:val="28"/>
          <w:szCs w:val="28"/>
        </w:rPr>
        <w:t>Human Health Criteria Summary</w:t>
      </w:r>
    </w:p>
    <w:p w:rsidR="0068196E" w:rsidRPr="001B54E4" w:rsidRDefault="00CF5155">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tbl>
      <w:tblPr>
        <w:tblW w:w="10976"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884"/>
        <w:gridCol w:w="3230"/>
        <w:gridCol w:w="1106"/>
        <w:gridCol w:w="1360"/>
        <w:gridCol w:w="1372"/>
        <w:gridCol w:w="2024"/>
        <w:gridCol w:w="1656"/>
      </w:tblGrid>
      <w:tr w:rsidR="0068196E" w:rsidRPr="00300148" w:rsidTr="0068196E">
        <w:trPr>
          <w:trHeight w:val="546"/>
          <w:tblHeader/>
        </w:trPr>
        <w:tc>
          <w:tcPr>
            <w:tcW w:w="10976" w:type="dxa"/>
            <w:gridSpan w:val="7"/>
            <w:tcBorders>
              <w:top w:val="double" w:sz="4" w:space="0" w:color="auto"/>
              <w:bottom w:val="single" w:sz="12" w:space="0" w:color="auto"/>
            </w:tcBorders>
            <w:shd w:val="clear" w:color="auto" w:fill="008272"/>
            <w:vAlign w:val="bottom"/>
          </w:tcPr>
          <w:p w:rsidR="0068196E" w:rsidRDefault="0068196E" w:rsidP="00CF5155">
            <w:pPr>
              <w:spacing w:after="0" w:line="240" w:lineRule="auto"/>
              <w:jc w:val="center"/>
              <w:rPr>
                <w:rFonts w:ascii="Arial" w:eastAsia="Times New Roman" w:hAnsi="Arial" w:cs="Arial"/>
                <w:bCs/>
                <w:iCs/>
                <w:color w:val="FFFFFF" w:themeColor="background1"/>
                <w:sz w:val="20"/>
                <w:szCs w:val="20"/>
              </w:rPr>
            </w:pPr>
          </w:p>
          <w:p w:rsidR="0068196E" w:rsidRDefault="0068196E" w:rsidP="00CF5155">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68196E" w:rsidRPr="0068196E" w:rsidRDefault="0068196E" w:rsidP="00CF5155">
            <w:pPr>
              <w:spacing w:after="0" w:line="240" w:lineRule="auto"/>
              <w:jc w:val="center"/>
              <w:rPr>
                <w:rFonts w:ascii="Arial" w:eastAsia="Times New Roman" w:hAnsi="Arial" w:cs="Arial"/>
                <w:bCs/>
                <w:iCs/>
                <w:color w:val="FFFFFF" w:themeColor="background1"/>
                <w:sz w:val="26"/>
                <w:szCs w:val="26"/>
              </w:rPr>
            </w:pPr>
          </w:p>
          <w:p w:rsidR="0068196E" w:rsidRPr="0068196E" w:rsidRDefault="0068196E" w:rsidP="00CF5155">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68196E" w:rsidRPr="0068196E" w:rsidRDefault="0068196E" w:rsidP="00CF5155">
            <w:pPr>
              <w:spacing w:after="0" w:line="240" w:lineRule="auto"/>
              <w:jc w:val="center"/>
              <w:rPr>
                <w:rFonts w:ascii="Arial" w:eastAsia="Times New Roman" w:hAnsi="Arial" w:cs="Arial"/>
                <w:bCs/>
                <w:iCs/>
                <w:color w:val="FFFFFF" w:themeColor="background1"/>
                <w:sz w:val="20"/>
                <w:szCs w:val="20"/>
              </w:rPr>
            </w:pPr>
          </w:p>
        </w:tc>
      </w:tr>
      <w:tr w:rsidR="00CF5155" w:rsidRPr="00300148" w:rsidTr="0068196E">
        <w:trPr>
          <w:trHeight w:val="546"/>
          <w:tblHeader/>
        </w:trPr>
        <w:tc>
          <w:tcPr>
            <w:tcW w:w="550" w:type="dxa"/>
            <w:vMerge w:val="restart"/>
            <w:tcBorders>
              <w:top w:val="single" w:sz="12" w:space="0" w:color="auto"/>
              <w:bottom w:val="triple" w:sz="4" w:space="0" w:color="auto"/>
            </w:tcBorders>
            <w:shd w:val="clear" w:color="auto" w:fill="B1DDCD"/>
            <w:vAlign w:val="bottom"/>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commentRangeStart w:id="0"/>
            <w:r w:rsidRPr="0068196E">
              <w:rPr>
                <w:rFonts w:ascii="Arial" w:eastAsia="Times New Roman" w:hAnsi="Arial" w:cs="Arial"/>
                <w:b/>
                <w:bCs/>
                <w:sz w:val="20"/>
                <w:szCs w:val="20"/>
              </w:rPr>
              <w:t>Aquatic</w:t>
            </w:r>
            <w:commentRangeEnd w:id="0"/>
            <w:r w:rsidR="00960381">
              <w:rPr>
                <w:rStyle w:val="CommentReference"/>
              </w:rPr>
              <w:commentReference w:id="0"/>
            </w:r>
            <w:r w:rsidRPr="0068196E">
              <w:rPr>
                <w:rFonts w:ascii="Arial" w:eastAsia="Times New Roman" w:hAnsi="Arial" w:cs="Arial"/>
                <w:b/>
                <w:bCs/>
                <w:sz w:val="20"/>
                <w:szCs w:val="20"/>
              </w:rPr>
              <w:t xml:space="preserve"> Life Criterion</w:t>
            </w:r>
          </w:p>
        </w:tc>
        <w:tc>
          <w:tcPr>
            <w:tcW w:w="3680" w:type="dxa"/>
            <w:gridSpan w:val="2"/>
            <w:tcBorders>
              <w:top w:val="single" w:sz="12" w:space="0" w:color="auto"/>
              <w:bottom w:val="single" w:sz="4" w:space="0" w:color="auto"/>
            </w:tcBorders>
            <w:shd w:val="clear" w:color="auto" w:fill="B1DDCD"/>
            <w:vAlign w:val="center"/>
            <w:hideMark/>
          </w:tcPr>
          <w:p w:rsidR="00CF5155" w:rsidRPr="0068196E" w:rsidRDefault="00CF5155" w:rsidP="00CF5155">
            <w:pPr>
              <w:spacing w:after="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CF5155" w:rsidRPr="00300148" w:rsidTr="0068196E">
        <w:trPr>
          <w:trHeight w:val="519"/>
          <w:tblHeader/>
        </w:trPr>
        <w:tc>
          <w:tcPr>
            <w:tcW w:w="550" w:type="dxa"/>
            <w:vMerge/>
            <w:tcBorders>
              <w:top w:val="single" w:sz="4" w:space="0" w:color="auto"/>
              <w:bottom w:val="triple" w:sz="4" w:space="0" w:color="auto"/>
            </w:tcBorders>
            <w:shd w:val="clear" w:color="auto" w:fill="B1DDCD"/>
          </w:tcPr>
          <w:p w:rsidR="00CF5155" w:rsidRPr="0068196E" w:rsidRDefault="00CF5155" w:rsidP="00CF5155">
            <w:pPr>
              <w:spacing w:after="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CF5155" w:rsidRPr="0068196E" w:rsidRDefault="00CF5155" w:rsidP="00CF5155">
            <w:pPr>
              <w:spacing w:after="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CF5155" w:rsidRPr="0068196E" w:rsidRDefault="00CF5155" w:rsidP="00CF5155">
            <w:pPr>
              <w:spacing w:after="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CF5155" w:rsidRPr="00300148" w:rsidTr="003A2BD9">
        <w:trPr>
          <w:trHeight w:val="255"/>
        </w:trPr>
        <w:tc>
          <w:tcPr>
            <w:tcW w:w="550" w:type="dxa"/>
            <w:tcBorders>
              <w:top w:val="triple" w:sz="4" w:space="0" w:color="auto"/>
            </w:tcBorders>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CF5155" w:rsidRPr="00300148" w:rsidTr="003A2BD9">
        <w:trPr>
          <w:trHeight w:val="255"/>
        </w:trPr>
        <w:tc>
          <w:tcPr>
            <w:tcW w:w="550" w:type="dxa"/>
            <w:shd w:val="clear" w:color="auto" w:fill="FFFFFF" w:themeFill="background1"/>
            <w:vAlign w:val="center"/>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vAlign w:val="center"/>
            <w:hideMark/>
          </w:tcPr>
          <w:p w:rsidR="00CF5155" w:rsidRPr="00417D51" w:rsidRDefault="00CF5155" w:rsidP="00CF5155">
            <w:pPr>
              <w:spacing w:after="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w:t>
            </w:r>
            <w:r w:rsidR="00A04792">
              <w:rPr>
                <w:rFonts w:ascii="Arial" w:eastAsia="Times New Roman" w:hAnsi="Arial" w:cs="Arial"/>
                <w:bCs/>
                <w:sz w:val="20"/>
                <w:szCs w:val="20"/>
              </w:rPr>
              <w:t xml:space="preserve"> </w:t>
            </w:r>
            <w:r w:rsidRPr="005065C3">
              <w:rPr>
                <w:rFonts w:ascii="Arial" w:eastAsia="Times New Roman" w:hAnsi="Arial" w:cs="Arial"/>
                <w:b/>
                <w:bCs/>
                <w:sz w:val="24"/>
                <w:szCs w:val="24"/>
                <w:vertAlign w:val="superscript"/>
              </w:rPr>
              <w:t>A</w:t>
            </w:r>
          </w:p>
        </w:tc>
        <w:tc>
          <w:tcPr>
            <w:tcW w:w="1106"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center"/>
            <w:hideMark/>
          </w:tcPr>
          <w:p w:rsidR="00CF5155" w:rsidRPr="005065C3" w:rsidRDefault="00983400" w:rsidP="00CF5155">
            <w:pPr>
              <w:spacing w:after="0" w:line="240" w:lineRule="auto"/>
              <w:jc w:val="center"/>
              <w:rPr>
                <w:rFonts w:ascii="Arial" w:eastAsia="Times New Roman" w:hAnsi="Arial" w:cs="Arial"/>
                <w:strike/>
                <w:sz w:val="20"/>
                <w:szCs w:val="20"/>
              </w:rPr>
            </w:pPr>
            <w:r w:rsidRPr="005065C3">
              <w:rPr>
                <w:rFonts w:ascii="Arial" w:eastAsia="Times New Roman" w:hAnsi="Arial" w:cs="Arial"/>
                <w:sz w:val="20"/>
                <w:szCs w:val="20"/>
              </w:rPr>
              <w:t>y</w:t>
            </w:r>
          </w:p>
        </w:tc>
        <w:tc>
          <w:tcPr>
            <w:tcW w:w="2024" w:type="dxa"/>
            <w:shd w:val="clear" w:color="auto" w:fill="auto"/>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CF5155"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CF5155" w:rsidRPr="00983400" w:rsidRDefault="00CF5155" w:rsidP="00CF5155">
            <w:pPr>
              <w:spacing w:after="0" w:line="240" w:lineRule="auto"/>
              <w:jc w:val="center"/>
              <w:rPr>
                <w:rFonts w:ascii="Arial" w:eastAsia="Times New Roman" w:hAnsi="Arial" w:cs="Arial"/>
                <w:color w:val="000000"/>
                <w:sz w:val="20"/>
                <w:szCs w:val="20"/>
              </w:rPr>
            </w:pPr>
            <w:r w:rsidRPr="005065C3">
              <w:rPr>
                <w:rFonts w:ascii="Arial" w:eastAsia="Times New Roman" w:hAnsi="Arial" w:cs="Arial"/>
                <w:b/>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The “organism only” criteri</w:t>
            </w:r>
            <w:r>
              <w:rPr>
                <w:rFonts w:ascii="Arial" w:hAnsi="Arial" w:cs="Arial"/>
                <w:bCs/>
                <w:i/>
                <w:sz w:val="18"/>
                <w:szCs w:val="18"/>
              </w:rPr>
              <w:t>a</w:t>
            </w:r>
            <w:r w:rsidRPr="000A6934">
              <w:rPr>
                <w:rFonts w:ascii="Arial" w:hAnsi="Arial" w:cs="Arial"/>
                <w:bCs/>
                <w:i/>
                <w:sz w:val="18"/>
                <w:szCs w:val="18"/>
              </w:rPr>
              <w:t xml:space="preserve"> </w:t>
            </w:r>
            <w:r>
              <w:rPr>
                <w:rFonts w:ascii="Arial" w:hAnsi="Arial" w:cs="Arial"/>
                <w:bCs/>
                <w:i/>
                <w:sz w:val="18"/>
                <w:szCs w:val="18"/>
              </w:rPr>
              <w:t>are</w:t>
            </w:r>
            <w:r w:rsidRPr="000A6934">
              <w:rPr>
                <w:rFonts w:ascii="Arial" w:hAnsi="Arial" w:cs="Arial"/>
                <w:bCs/>
                <w:i/>
                <w:sz w:val="18"/>
                <w:szCs w:val="18"/>
              </w:rPr>
              <w:t xml:space="preserve"> based on a risk level of</w:t>
            </w:r>
            <w:r>
              <w:rPr>
                <w:rFonts w:ascii="Arial" w:hAnsi="Arial" w:cs="Arial"/>
                <w:bCs/>
                <w:i/>
                <w:sz w:val="18"/>
                <w:szCs w:val="18"/>
              </w:rPr>
              <w:t xml:space="preserve"> approximately 1.1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w:t>
            </w:r>
            <w:commentRangeStart w:id="1"/>
            <w:commentRangeStart w:id="2"/>
            <w:commentRangeStart w:id="3"/>
            <w:r w:rsidRPr="000A6934">
              <w:rPr>
                <w:rFonts w:ascii="Arial" w:eastAsia="Times New Roman" w:hAnsi="Arial" w:cs="Arial"/>
                <w:i/>
                <w:sz w:val="18"/>
                <w:szCs w:val="18"/>
                <w:vertAlign w:val="superscript"/>
              </w:rPr>
              <w:t>4</w:t>
            </w:r>
            <w:commentRangeEnd w:id="1"/>
            <w:r w:rsidR="00620BCE">
              <w:rPr>
                <w:rStyle w:val="CommentReference"/>
              </w:rPr>
              <w:commentReference w:id="1"/>
            </w:r>
            <w:commentRangeEnd w:id="2"/>
            <w:r w:rsidR="00620BCE">
              <w:rPr>
                <w:rStyle w:val="CommentReference"/>
              </w:rPr>
              <w:commentReference w:id="2"/>
            </w:r>
            <w:commentRangeEnd w:id="3"/>
            <w:r w:rsidR="00960381">
              <w:rPr>
                <w:rStyle w:val="CommentReference"/>
              </w:rPr>
              <w:commentReference w:id="3"/>
            </w:r>
            <w:r w:rsidR="00983400" w:rsidRPr="00983400">
              <w:rPr>
                <w:rFonts w:ascii="Arial" w:eastAsia="Times New Roman" w:hAnsi="Arial" w:cs="Arial"/>
                <w:i/>
                <w:color w:val="FF0000"/>
                <w:sz w:val="18"/>
                <w:szCs w:val="18"/>
                <w:u w:val="single"/>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Asbestos</w:t>
            </w:r>
            <w:r w:rsidR="00A04792">
              <w:rPr>
                <w:rFonts w:ascii="Arial" w:eastAsia="Times New Roman" w:hAnsi="Arial" w:cs="Arial"/>
                <w:sz w:val="20"/>
                <w:szCs w:val="20"/>
              </w:rPr>
              <w:t xml:space="preserve"> </w:t>
            </w:r>
            <w:r w:rsidRPr="005065C3">
              <w:rPr>
                <w:rFonts w:ascii="Arial" w:hAnsi="Arial" w:cs="Arial"/>
                <w:b/>
                <w:sz w:val="24"/>
                <w:szCs w:val="24"/>
                <w:vertAlign w:val="superscript"/>
              </w:rPr>
              <w:t>B</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332"/>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5065C3">
              <w:rPr>
                <w:rFonts w:ascii="Arial" w:hAnsi="Arial" w:cs="Arial"/>
                <w:b/>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C</w:t>
            </w:r>
          </w:p>
        </w:tc>
        <w:tc>
          <w:tcPr>
            <w:tcW w:w="1106" w:type="dxa"/>
            <w:shd w:val="clear" w:color="auto" w:fill="auto"/>
            <w:noWrap/>
            <w:vAlign w:val="bottom"/>
            <w:hideMark/>
          </w:tcPr>
          <w:p w:rsidR="00CF5155" w:rsidRPr="003C2505" w:rsidRDefault="00CF5155" w:rsidP="00CF5155">
            <w:pPr>
              <w:spacing w:after="0" w:line="240" w:lineRule="auto"/>
              <w:jc w:val="right"/>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commentRangeStart w:id="4"/>
            <w:r>
              <w:rPr>
                <w:rFonts w:ascii="Arial" w:eastAsia="Times New Roman" w:hAnsi="Arial" w:cs="Arial"/>
                <w:color w:val="000000"/>
                <w:sz w:val="20"/>
                <w:szCs w:val="20"/>
              </w:rPr>
              <w:t>1000</w:t>
            </w:r>
            <w:commentRangeEnd w:id="4"/>
            <w:r w:rsidR="00820E3B">
              <w:rPr>
                <w:rStyle w:val="CommentReference"/>
              </w:rPr>
              <w:commentReference w:id="4"/>
            </w:r>
          </w:p>
        </w:tc>
        <w:tc>
          <w:tcPr>
            <w:tcW w:w="1656" w:type="dxa"/>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109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CF5155" w:rsidRPr="00DE3AC2" w:rsidRDefault="00CF5155" w:rsidP="00CF5155">
            <w:pPr>
              <w:pStyle w:val="CommentText"/>
              <w:spacing w:after="0"/>
              <w:jc w:val="center"/>
              <w:rPr>
                <w:rFonts w:ascii="Arial" w:hAnsi="Arial" w:cs="Arial"/>
                <w:i/>
                <w:sz w:val="18"/>
                <w:szCs w:val="18"/>
              </w:rPr>
            </w:pPr>
            <w:r w:rsidRPr="005065C3">
              <w:rPr>
                <w:rFonts w:ascii="Arial" w:eastAsia="Times New Roman" w:hAnsi="Arial" w:cs="Arial"/>
                <w:b/>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83400" w:rsidRPr="005065C3" w:rsidRDefault="00CF5155" w:rsidP="005065C3">
            <w:pPr>
              <w:spacing w:after="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sidR="008B0F69" w:rsidRPr="005065C3">
              <w:rPr>
                <w:rFonts w:ascii="Arial" w:eastAsia="Times New Roman" w:hAnsi="Arial" w:cs="Arial"/>
                <w:sz w:val="20"/>
                <w:szCs w:val="20"/>
              </w:rPr>
              <w:t>3</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D</w:t>
            </w:r>
          </w:p>
        </w:tc>
        <w:tc>
          <w:tcPr>
            <w:tcW w:w="1106" w:type="dxa"/>
            <w:shd w:val="clear" w:color="auto" w:fill="FFFFFF" w:themeFill="background1"/>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commentRangeStart w:id="5"/>
            <w:r>
              <w:rPr>
                <w:rFonts w:ascii="Arial" w:eastAsia="Times New Roman" w:hAnsi="Arial" w:cs="Arial"/>
                <w:color w:val="000000"/>
                <w:sz w:val="20"/>
                <w:szCs w:val="20"/>
              </w:rPr>
              <w:t>10</w:t>
            </w:r>
            <w:commentRangeEnd w:id="5"/>
            <w:r w:rsidR="00820E3B">
              <w:rPr>
                <w:rStyle w:val="CommentReference"/>
              </w:rPr>
              <w:commentReference w:id="5"/>
            </w:r>
          </w:p>
        </w:tc>
        <w:tc>
          <w:tcPr>
            <w:tcW w:w="1656" w:type="dxa"/>
            <w:shd w:val="clear" w:color="auto" w:fill="FFFFFF" w:themeFill="background1"/>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21"/>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49642C" w:rsidRDefault="00CF5155" w:rsidP="00CF5155">
            <w:pPr>
              <w:spacing w:after="0" w:line="240" w:lineRule="auto"/>
              <w:jc w:val="center"/>
              <w:rPr>
                <w:rFonts w:ascii="Arial" w:eastAsia="Times New Roman" w:hAnsi="Arial" w:cs="Arial"/>
                <w:i/>
                <w:color w:val="000000"/>
                <w:sz w:val="20"/>
                <w:szCs w:val="20"/>
              </w:rPr>
            </w:pPr>
            <w:r w:rsidRPr="005065C3">
              <w:rPr>
                <w:rFonts w:ascii="Arial" w:eastAsia="Times New Roman" w:hAnsi="Arial" w:cs="Arial"/>
                <w:b/>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lastRenderedPageBreak/>
              <w:t>E</w:t>
            </w:r>
          </w:p>
        </w:tc>
        <w:tc>
          <w:tcPr>
            <w:tcW w:w="1106" w:type="dxa"/>
            <w:shd w:val="clear" w:color="auto" w:fill="EAEAEA"/>
            <w:noWrap/>
            <w:vAlign w:val="center"/>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lastRenderedPageBreak/>
              <w:t>94757</w:t>
            </w:r>
          </w:p>
        </w:tc>
        <w:tc>
          <w:tcPr>
            <w:tcW w:w="136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commentRangeStart w:id="6"/>
            <w:r>
              <w:rPr>
                <w:rFonts w:ascii="Arial" w:eastAsia="Times New Roman" w:hAnsi="Arial" w:cs="Arial"/>
                <w:color w:val="000000"/>
                <w:sz w:val="20"/>
                <w:szCs w:val="20"/>
              </w:rPr>
              <w:t>100</w:t>
            </w:r>
            <w:commentRangeEnd w:id="6"/>
            <w:r w:rsidR="00820E3B">
              <w:rPr>
                <w:rStyle w:val="CommentReference"/>
              </w:rPr>
              <w:commentReference w:id="6"/>
            </w:r>
          </w:p>
        </w:tc>
        <w:tc>
          <w:tcPr>
            <w:tcW w:w="1656" w:type="dxa"/>
            <w:shd w:val="clear" w:color="auto" w:fill="EAEAEA"/>
            <w:noWrap/>
            <w:vAlign w:val="center"/>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53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5065C3">
              <w:rPr>
                <w:rFonts w:ascii="Arial" w:eastAsia="Times New Roman" w:hAnsi="Arial" w:cs="Arial"/>
                <w:b/>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commentRangeStart w:id="7"/>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commentRangeEnd w:id="7"/>
            <w:r w:rsidR="00820E3B">
              <w:rPr>
                <w:rStyle w:val="CommentReference"/>
              </w:rPr>
              <w:commentReference w:id="7"/>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F</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D5609B" w:rsidRDefault="00CF5155" w:rsidP="00CF5155">
            <w:pPr>
              <w:spacing w:after="0" w:line="240" w:lineRule="auto"/>
              <w:jc w:val="center"/>
              <w:rPr>
                <w:rFonts w:ascii="Arial" w:eastAsia="Times New Roman" w:hAnsi="Arial" w:cs="Arial"/>
                <w:i/>
                <w:color w:val="000000"/>
                <w:sz w:val="18"/>
                <w:szCs w:val="18"/>
              </w:rPr>
            </w:pPr>
            <w:r w:rsidRPr="005065C3">
              <w:rPr>
                <w:rFonts w:ascii="Arial" w:eastAsia="Times New Roman" w:hAnsi="Arial" w:cs="Arial"/>
                <w:b/>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G</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CF5155" w:rsidRPr="00796F1B" w:rsidRDefault="00CF5155" w:rsidP="00CF5155">
            <w:pPr>
              <w:spacing w:after="0" w:line="240" w:lineRule="auto"/>
              <w:jc w:val="center"/>
              <w:rPr>
                <w:rFonts w:ascii="Arial" w:eastAsia="Times New Roman" w:hAnsi="Arial" w:cs="Arial"/>
                <w:i/>
                <w:color w:val="000000"/>
                <w:sz w:val="18"/>
                <w:szCs w:val="18"/>
              </w:rPr>
            </w:pPr>
            <w:r w:rsidRPr="005065C3">
              <w:rPr>
                <w:rFonts w:ascii="Arial" w:eastAsia="Times New Roman" w:hAnsi="Arial" w:cs="Arial"/>
                <w:b/>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CF5155" w:rsidRPr="00CC164F" w:rsidRDefault="00CF5155" w:rsidP="00CF5155">
            <w:pPr>
              <w:spacing w:after="0" w:line="240" w:lineRule="auto"/>
              <w:jc w:val="right"/>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Endrin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commentRangeStart w:id="8"/>
            <w:r w:rsidRPr="00300148">
              <w:rPr>
                <w:rFonts w:ascii="Arial" w:eastAsia="Times New Roman" w:hAnsi="Arial" w:cs="Arial"/>
                <w:color w:val="000000"/>
                <w:sz w:val="20"/>
                <w:szCs w:val="20"/>
              </w:rPr>
              <w:t>0</w:t>
            </w:r>
            <w:r>
              <w:rPr>
                <w:rFonts w:ascii="Arial" w:eastAsia="Times New Roman" w:hAnsi="Arial" w:cs="Arial"/>
                <w:color w:val="000000"/>
                <w:sz w:val="20"/>
                <w:szCs w:val="20"/>
              </w:rPr>
              <w:t>24</w:t>
            </w:r>
            <w:commentRangeEnd w:id="8"/>
            <w:r w:rsidR="00820E3B">
              <w:rPr>
                <w:rStyle w:val="CommentReference"/>
              </w:rPr>
              <w:commentReference w:id="8"/>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Ethylbenzene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H</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CF5155" w:rsidRPr="00300148" w:rsidTr="003A2BD9">
        <w:trPr>
          <w:trHeight w:val="44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5065C3">
              <w:rPr>
                <w:rFonts w:ascii="Arial" w:eastAsia="Times New Roman" w:hAnsi="Arial" w:cs="Arial"/>
                <w:b/>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Methoxychlor</w:t>
            </w:r>
            <w:r w:rsidR="00A04792">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I</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commentRangeStart w:id="9"/>
            <w:r>
              <w:rPr>
                <w:rFonts w:ascii="Arial" w:eastAsia="Times New Roman" w:hAnsi="Arial" w:cs="Arial"/>
                <w:color w:val="000000"/>
                <w:sz w:val="20"/>
                <w:szCs w:val="20"/>
              </w:rPr>
              <w:t>100</w:t>
            </w:r>
            <w:commentRangeEnd w:id="9"/>
            <w:r w:rsidR="00820E3B">
              <w:rPr>
                <w:rStyle w:val="CommentReference"/>
              </w:rPr>
              <w:commentReference w:id="9"/>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449"/>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5065C3">
              <w:rPr>
                <w:rFonts w:ascii="Arial" w:eastAsia="Times New Roman" w:hAnsi="Arial" w:cs="Arial"/>
                <w:b/>
                <w:sz w:val="24"/>
                <w:szCs w:val="24"/>
                <w:vertAlign w:val="superscript"/>
              </w:rPr>
              <w:t>I</w:t>
            </w:r>
            <w:r w:rsidR="00A04792"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methoxychlor</w:t>
            </w:r>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Methylmercury (mg/kg)</w:t>
            </w:r>
            <w:r>
              <w:rPr>
                <w:rFonts w:ascii="Arial" w:hAnsi="Arial" w:cs="Arial"/>
                <w:i/>
                <w:sz w:val="18"/>
                <w:szCs w:val="18"/>
                <w:vertAlign w:val="superscript"/>
              </w:rPr>
              <w:t xml:space="preserve"> </w:t>
            </w:r>
            <w:r w:rsidRPr="005065C3">
              <w:rPr>
                <w:rFonts w:ascii="Arial" w:hAnsi="Arial" w:cs="Arial"/>
                <w:b/>
                <w:sz w:val="24"/>
                <w:szCs w:val="24"/>
                <w:vertAlign w:val="superscript"/>
              </w:rPr>
              <w:t>J</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w:t>
            </w:r>
            <w:commentRangeStart w:id="10"/>
            <w:r>
              <w:rPr>
                <w:rFonts w:ascii="Arial" w:eastAsia="Times New Roman" w:hAnsi="Arial" w:cs="Arial"/>
                <w:color w:val="000000"/>
                <w:sz w:val="20"/>
                <w:szCs w:val="20"/>
              </w:rPr>
              <w:t>kg</w:t>
            </w:r>
            <w:commentRangeEnd w:id="10"/>
            <w:r w:rsidR="00820E3B">
              <w:rPr>
                <w:rStyle w:val="CommentReference"/>
              </w:rPr>
              <w:commentReference w:id="10"/>
            </w:r>
          </w:p>
        </w:tc>
      </w:tr>
      <w:tr w:rsidR="00CF5155" w:rsidRPr="00300148" w:rsidTr="003A2BD9">
        <w:trPr>
          <w:trHeight w:val="458"/>
        </w:trPr>
        <w:tc>
          <w:tcPr>
            <w:tcW w:w="550" w:type="dxa"/>
            <w:shd w:val="clear" w:color="auto" w:fill="FFFFFF" w:themeFill="background1"/>
          </w:tcPr>
          <w:p w:rsidR="00CF5155" w:rsidRPr="001C3DC5" w:rsidRDefault="00CF5155" w:rsidP="00CF5155">
            <w:pPr>
              <w:autoSpaceDE w:val="0"/>
              <w:autoSpaceDN w:val="0"/>
              <w:adjustRightInd w:val="0"/>
              <w:spacing w:after="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CF5155" w:rsidRPr="00F64466" w:rsidRDefault="00CF5155" w:rsidP="00CF5155">
            <w:pPr>
              <w:autoSpaceDE w:val="0"/>
              <w:autoSpaceDN w:val="0"/>
              <w:adjustRightInd w:val="0"/>
              <w:spacing w:after="0" w:line="240" w:lineRule="auto"/>
              <w:jc w:val="center"/>
              <w:rPr>
                <w:rFonts w:ascii="Arial" w:hAnsi="Arial" w:cs="Arial"/>
                <w:i/>
                <w:sz w:val="18"/>
                <w:szCs w:val="18"/>
              </w:rPr>
            </w:pPr>
            <w:proofErr w:type="spellStart"/>
            <w:r w:rsidRPr="005065C3">
              <w:rPr>
                <w:rFonts w:ascii="Arial" w:hAnsi="Arial" w:cs="Arial"/>
                <w:b/>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expressed as the fish tissue concentration of methylmercury</w:t>
            </w:r>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methylmercury</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5065C3" w:rsidRDefault="00664F93" w:rsidP="00CF5155">
            <w:pPr>
              <w:spacing w:after="0" w:line="240" w:lineRule="auto"/>
              <w:jc w:val="center"/>
              <w:rPr>
                <w:rFonts w:ascii="Arial" w:eastAsia="Times New Roman" w:hAnsi="Arial" w:cs="Arial"/>
                <w:sz w:val="20"/>
                <w:szCs w:val="20"/>
              </w:rPr>
            </w:pPr>
            <w:r w:rsidRPr="005065C3">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K</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commentRangeStart w:id="11"/>
            <w:r>
              <w:rPr>
                <w:rFonts w:ascii="Arial" w:eastAsia="Times New Roman" w:hAnsi="Arial" w:cs="Arial"/>
                <w:color w:val="000000"/>
                <w:sz w:val="20"/>
                <w:szCs w:val="20"/>
              </w:rPr>
              <w:t>10000</w:t>
            </w:r>
            <w:commentRangeEnd w:id="11"/>
            <w:r w:rsidR="00820E3B">
              <w:rPr>
                <w:rStyle w:val="CommentReference"/>
              </w:rPr>
              <w:commentReference w:id="11"/>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CF5155" w:rsidRPr="00300148" w:rsidTr="003A2BD9">
        <w:trPr>
          <w:trHeight w:val="89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proofErr w:type="spellStart"/>
            <w:r w:rsidRPr="005065C3">
              <w:rPr>
                <w:rFonts w:ascii="Arial" w:eastAsia="Times New Roman" w:hAnsi="Arial" w:cs="Arial"/>
                <w:b/>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CF5155" w:rsidRPr="00CF0476" w:rsidRDefault="00CF5155" w:rsidP="00CF5155">
            <w:pPr>
              <w:spacing w:after="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CF5155" w:rsidRPr="00300148" w:rsidTr="003A2BD9">
        <w:trPr>
          <w:trHeight w:val="255"/>
        </w:trPr>
        <w:tc>
          <w:tcPr>
            <w:tcW w:w="550" w:type="dxa"/>
            <w:shd w:val="clear" w:color="auto" w:fill="EAEAEA"/>
          </w:tcPr>
          <w:p w:rsidR="00CF515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90</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5065C3">
              <w:rPr>
                <w:rFonts w:ascii="Arial" w:eastAsia="Times New Roman" w:hAnsi="Arial" w:cs="Arial"/>
                <w:b/>
                <w:sz w:val="24"/>
                <w:szCs w:val="24"/>
                <w:vertAlign w:val="superscript"/>
              </w:rPr>
              <w:t>L</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CF5155" w:rsidRPr="00300148" w:rsidTr="003A2BD9">
        <w:trPr>
          <w:trHeight w:val="287"/>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CF5155" w:rsidRPr="00181624" w:rsidRDefault="00CF5155" w:rsidP="00CF5155">
            <w:pPr>
              <w:spacing w:after="0" w:line="240" w:lineRule="auto"/>
              <w:jc w:val="center"/>
              <w:rPr>
                <w:rFonts w:ascii="Arial" w:eastAsia="Times New Roman" w:hAnsi="Arial" w:cs="Arial"/>
                <w:i/>
                <w:color w:val="000000"/>
                <w:sz w:val="18"/>
                <w:szCs w:val="18"/>
              </w:rPr>
            </w:pPr>
            <w:r w:rsidRPr="005065C3">
              <w:rPr>
                <w:rFonts w:ascii="Arial" w:eastAsia="Times New Roman" w:hAnsi="Arial" w:cs="Arial"/>
                <w:b/>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5065C3" w:rsidRDefault="00FB6465" w:rsidP="00CF5155">
            <w:pPr>
              <w:spacing w:after="0" w:line="240" w:lineRule="auto"/>
              <w:jc w:val="center"/>
              <w:rPr>
                <w:rFonts w:ascii="Arial" w:eastAsia="Times New Roman" w:hAnsi="Arial" w:cs="Arial"/>
                <w:sz w:val="20"/>
                <w:szCs w:val="20"/>
              </w:rPr>
            </w:pPr>
            <w:r w:rsidRPr="005065C3">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5065C3" w:rsidRDefault="00C018F6" w:rsidP="00CF5155">
            <w:pPr>
              <w:spacing w:after="0" w:line="240" w:lineRule="auto"/>
              <w:jc w:val="center"/>
              <w:rPr>
                <w:rFonts w:ascii="Arial" w:eastAsia="Times New Roman" w:hAnsi="Arial" w:cs="Arial"/>
                <w:sz w:val="20"/>
                <w:szCs w:val="20"/>
              </w:rPr>
            </w:pPr>
            <w:r w:rsidRPr="005065C3">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55"/>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CF5155" w:rsidRPr="00465654" w:rsidRDefault="00CF5155" w:rsidP="00CF5155">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CF5155" w:rsidRPr="00300148" w:rsidTr="003A2BD9">
        <w:trPr>
          <w:trHeight w:val="255"/>
        </w:trPr>
        <w:tc>
          <w:tcPr>
            <w:tcW w:w="550" w:type="dxa"/>
            <w:shd w:val="clear" w:color="auto" w:fill="EAEAEA"/>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CF5155" w:rsidRPr="00300148" w:rsidTr="003A2BD9">
        <w:trPr>
          <w:trHeight w:val="270"/>
        </w:trPr>
        <w:tc>
          <w:tcPr>
            <w:tcW w:w="550" w:type="dxa"/>
            <w:shd w:val="clear" w:color="auto" w:fill="FFFFFF" w:themeFill="background1"/>
          </w:tcPr>
          <w:p w:rsidR="00CF5155" w:rsidRPr="001C3DC5" w:rsidRDefault="00CF5155" w:rsidP="00CF5155">
            <w:pPr>
              <w:spacing w:after="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113</w:t>
            </w:r>
          </w:p>
        </w:tc>
        <w:tc>
          <w:tcPr>
            <w:tcW w:w="3230" w:type="dxa"/>
            <w:shd w:val="clear" w:color="auto" w:fill="FFFFFF" w:themeFill="background1"/>
            <w:noWrap/>
            <w:vAlign w:val="bottom"/>
            <w:hideMark/>
          </w:tcPr>
          <w:p w:rsidR="00CF5155" w:rsidRPr="00300148" w:rsidRDefault="00CF5155" w:rsidP="00CF5155">
            <w:pPr>
              <w:spacing w:after="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CF5155" w:rsidRPr="00300148" w:rsidRDefault="00CF5155" w:rsidP="00CF5155">
            <w:pPr>
              <w:spacing w:after="0" w:line="240" w:lineRule="auto"/>
              <w:jc w:val="right"/>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CF5155" w:rsidRPr="005065C3" w:rsidRDefault="00C018F6" w:rsidP="00CF5155">
            <w:pPr>
              <w:spacing w:after="0" w:line="240" w:lineRule="auto"/>
              <w:jc w:val="center"/>
              <w:rPr>
                <w:rFonts w:ascii="Arial" w:eastAsia="Times New Roman" w:hAnsi="Arial" w:cs="Arial"/>
                <w:sz w:val="20"/>
                <w:szCs w:val="20"/>
              </w:rPr>
            </w:pPr>
            <w:r w:rsidRPr="005065C3">
              <w:rPr>
                <w:rFonts w:ascii="Arial" w:eastAsia="Times New Roman" w:hAnsi="Arial" w:cs="Arial"/>
                <w:sz w:val="20"/>
                <w:szCs w:val="20"/>
              </w:rPr>
              <w:t>y</w:t>
            </w:r>
          </w:p>
        </w:tc>
        <w:tc>
          <w:tcPr>
            <w:tcW w:w="2024"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CF5155" w:rsidRPr="00300148" w:rsidRDefault="00CF5155" w:rsidP="00CF5155">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CF5155" w:rsidRDefault="00CF5155"/>
    <w:sectPr w:rsidR="00CF5155" w:rsidSect="00C27E37">
      <w:headerReference w:type="default" r:id="rId11"/>
      <w:footerReference w:type="default" r:id="rId12"/>
      <w:pgSz w:w="12240" w:h="15840"/>
      <w:pgMar w:top="720"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ori Pillsbury" w:date="2013-07-25T13:19:00Z" w:initials="LAP">
    <w:p w:rsidR="00960381" w:rsidRDefault="00960381">
      <w:pPr>
        <w:pStyle w:val="CommentText"/>
      </w:pPr>
      <w:r>
        <w:rPr>
          <w:rStyle w:val="CommentReference"/>
        </w:rPr>
        <w:annotationRef/>
      </w:r>
      <w:r>
        <w:t>Perhaps insert a reference to Table 30 here?</w:t>
      </w:r>
    </w:p>
  </w:comment>
  <w:comment w:id="1" w:author="Michael Thomas Poulsen" w:date="2013-07-23T11:28:00Z" w:initials="mtp">
    <w:p w:rsidR="00620BCE" w:rsidRDefault="00620BCE">
      <w:pPr>
        <w:pStyle w:val="CommentText"/>
      </w:pPr>
      <w:r>
        <w:rPr>
          <w:rStyle w:val="CommentReference"/>
        </w:rPr>
        <w:annotationRef/>
      </w:r>
      <w:r>
        <w:t xml:space="preserve"> I suggest stating explicitly in the footnote that the values are based on regional background levels. You can add that the risk levels at background concentrations are approximately 1 x 10</w:t>
      </w:r>
      <w:r>
        <w:rPr>
          <w:vertAlign w:val="superscript"/>
        </w:rPr>
        <w:t>-5</w:t>
      </w:r>
      <w:r>
        <w:t xml:space="preserve"> and 1 x 10</w:t>
      </w:r>
      <w:r>
        <w:rPr>
          <w:vertAlign w:val="superscript"/>
        </w:rPr>
        <w:t>-4</w:t>
      </w:r>
      <w:r>
        <w:t>. I would not say 1.1 x 10</w:t>
      </w:r>
      <w:r>
        <w:rPr>
          <w:vertAlign w:val="superscript"/>
        </w:rPr>
        <w:t>-5</w:t>
      </w:r>
      <w:r>
        <w:t xml:space="preserve"> because this implies too much precision in the value. EPA and DEQ cleanup guidance says do not report cancer risk estimates to more than one significant digit.</w:t>
      </w:r>
    </w:p>
  </w:comment>
  <w:comment w:id="2" w:author="Michael Thomas Poulsen" w:date="2013-07-23T11:30:00Z" w:initials="mtp">
    <w:p w:rsidR="00620BCE" w:rsidRDefault="00620BCE" w:rsidP="00620BCE">
      <w:pPr>
        <w:pStyle w:val="NoSpacing"/>
      </w:pPr>
      <w:r>
        <w:rPr>
          <w:rStyle w:val="CommentReference"/>
        </w:rPr>
        <w:annotationRef/>
      </w:r>
      <w:r>
        <w:t>I would move footnotes to the end of the table, but that’s just a formatting preference.</w:t>
      </w:r>
    </w:p>
  </w:comment>
  <w:comment w:id="3" w:author="Lori Pillsbury" w:date="2013-07-25T13:20:00Z" w:initials="LAP">
    <w:p w:rsidR="00960381" w:rsidRDefault="00960381">
      <w:pPr>
        <w:pStyle w:val="CommentText"/>
      </w:pPr>
      <w:r>
        <w:rPr>
          <w:rStyle w:val="CommentReference"/>
        </w:rPr>
        <w:annotationRef/>
      </w:r>
      <w:r>
        <w:t xml:space="preserve">I </w:t>
      </w:r>
      <w:r>
        <w:t>agree.</w:t>
      </w:r>
    </w:p>
  </w:comment>
  <w:comment w:id="4" w:author="Michael Thomas Poulsen" w:date="2013-07-23T11:15:00Z" w:initials="mtp">
    <w:p w:rsidR="00820E3B" w:rsidRDefault="00820E3B">
      <w:pPr>
        <w:pStyle w:val="CommentText"/>
      </w:pPr>
      <w:r>
        <w:rPr>
          <w:rStyle w:val="CommentReference"/>
        </w:rPr>
        <w:annotationRef/>
      </w:r>
      <w:r>
        <w:t>We say the barium WQC of 1,000 ug/L is based on the MCL, but the MCL is 2,000 ug/L. “Based on” doesn’t necessarily mean equal to, but I wanted to call attention to this.</w:t>
      </w:r>
    </w:p>
  </w:comment>
  <w:comment w:id="5" w:author="Michael Thomas Poulsen" w:date="2013-07-23T11:18:00Z" w:initials="mtp">
    <w:p w:rsidR="00820E3B" w:rsidRDefault="00820E3B">
      <w:pPr>
        <w:pStyle w:val="CommentText"/>
      </w:pPr>
      <w:r>
        <w:rPr>
          <w:rStyle w:val="CommentReference"/>
        </w:rPr>
        <w:annotationRef/>
      </w:r>
      <w:r>
        <w:t>See barium comment. I don’t see 2,4,5-TP in EPA’s AWQC or MCL tables.</w:t>
      </w:r>
    </w:p>
  </w:comment>
  <w:comment w:id="6" w:author="Michael Thomas Poulsen" w:date="2013-07-23T11:16:00Z" w:initials="mtp">
    <w:p w:rsidR="00820E3B" w:rsidRDefault="00820E3B">
      <w:pPr>
        <w:pStyle w:val="CommentText"/>
      </w:pPr>
      <w:r>
        <w:rPr>
          <w:rStyle w:val="CommentReference"/>
        </w:rPr>
        <w:annotationRef/>
      </w:r>
      <w:r>
        <w:t>See barium comment. 2,4-D WQC = 100 ug/L, MCL = 70 ug/L</w:t>
      </w:r>
    </w:p>
  </w:comment>
  <w:comment w:id="7" w:author="Michael Thomas Poulsen" w:date="2013-07-23T11:14:00Z" w:initials="mtp">
    <w:p w:rsidR="00820E3B" w:rsidRDefault="00820E3B">
      <w:pPr>
        <w:pStyle w:val="CommentText"/>
      </w:pPr>
      <w:r>
        <w:rPr>
          <w:rStyle w:val="CommentReference"/>
        </w:rPr>
        <w:annotationRef/>
      </w:r>
      <w:r>
        <w:t>Chromium -- EPA does not list an AWQC because they say chromium has a more stringent MCL. Why doesn’t EPA list the MCL in the AWQC table? They do for other chemicals. To me not listing an AWQC implies that it is not toxic enough to be concerned about, but the fact that chromium has an MCL is important (even if it is outdated). EPA at least includes chromium in their table, although without a value. You might consider showing chromium with its MCL, although this would not be consistent with EPA.</w:t>
      </w:r>
    </w:p>
  </w:comment>
  <w:comment w:id="8" w:author="Michael Thomas Poulsen" w:date="2013-07-23T11:20:00Z" w:initials="mtp">
    <w:p w:rsidR="00820E3B" w:rsidRDefault="00820E3B">
      <w:pPr>
        <w:pStyle w:val="CommentText"/>
      </w:pPr>
      <w:r>
        <w:rPr>
          <w:rStyle w:val="CommentReference"/>
        </w:rPr>
        <w:annotationRef/>
      </w:r>
      <w:r>
        <w:t>I obviously did not check every value, but for some reason I happened to notice that our value for endrin is not a factor of 10 lower than EPA’s value (DEQ = 0.024 ug/L v. EPA 0.060 ug/L).</w:t>
      </w:r>
    </w:p>
  </w:comment>
  <w:comment w:id="9" w:author="Michael Thomas Poulsen" w:date="2013-07-23T11:17:00Z" w:initials="mtp">
    <w:p w:rsidR="00820E3B" w:rsidRDefault="00820E3B">
      <w:pPr>
        <w:pStyle w:val="CommentText"/>
      </w:pPr>
      <w:r>
        <w:rPr>
          <w:rStyle w:val="CommentReference"/>
        </w:rPr>
        <w:annotationRef/>
      </w:r>
      <w:r>
        <w:t>See barium comment. Methoxychlor WQC = 100 ug/L, MCL = 40 ug/L.</w:t>
      </w:r>
    </w:p>
  </w:comment>
  <w:comment w:id="10" w:author="Michael Thomas Poulsen" w:date="2013-07-23T11:28:00Z" w:initials="mtp">
    <w:p w:rsidR="00820E3B" w:rsidRDefault="00820E3B">
      <w:pPr>
        <w:pStyle w:val="CommentText"/>
      </w:pPr>
      <w:r>
        <w:rPr>
          <w:rStyle w:val="CommentReference"/>
        </w:rPr>
        <w:annotationRef/>
      </w:r>
      <w:r w:rsidR="00620BCE">
        <w:t>See barium comment. M</w:t>
      </w:r>
      <w:r>
        <w:t xml:space="preserve">ethylmercury is not exactly a factor of 10 </w:t>
      </w:r>
      <w:r w:rsidR="00620BCE">
        <w:t xml:space="preserve">different from EPA </w:t>
      </w:r>
      <w:r>
        <w:t>(DEQ = 0.04 mg/kg v. EPA 0.3 mg/kg tissue)</w:t>
      </w:r>
      <w:r w:rsidR="00620BCE">
        <w:t>.</w:t>
      </w:r>
    </w:p>
  </w:comment>
  <w:comment w:id="11" w:author="Michael Thomas Poulsen" w:date="2013-07-23T11:17:00Z" w:initials="mtp">
    <w:p w:rsidR="00820E3B" w:rsidRDefault="00820E3B">
      <w:pPr>
        <w:pStyle w:val="CommentText"/>
      </w:pPr>
      <w:r>
        <w:rPr>
          <w:rStyle w:val="CommentReference"/>
        </w:rPr>
        <w:annotationRef/>
      </w:r>
      <w:r>
        <w:t>See barium comment. Nitrate WQC = MCL = 10,000 ug/L.</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E3B" w:rsidRDefault="00820E3B" w:rsidP="006F4ED6">
      <w:pPr>
        <w:spacing w:after="0" w:line="240" w:lineRule="auto"/>
      </w:pPr>
      <w:r>
        <w:separator/>
      </w:r>
    </w:p>
  </w:endnote>
  <w:endnote w:type="continuationSeparator" w:id="0">
    <w:p w:rsidR="00820E3B" w:rsidRDefault="00820E3B" w:rsidP="006F4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76017"/>
      <w:docPartObj>
        <w:docPartGallery w:val="Page Numbers (Bottom of Page)"/>
        <w:docPartUnique/>
      </w:docPartObj>
    </w:sdtPr>
    <w:sdtContent>
      <w:sdt>
        <w:sdtPr>
          <w:id w:val="565050477"/>
          <w:docPartObj>
            <w:docPartGallery w:val="Page Numbers (Top of Page)"/>
            <w:docPartUnique/>
          </w:docPartObj>
        </w:sdtPr>
        <w:sdtContent>
          <w:p w:rsidR="00820E3B" w:rsidRDefault="00820E3B">
            <w:pPr>
              <w:pStyle w:val="Footer"/>
              <w:jc w:val="center"/>
            </w:pPr>
            <w:r>
              <w:t xml:space="preserve">Page </w:t>
            </w:r>
            <w:r w:rsidR="00907EB7">
              <w:rPr>
                <w:b/>
                <w:sz w:val="24"/>
                <w:szCs w:val="24"/>
              </w:rPr>
              <w:fldChar w:fldCharType="begin"/>
            </w:r>
            <w:r>
              <w:rPr>
                <w:b/>
              </w:rPr>
              <w:instrText xml:space="preserve"> PAGE </w:instrText>
            </w:r>
            <w:r w:rsidR="00907EB7">
              <w:rPr>
                <w:b/>
                <w:sz w:val="24"/>
                <w:szCs w:val="24"/>
              </w:rPr>
              <w:fldChar w:fldCharType="separate"/>
            </w:r>
            <w:r w:rsidR="002A2A5B">
              <w:rPr>
                <w:b/>
                <w:noProof/>
              </w:rPr>
              <w:t>5</w:t>
            </w:r>
            <w:r w:rsidR="00907EB7">
              <w:rPr>
                <w:b/>
                <w:sz w:val="24"/>
                <w:szCs w:val="24"/>
              </w:rPr>
              <w:fldChar w:fldCharType="end"/>
            </w:r>
            <w:r>
              <w:t xml:space="preserve"> of </w:t>
            </w:r>
            <w:r w:rsidR="00907EB7">
              <w:rPr>
                <w:b/>
                <w:sz w:val="24"/>
                <w:szCs w:val="24"/>
              </w:rPr>
              <w:fldChar w:fldCharType="begin"/>
            </w:r>
            <w:r>
              <w:rPr>
                <w:b/>
              </w:rPr>
              <w:instrText xml:space="preserve"> NUMPAGES  </w:instrText>
            </w:r>
            <w:r w:rsidR="00907EB7">
              <w:rPr>
                <w:b/>
                <w:sz w:val="24"/>
                <w:szCs w:val="24"/>
              </w:rPr>
              <w:fldChar w:fldCharType="separate"/>
            </w:r>
            <w:r w:rsidR="002A2A5B">
              <w:rPr>
                <w:b/>
                <w:noProof/>
              </w:rPr>
              <w:t>5</w:t>
            </w:r>
            <w:r w:rsidR="00907EB7">
              <w:rPr>
                <w:b/>
                <w:sz w:val="24"/>
                <w:szCs w:val="24"/>
              </w:rPr>
              <w:fldChar w:fldCharType="end"/>
            </w:r>
          </w:p>
        </w:sdtContent>
      </w:sdt>
    </w:sdtContent>
  </w:sdt>
  <w:p w:rsidR="00820E3B" w:rsidRDefault="00820E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E3B" w:rsidRDefault="00820E3B" w:rsidP="006F4ED6">
      <w:pPr>
        <w:spacing w:after="0" w:line="240" w:lineRule="auto"/>
      </w:pPr>
      <w:r>
        <w:separator/>
      </w:r>
    </w:p>
  </w:footnote>
  <w:footnote w:type="continuationSeparator" w:id="0">
    <w:p w:rsidR="00820E3B" w:rsidRDefault="00820E3B" w:rsidP="006F4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E3B" w:rsidRPr="00420101" w:rsidRDefault="00820E3B">
    <w:pPr>
      <w:pStyle w:val="Header"/>
      <w:rPr>
        <w:rFonts w:ascii="Arial" w:hAnsi="Arial" w:cs="Arial"/>
      </w:rPr>
    </w:pPr>
    <w:r>
      <w:rPr>
        <w:noProof/>
      </w:rPr>
      <w:drawing>
        <wp:anchor distT="0" distB="0" distL="114300" distR="114300" simplePos="0" relativeHeight="251658240" behindDoc="1" locked="0" layoutInCell="1" allowOverlap="1">
          <wp:simplePos x="0" y="0"/>
          <wp:positionH relativeFrom="column">
            <wp:posOffset>1905</wp:posOffset>
          </wp:positionH>
          <wp:positionV relativeFrom="paragraph">
            <wp:posOffset>-249555</wp:posOffset>
          </wp:positionV>
          <wp:extent cx="316230" cy="748030"/>
          <wp:effectExtent l="19050" t="0" r="7620" b="0"/>
          <wp:wrapTight wrapText="bothSides">
            <wp:wrapPolygon edited="0">
              <wp:start x="-1301" y="0"/>
              <wp:lineTo x="-1301" y="20903"/>
              <wp:lineTo x="22120" y="20903"/>
              <wp:lineTo x="22120" y="0"/>
              <wp:lineTo x="-130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16230" cy="748030"/>
                  </a:xfrm>
                  <a:prstGeom prst="rect">
                    <a:avLst/>
                  </a:prstGeom>
                </pic:spPr>
              </pic:pic>
            </a:graphicData>
          </a:graphic>
        </wp:anchor>
      </w:drawing>
    </w:r>
    <w:r>
      <w:rPr>
        <w:rFonts w:ascii="Arial" w:hAnsi="Arial" w:cs="Arial"/>
      </w:rPr>
      <w:t xml:space="preserve">          OR Department of Environmental Quality</w:t>
    </w:r>
    <w:r>
      <w:rPr>
        <w:rFonts w:ascii="Arial" w:hAnsi="Arial" w:cs="Arial"/>
      </w:rPr>
      <w:tab/>
    </w:r>
  </w:p>
  <w:p w:rsidR="00820E3B" w:rsidRDefault="00820E3B">
    <w:pPr>
      <w:pStyle w:val="Header"/>
      <w:rPr>
        <w:rFonts w:ascii="Arial" w:hAnsi="Arial" w:cs="Arial"/>
      </w:rPr>
    </w:pPr>
    <w:r>
      <w:rPr>
        <w:rFonts w:ascii="Arial" w:hAnsi="Arial" w:cs="Arial"/>
      </w:rPr>
      <w:t xml:space="preserve">          Table 40:  Human Health Water Quality Criteria for Toxic Pollutants</w:t>
    </w:r>
  </w:p>
  <w:p w:rsidR="00820E3B" w:rsidRPr="00420101" w:rsidRDefault="00820E3B">
    <w:pPr>
      <w:pStyle w:val="Header"/>
      <w:rPr>
        <w:rFonts w:ascii="Arial" w:hAnsi="Arial" w:cs="Arial"/>
      </w:rPr>
    </w:pPr>
    <w:r>
      <w:rPr>
        <w:rFonts w:ascii="Arial" w:hAnsi="Arial" w:cs="Arial"/>
      </w:rPr>
      <w:t xml:space="preserve">          Internal Review</w:t>
    </w:r>
    <w:r>
      <w:rPr>
        <w:rFonts w:ascii="Arial" w:hAnsi="Arial" w:cs="Arial"/>
      </w:rPr>
      <w:tab/>
    </w:r>
  </w:p>
  <w:p w:rsidR="00820E3B" w:rsidRDefault="00820E3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1">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2"/>
  </w:num>
  <w:num w:numId="2">
    <w:abstractNumId w:val="2"/>
  </w:num>
  <w:num w:numId="3">
    <w:abstractNumId w:val="22"/>
  </w:num>
  <w:num w:numId="4">
    <w:abstractNumId w:val="0"/>
  </w:num>
  <w:num w:numId="5">
    <w:abstractNumId w:val="24"/>
  </w:num>
  <w:num w:numId="6">
    <w:abstractNumId w:val="16"/>
  </w:num>
  <w:num w:numId="7">
    <w:abstractNumId w:val="23"/>
  </w:num>
  <w:num w:numId="8">
    <w:abstractNumId w:val="3"/>
  </w:num>
  <w:num w:numId="9">
    <w:abstractNumId w:val="4"/>
  </w:num>
  <w:num w:numId="10">
    <w:abstractNumId w:val="9"/>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8"/>
  </w:num>
  <w:num w:numId="19">
    <w:abstractNumId w:val="5"/>
  </w:num>
  <w:num w:numId="20">
    <w:abstractNumId w:val="15"/>
  </w:num>
  <w:num w:numId="21">
    <w:abstractNumId w:val="1"/>
  </w:num>
  <w:num w:numId="22">
    <w:abstractNumId w:val="14"/>
  </w:num>
  <w:num w:numId="23">
    <w:abstractNumId w:val="13"/>
  </w:num>
  <w:num w:numId="24">
    <w:abstractNumId w:val="10"/>
  </w:num>
  <w:num w:numId="25">
    <w:abstractNumId w:val="21"/>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trackRevisions/>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rsids>
    <w:rsidRoot w:val="00CF5155"/>
    <w:rsid w:val="000179F2"/>
    <w:rsid w:val="00023CEE"/>
    <w:rsid w:val="000258C4"/>
    <w:rsid w:val="000A6C10"/>
    <w:rsid w:val="000F3789"/>
    <w:rsid w:val="00117E8F"/>
    <w:rsid w:val="00131E49"/>
    <w:rsid w:val="001621F8"/>
    <w:rsid w:val="0016793B"/>
    <w:rsid w:val="001B54E4"/>
    <w:rsid w:val="001D0F67"/>
    <w:rsid w:val="001E6B84"/>
    <w:rsid w:val="002A2A5B"/>
    <w:rsid w:val="003A2BD9"/>
    <w:rsid w:val="003F4A08"/>
    <w:rsid w:val="00420101"/>
    <w:rsid w:val="00462930"/>
    <w:rsid w:val="00481042"/>
    <w:rsid w:val="00482C0E"/>
    <w:rsid w:val="004C563E"/>
    <w:rsid w:val="004E2F83"/>
    <w:rsid w:val="004E42EB"/>
    <w:rsid w:val="005065C3"/>
    <w:rsid w:val="005311ED"/>
    <w:rsid w:val="00564DD6"/>
    <w:rsid w:val="005A4634"/>
    <w:rsid w:val="00620BCE"/>
    <w:rsid w:val="00637124"/>
    <w:rsid w:val="00664F93"/>
    <w:rsid w:val="006768F9"/>
    <w:rsid w:val="0068196E"/>
    <w:rsid w:val="006D2D5E"/>
    <w:rsid w:val="006F4ED6"/>
    <w:rsid w:val="00797187"/>
    <w:rsid w:val="007C21A9"/>
    <w:rsid w:val="00820E3B"/>
    <w:rsid w:val="008510CC"/>
    <w:rsid w:val="008B0F69"/>
    <w:rsid w:val="008D1534"/>
    <w:rsid w:val="00907EB7"/>
    <w:rsid w:val="00960381"/>
    <w:rsid w:val="00983400"/>
    <w:rsid w:val="00A00924"/>
    <w:rsid w:val="00A04792"/>
    <w:rsid w:val="00A163B8"/>
    <w:rsid w:val="00A910F1"/>
    <w:rsid w:val="00B05155"/>
    <w:rsid w:val="00B73658"/>
    <w:rsid w:val="00BE64FF"/>
    <w:rsid w:val="00C018F6"/>
    <w:rsid w:val="00C27E37"/>
    <w:rsid w:val="00C531FF"/>
    <w:rsid w:val="00C540C9"/>
    <w:rsid w:val="00C7398D"/>
    <w:rsid w:val="00C91135"/>
    <w:rsid w:val="00CF5155"/>
    <w:rsid w:val="00D6590A"/>
    <w:rsid w:val="00D66464"/>
    <w:rsid w:val="00DE1987"/>
    <w:rsid w:val="00E1303F"/>
    <w:rsid w:val="00E71E8A"/>
    <w:rsid w:val="00F40777"/>
    <w:rsid w:val="00FB6465"/>
    <w:rsid w:val="00FC119F"/>
    <w:rsid w:val="00FE7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155"/>
  </w:style>
  <w:style w:type="paragraph" w:styleId="Heading3">
    <w:name w:val="heading 3"/>
    <w:basedOn w:val="Normal"/>
    <w:next w:val="Normal"/>
    <w:link w:val="Heading3Char"/>
    <w:uiPriority w:val="9"/>
    <w:qFormat/>
    <w:rsid w:val="00CF515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155"/>
    <w:rPr>
      <w:rFonts w:ascii="Cambria" w:eastAsia="Times New Roman" w:hAnsi="Cambria" w:cs="Times New Roman"/>
      <w:b/>
      <w:bCs/>
      <w:color w:val="4F81BD"/>
      <w:sz w:val="20"/>
      <w:szCs w:val="20"/>
    </w:rPr>
  </w:style>
  <w:style w:type="character" w:styleId="Hyperlink">
    <w:name w:val="Hyperlink"/>
    <w:basedOn w:val="DefaultParagraphFont"/>
    <w:uiPriority w:val="99"/>
    <w:unhideWhenUsed/>
    <w:rsid w:val="00CF5155"/>
    <w:rPr>
      <w:color w:val="0000FF" w:themeColor="hyperlink"/>
      <w:u w:val="single"/>
    </w:rPr>
  </w:style>
  <w:style w:type="paragraph" w:styleId="NormalWeb">
    <w:name w:val="Normal (Web)"/>
    <w:basedOn w:val="Normal"/>
    <w:uiPriority w:val="99"/>
    <w:unhideWhenUsed/>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51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155"/>
  </w:style>
  <w:style w:type="paragraph" w:styleId="Footer">
    <w:name w:val="footer"/>
    <w:basedOn w:val="Normal"/>
    <w:link w:val="FooterChar"/>
    <w:uiPriority w:val="99"/>
    <w:unhideWhenUsed/>
    <w:rsid w:val="00CF51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155"/>
  </w:style>
  <w:style w:type="character" w:customStyle="1" w:styleId="BalloonTextChar">
    <w:name w:val="Balloon Text Char"/>
    <w:basedOn w:val="DefaultParagraphFont"/>
    <w:link w:val="BalloonText"/>
    <w:semiHidden/>
    <w:rsid w:val="00CF5155"/>
    <w:rPr>
      <w:rFonts w:ascii="Tahoma" w:hAnsi="Tahoma" w:cs="Tahoma"/>
      <w:sz w:val="16"/>
      <w:szCs w:val="16"/>
    </w:rPr>
  </w:style>
  <w:style w:type="paragraph" w:styleId="BalloonText">
    <w:name w:val="Balloon Text"/>
    <w:basedOn w:val="Normal"/>
    <w:link w:val="BalloonTextChar"/>
    <w:semiHidden/>
    <w:unhideWhenUsed/>
    <w:rsid w:val="00CF5155"/>
    <w:pPr>
      <w:spacing w:after="0" w:line="240" w:lineRule="auto"/>
    </w:pPr>
    <w:rPr>
      <w:rFonts w:ascii="Tahoma" w:hAnsi="Tahoma" w:cs="Tahoma"/>
      <w:sz w:val="16"/>
      <w:szCs w:val="16"/>
    </w:rPr>
  </w:style>
  <w:style w:type="paragraph" w:styleId="ListParagraph">
    <w:name w:val="List Paragraph"/>
    <w:basedOn w:val="Normal"/>
    <w:uiPriority w:val="34"/>
    <w:qFormat/>
    <w:rsid w:val="00CF5155"/>
    <w:pPr>
      <w:ind w:left="720"/>
      <w:contextualSpacing/>
    </w:pPr>
  </w:style>
  <w:style w:type="character" w:customStyle="1" w:styleId="FootnoteTextChar">
    <w:name w:val="Footnote Text Char"/>
    <w:basedOn w:val="DefaultParagraphFont"/>
    <w:link w:val="FootnoteText"/>
    <w:uiPriority w:val="99"/>
    <w:semiHidden/>
    <w:rsid w:val="00CF5155"/>
    <w:rPr>
      <w:sz w:val="20"/>
      <w:szCs w:val="20"/>
    </w:rPr>
  </w:style>
  <w:style w:type="paragraph" w:styleId="FootnoteText">
    <w:name w:val="footnote text"/>
    <w:basedOn w:val="Normal"/>
    <w:link w:val="FootnoteTextChar"/>
    <w:uiPriority w:val="99"/>
    <w:semiHidden/>
    <w:unhideWhenUsed/>
    <w:rsid w:val="00CF5155"/>
    <w:pPr>
      <w:spacing w:after="0" w:line="240" w:lineRule="auto"/>
    </w:pPr>
    <w:rPr>
      <w:sz w:val="20"/>
      <w:szCs w:val="20"/>
    </w:rPr>
  </w:style>
  <w:style w:type="character" w:styleId="Emphasis">
    <w:name w:val="Emphasis"/>
    <w:basedOn w:val="DefaultParagraphFont"/>
    <w:uiPriority w:val="20"/>
    <w:qFormat/>
    <w:rsid w:val="00CF5155"/>
    <w:rPr>
      <w:b w:val="0"/>
      <w:bCs w:val="0"/>
      <w:i w:val="0"/>
      <w:iCs w:val="0"/>
    </w:rPr>
  </w:style>
  <w:style w:type="paragraph" w:customStyle="1" w:styleId="fileinfo">
    <w:name w:val="fileinfo"/>
    <w:basedOn w:val="Normal"/>
    <w:rsid w:val="00CF51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F515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6">
    <w:name w:val="CM6"/>
    <w:basedOn w:val="Default"/>
    <w:next w:val="Default"/>
    <w:uiPriority w:val="99"/>
    <w:rsid w:val="00CF5155"/>
    <w:pPr>
      <w:spacing w:line="278" w:lineRule="atLeast"/>
    </w:pPr>
    <w:rPr>
      <w:color w:val="auto"/>
    </w:rPr>
  </w:style>
  <w:style w:type="paragraph" w:styleId="CommentText">
    <w:name w:val="annotation text"/>
    <w:basedOn w:val="Normal"/>
    <w:link w:val="CommentTextChar"/>
    <w:uiPriority w:val="99"/>
    <w:unhideWhenUsed/>
    <w:rsid w:val="00CF5155"/>
    <w:pPr>
      <w:spacing w:line="240" w:lineRule="auto"/>
    </w:pPr>
    <w:rPr>
      <w:sz w:val="20"/>
      <w:szCs w:val="20"/>
    </w:rPr>
  </w:style>
  <w:style w:type="character" w:customStyle="1" w:styleId="CommentTextChar">
    <w:name w:val="Comment Text Char"/>
    <w:basedOn w:val="DefaultParagraphFont"/>
    <w:link w:val="CommentText"/>
    <w:uiPriority w:val="99"/>
    <w:rsid w:val="00CF5155"/>
    <w:rPr>
      <w:sz w:val="20"/>
      <w:szCs w:val="20"/>
    </w:rPr>
  </w:style>
  <w:style w:type="character" w:customStyle="1" w:styleId="CommentSubjectChar">
    <w:name w:val="Comment Subject Char"/>
    <w:basedOn w:val="CommentTextChar"/>
    <w:link w:val="CommentSubject"/>
    <w:uiPriority w:val="99"/>
    <w:semiHidden/>
    <w:rsid w:val="00CF5155"/>
    <w:rPr>
      <w:b/>
      <w:bCs/>
    </w:rPr>
  </w:style>
  <w:style w:type="paragraph" w:styleId="CommentSubject">
    <w:name w:val="annotation subject"/>
    <w:basedOn w:val="CommentText"/>
    <w:next w:val="CommentText"/>
    <w:link w:val="CommentSubjectChar"/>
    <w:uiPriority w:val="99"/>
    <w:semiHidden/>
    <w:unhideWhenUsed/>
    <w:rsid w:val="00CF5155"/>
    <w:rPr>
      <w:b/>
      <w:bCs/>
    </w:rPr>
  </w:style>
  <w:style w:type="character" w:customStyle="1" w:styleId="PlainTextChar">
    <w:name w:val="Plain Text Char"/>
    <w:basedOn w:val="DefaultParagraphFont"/>
    <w:link w:val="PlainText"/>
    <w:uiPriority w:val="99"/>
    <w:semiHidden/>
    <w:rsid w:val="00CF5155"/>
    <w:rPr>
      <w:rFonts w:ascii="Consolas" w:hAnsi="Consolas"/>
      <w:sz w:val="21"/>
      <w:szCs w:val="21"/>
    </w:rPr>
  </w:style>
  <w:style w:type="paragraph" w:styleId="PlainText">
    <w:name w:val="Plain Text"/>
    <w:basedOn w:val="Normal"/>
    <w:link w:val="PlainTextChar"/>
    <w:uiPriority w:val="99"/>
    <w:semiHidden/>
    <w:unhideWhenUsed/>
    <w:rsid w:val="00CF5155"/>
    <w:pPr>
      <w:spacing w:after="0" w:line="240" w:lineRule="auto"/>
    </w:pPr>
    <w:rPr>
      <w:rFonts w:ascii="Consolas" w:hAnsi="Consolas"/>
      <w:sz w:val="21"/>
      <w:szCs w:val="21"/>
    </w:rPr>
  </w:style>
  <w:style w:type="paragraph" w:styleId="Caption">
    <w:name w:val="caption"/>
    <w:basedOn w:val="Normal"/>
    <w:next w:val="Normal"/>
    <w:qFormat/>
    <w:rsid w:val="00CF5155"/>
    <w:pPr>
      <w:spacing w:after="0" w:line="240" w:lineRule="auto"/>
    </w:pPr>
    <w:rPr>
      <w:rFonts w:ascii="Times New Roman" w:eastAsia="Times New Roman" w:hAnsi="Times New Roman" w:cs="Times New Roman"/>
      <w:b/>
      <w:sz w:val="20"/>
      <w:szCs w:val="20"/>
      <w:lang w:eastAsia="ko-KR"/>
    </w:rPr>
  </w:style>
  <w:style w:type="paragraph" w:styleId="HTMLPreformatted">
    <w:name w:val="HTML Preformatted"/>
    <w:basedOn w:val="Normal"/>
    <w:link w:val="HTMLPreformattedChar"/>
    <w:uiPriority w:val="99"/>
    <w:rsid w:val="00CF5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CF5155"/>
    <w:rPr>
      <w:rFonts w:ascii="Courier New" w:eastAsia="Times New Roman" w:hAnsi="Courier New" w:cs="Courier New"/>
      <w:color w:val="000000"/>
      <w:sz w:val="20"/>
      <w:szCs w:val="24"/>
    </w:rPr>
  </w:style>
  <w:style w:type="character" w:styleId="PageNumber">
    <w:name w:val="page number"/>
    <w:basedOn w:val="DefaultParagraphFont"/>
    <w:uiPriority w:val="99"/>
    <w:rsid w:val="00CF5155"/>
  </w:style>
  <w:style w:type="paragraph" w:styleId="BodyText">
    <w:name w:val="Body Text"/>
    <w:basedOn w:val="Normal"/>
    <w:link w:val="BodyTextChar"/>
    <w:uiPriority w:val="99"/>
    <w:rsid w:val="00CF515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CF5155"/>
    <w:rPr>
      <w:rFonts w:ascii="Times New Roman" w:eastAsia="Times New Roman" w:hAnsi="Times New Roman" w:cs="Times New Roman"/>
      <w:sz w:val="20"/>
      <w:szCs w:val="20"/>
      <w:lang w:eastAsia="ko-KR"/>
    </w:rPr>
  </w:style>
  <w:style w:type="character" w:styleId="CommentReference">
    <w:name w:val="annotation reference"/>
    <w:basedOn w:val="DefaultParagraphFont"/>
    <w:uiPriority w:val="99"/>
    <w:semiHidden/>
    <w:unhideWhenUsed/>
    <w:rsid w:val="00820E3B"/>
    <w:rPr>
      <w:sz w:val="16"/>
      <w:szCs w:val="16"/>
    </w:rPr>
  </w:style>
  <w:style w:type="paragraph" w:styleId="NoSpacing">
    <w:name w:val="No Spacing"/>
    <w:uiPriority w:val="1"/>
    <w:qFormat/>
    <w:rsid w:val="00620BC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A71B9-F5D2-4043-A3CF-CB2840EB0E86}">
  <ds:schemaRefs>
    <ds:schemaRef ds:uri="http://schemas.microsoft.com/sharepoint/v3/contenttype/forms"/>
  </ds:schemaRefs>
</ds:datastoreItem>
</file>

<file path=customXml/itemProps2.xml><?xml version="1.0" encoding="utf-8"?>
<ds:datastoreItem xmlns:ds="http://schemas.openxmlformats.org/officeDocument/2006/customXml" ds:itemID="{B76C535B-4E52-4712-ACBD-CB8352AD7F2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8E6BFDF-2B00-440E-B9D6-FB4CA3B58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Table 40:  Human Health Water Quality Criteria for Toxic Pollutants</vt:lpstr>
    </vt:vector>
  </TitlesOfParts>
  <Company>State of Oregon Department of Environmental Quality</Company>
  <LinksUpToDate>false</LinksUpToDate>
  <CharactersWithSpaces>10883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40:  Human Health Water Quality Criteria for Toxic Pollutants</dc:title>
  <dc:subject>human health toxics criteria</dc:subject>
  <dc:creator>Andrea Matzke</dc:creator>
  <cp:keywords>Table 40, toxics, human health toxics criteria</cp:keywords>
  <cp:lastModifiedBy>Lori Pillsbury</cp:lastModifiedBy>
  <cp:revision>2</cp:revision>
  <cp:lastPrinted>2013-06-17T18:35:00Z</cp:lastPrinted>
  <dcterms:created xsi:type="dcterms:W3CDTF">2013-07-25T20:23:00Z</dcterms:created>
  <dcterms:modified xsi:type="dcterms:W3CDTF">2013-07-25T20:23:00Z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