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968" w:rsidRDefault="00350968" w:rsidP="00F92616">
      <w:pPr>
        <w:rPr>
          <w:rFonts w:ascii="Times New Roman" w:hAnsi="Times New Roman"/>
          <w:sz w:val="24"/>
          <w:szCs w:val="24"/>
        </w:rPr>
      </w:pPr>
    </w:p>
    <w:p w:rsidR="00350968" w:rsidRDefault="00350968" w:rsidP="0027593B">
      <w:pPr>
        <w:ind w:left="720"/>
        <w:rPr>
          <w:rFonts w:ascii="Times New Roman" w:hAnsi="Times New Roman"/>
          <w:sz w:val="24"/>
          <w:szCs w:val="24"/>
        </w:rPr>
      </w:pPr>
    </w:p>
    <w:p w:rsidR="005C37AA" w:rsidRDefault="0027593B" w:rsidP="0027593B">
      <w:pPr>
        <w:ind w:left="720"/>
        <w:rPr>
          <w:rFonts w:ascii="Times New Roman" w:hAnsi="Times New Roman"/>
          <w:sz w:val="24"/>
          <w:szCs w:val="24"/>
        </w:rPr>
      </w:pPr>
      <w:r>
        <w:rPr>
          <w:rFonts w:ascii="Times New Roman" w:hAnsi="Times New Roman"/>
          <w:sz w:val="24"/>
          <w:szCs w:val="24"/>
        </w:rPr>
        <w:t>To…               </w:t>
      </w:r>
      <w:r w:rsidR="009C5CAD">
        <w:rPr>
          <w:rFonts w:ascii="Times New Roman" w:hAnsi="Times New Roman"/>
          <w:sz w:val="24"/>
          <w:szCs w:val="24"/>
        </w:rPr>
        <w:tab/>
      </w:r>
      <w:hyperlink r:id="rId8" w:history="1">
        <w:r w:rsidR="00350968" w:rsidRPr="00350968">
          <w:rPr>
            <w:rStyle w:val="Hyperlink"/>
            <w:rFonts w:ascii="Times New Roman" w:hAnsi="Times New Roman"/>
            <w:sz w:val="24"/>
            <w:szCs w:val="24"/>
          </w:rPr>
          <w:t>(All DEQ) Executive Management Team</w:t>
        </w:r>
      </w:hyperlink>
      <w:r w:rsidR="00021AF8">
        <w:rPr>
          <w:rFonts w:ascii="Times New Roman" w:hAnsi="Times New Roman"/>
          <w:sz w:val="24"/>
          <w:szCs w:val="24"/>
        </w:rPr>
        <w:t>;</w:t>
      </w:r>
      <w:r w:rsidR="001836B4">
        <w:rPr>
          <w:rFonts w:ascii="Times New Roman" w:hAnsi="Times New Roman"/>
          <w:sz w:val="24"/>
          <w:szCs w:val="24"/>
        </w:rPr>
        <w:t xml:space="preserve"> </w:t>
      </w:r>
    </w:p>
    <w:p w:rsidR="0027593B" w:rsidRDefault="005C37AA" w:rsidP="0027593B">
      <w:pPr>
        <w:ind w:left="72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27593B" w:rsidRDefault="0027593B" w:rsidP="00F93F41">
      <w:pPr>
        <w:ind w:firstLine="720"/>
        <w:rPr>
          <w:rFonts w:ascii="Times New Roman" w:hAnsi="Times New Roman"/>
          <w:sz w:val="24"/>
          <w:szCs w:val="24"/>
        </w:rPr>
      </w:pPr>
      <w:r>
        <w:rPr>
          <w:rFonts w:ascii="Times New Roman" w:hAnsi="Times New Roman"/>
          <w:sz w:val="24"/>
          <w:szCs w:val="24"/>
        </w:rPr>
        <w:t xml:space="preserve">Cc…                </w:t>
      </w:r>
      <w:r w:rsidR="00F93F41">
        <w:rPr>
          <w:rFonts w:ascii="Times New Roman" w:hAnsi="Times New Roman"/>
          <w:sz w:val="24"/>
          <w:szCs w:val="24"/>
        </w:rPr>
        <w:t>Jennifer Wigal</w:t>
      </w:r>
      <w:r w:rsidR="00593CFF">
        <w:rPr>
          <w:rFonts w:ascii="Times New Roman" w:hAnsi="Times New Roman"/>
          <w:sz w:val="24"/>
          <w:szCs w:val="24"/>
        </w:rPr>
        <w:t xml:space="preserve">, </w:t>
      </w:r>
      <w:r w:rsidR="00F93F41">
        <w:rPr>
          <w:rFonts w:ascii="Times New Roman" w:hAnsi="Times New Roman"/>
          <w:sz w:val="24"/>
          <w:szCs w:val="24"/>
        </w:rPr>
        <w:t>Andrea Matzke</w:t>
      </w:r>
      <w:r w:rsidR="001836B4">
        <w:rPr>
          <w:rFonts w:ascii="Times New Roman" w:hAnsi="Times New Roman"/>
          <w:sz w:val="24"/>
          <w:szCs w:val="24"/>
        </w:rPr>
        <w:t>,</w:t>
      </w:r>
      <w:r w:rsidR="00F93F41">
        <w:rPr>
          <w:rFonts w:ascii="Times New Roman" w:hAnsi="Times New Roman"/>
          <w:sz w:val="24"/>
          <w:szCs w:val="24"/>
        </w:rPr>
        <w:t xml:space="preserve"> Chris Clipper</w:t>
      </w:r>
      <w:r w:rsidR="00F92616">
        <w:rPr>
          <w:rFonts w:ascii="Times New Roman" w:hAnsi="Times New Roman"/>
          <w:sz w:val="24"/>
          <w:szCs w:val="24"/>
        </w:rPr>
        <w:t xml:space="preserve">, Maggie </w:t>
      </w:r>
      <w:proofErr w:type="spellStart"/>
      <w:r w:rsidR="00F92616">
        <w:rPr>
          <w:rFonts w:ascii="Times New Roman" w:hAnsi="Times New Roman"/>
          <w:sz w:val="24"/>
          <w:szCs w:val="24"/>
        </w:rPr>
        <w:t>Vandehey</w:t>
      </w:r>
      <w:proofErr w:type="spellEnd"/>
      <w:r w:rsidR="001836B4">
        <w:rPr>
          <w:rFonts w:ascii="Times New Roman" w:hAnsi="Times New Roman"/>
          <w:sz w:val="24"/>
          <w:szCs w:val="24"/>
        </w:rPr>
        <w:t xml:space="preserve"> </w:t>
      </w:r>
      <w:r w:rsidR="00F93F41">
        <w:rPr>
          <w:rFonts w:ascii="Times New Roman" w:hAnsi="Times New Roman"/>
          <w:sz w:val="24"/>
          <w:szCs w:val="24"/>
        </w:rPr>
        <w:t xml:space="preserve">   </w:t>
      </w:r>
    </w:p>
    <w:p w:rsidR="00D77FF6" w:rsidRDefault="0027593B" w:rsidP="00843E70">
      <w:pPr>
        <w:ind w:left="1800" w:hanging="1080"/>
        <w:rPr>
          <w:rFonts w:ascii="Times New Roman" w:hAnsi="Times New Roman"/>
          <w:sz w:val="24"/>
          <w:szCs w:val="24"/>
        </w:rPr>
      </w:pPr>
      <w:r>
        <w:rPr>
          <w:rFonts w:ascii="Times New Roman" w:hAnsi="Times New Roman"/>
          <w:sz w:val="24"/>
          <w:szCs w:val="24"/>
        </w:rPr>
        <w:t>Subject:           RM-</w:t>
      </w:r>
      <w:proofErr w:type="spellStart"/>
      <w:r w:rsidR="00F93F41">
        <w:rPr>
          <w:rFonts w:ascii="Times New Roman" w:hAnsi="Times New Roman"/>
          <w:sz w:val="24"/>
          <w:szCs w:val="24"/>
        </w:rPr>
        <w:t>AquTox</w:t>
      </w:r>
      <w:proofErr w:type="spellEnd"/>
      <w:r w:rsidR="00F93F41">
        <w:rPr>
          <w:rFonts w:ascii="Times New Roman" w:hAnsi="Times New Roman"/>
          <w:sz w:val="24"/>
          <w:szCs w:val="24"/>
        </w:rPr>
        <w:t xml:space="preserve"> 2013</w:t>
      </w:r>
      <w:r w:rsidRPr="00502D83">
        <w:rPr>
          <w:rFonts w:ascii="Times New Roman" w:hAnsi="Times New Roman"/>
          <w:color w:val="000000" w:themeColor="text1"/>
          <w:sz w:val="24"/>
          <w:szCs w:val="24"/>
        </w:rPr>
        <w:t>:</w:t>
      </w:r>
      <w:r>
        <w:rPr>
          <w:rFonts w:ascii="Times New Roman" w:hAnsi="Times New Roman"/>
          <w:sz w:val="24"/>
          <w:szCs w:val="24"/>
        </w:rPr>
        <w:t xml:space="preserve"> </w:t>
      </w:r>
      <w:r w:rsidR="005C37AA">
        <w:rPr>
          <w:rFonts w:ascii="Times New Roman" w:hAnsi="Times New Roman"/>
          <w:sz w:val="24"/>
          <w:szCs w:val="24"/>
        </w:rPr>
        <w:t>Draft Public Notice Preview</w:t>
      </w:r>
    </w:p>
    <w:p w:rsidR="0027593B" w:rsidRPr="009C5CAD" w:rsidRDefault="00D77FF6" w:rsidP="00843E70">
      <w:pPr>
        <w:ind w:left="1800" w:hanging="108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27593B" w:rsidRDefault="0027593B" w:rsidP="0027593B">
      <w:pPr>
        <w:ind w:left="720"/>
        <w:rPr>
          <w:rFonts w:ascii="Times New Roman" w:hAnsi="Times New Roman"/>
          <w:sz w:val="24"/>
          <w:szCs w:val="24"/>
        </w:rPr>
      </w:pPr>
    </w:p>
    <w:p w:rsidR="009C5CAD" w:rsidRPr="005C37AA" w:rsidRDefault="001F3FB7" w:rsidP="0027593B">
      <w:pPr>
        <w:ind w:left="2160"/>
        <w:rPr>
          <w:rFonts w:ascii="Times New Roman" w:hAnsi="Times New Roman"/>
        </w:rPr>
      </w:pPr>
      <w:r w:rsidRPr="005C37AA">
        <w:rPr>
          <w:rFonts w:ascii="Times New Roman" w:hAnsi="Times New Roman"/>
        </w:rPr>
        <w:t xml:space="preserve">The </w:t>
      </w:r>
      <w:r w:rsidR="00C22F74" w:rsidRPr="005C37AA">
        <w:rPr>
          <w:rFonts w:ascii="Times New Roman" w:hAnsi="Times New Roman"/>
        </w:rPr>
        <w:t xml:space="preserve">rulemaking </w:t>
      </w:r>
      <w:r w:rsidR="00345941" w:rsidRPr="005C37AA">
        <w:rPr>
          <w:rFonts w:ascii="Times New Roman" w:hAnsi="Times New Roman"/>
        </w:rPr>
        <w:t>public notice packet</w:t>
      </w:r>
      <w:r w:rsidRPr="005C37AA">
        <w:rPr>
          <w:rFonts w:ascii="Times New Roman" w:hAnsi="Times New Roman"/>
        </w:rPr>
        <w:t xml:space="preserve"> is </w:t>
      </w:r>
      <w:r w:rsidR="00345941" w:rsidRPr="005C37AA">
        <w:rPr>
          <w:rFonts w:ascii="Times New Roman" w:hAnsi="Times New Roman"/>
        </w:rPr>
        <w:t xml:space="preserve">a </w:t>
      </w:r>
      <w:r w:rsidRPr="005C37AA">
        <w:rPr>
          <w:rFonts w:ascii="Times New Roman" w:hAnsi="Times New Roman"/>
        </w:rPr>
        <w:t xml:space="preserve">major </w:t>
      </w:r>
      <w:r w:rsidR="007D56D0" w:rsidRPr="005C37AA">
        <w:rPr>
          <w:rFonts w:ascii="Times New Roman" w:hAnsi="Times New Roman"/>
        </w:rPr>
        <w:t xml:space="preserve">external </w:t>
      </w:r>
      <w:r w:rsidRPr="005C37AA">
        <w:rPr>
          <w:rFonts w:ascii="Times New Roman" w:hAnsi="Times New Roman"/>
        </w:rPr>
        <w:t xml:space="preserve">deliverable in DEQ’s rulemaking process. </w:t>
      </w:r>
      <w:r w:rsidR="001836B4" w:rsidRPr="005C37AA">
        <w:rPr>
          <w:rFonts w:ascii="Times New Roman" w:hAnsi="Times New Roman"/>
        </w:rPr>
        <w:t xml:space="preserve">On behalf of the rule design team, I thank </w:t>
      </w:r>
      <w:r w:rsidR="007D56D0" w:rsidRPr="005C37AA">
        <w:rPr>
          <w:rFonts w:ascii="Times New Roman" w:hAnsi="Times New Roman"/>
        </w:rPr>
        <w:t xml:space="preserve">all </w:t>
      </w:r>
      <w:r w:rsidR="00C22F74" w:rsidRPr="005C37AA">
        <w:rPr>
          <w:rFonts w:ascii="Times New Roman" w:hAnsi="Times New Roman"/>
        </w:rPr>
        <w:t xml:space="preserve">DEQ </w:t>
      </w:r>
      <w:r w:rsidR="00345941" w:rsidRPr="005C37AA">
        <w:rPr>
          <w:rFonts w:ascii="Times New Roman" w:hAnsi="Times New Roman"/>
        </w:rPr>
        <w:t xml:space="preserve">contributors </w:t>
      </w:r>
      <w:r w:rsidR="00021AF8" w:rsidRPr="005C37AA">
        <w:rPr>
          <w:rFonts w:ascii="Times New Roman" w:hAnsi="Times New Roman"/>
        </w:rPr>
        <w:t>to the notice packet</w:t>
      </w:r>
      <w:r w:rsidR="00C22F74" w:rsidRPr="005C37AA">
        <w:rPr>
          <w:rFonts w:ascii="Times New Roman" w:hAnsi="Times New Roman"/>
        </w:rPr>
        <w:t xml:space="preserve">. </w:t>
      </w:r>
      <w:r w:rsidR="00342816">
        <w:rPr>
          <w:rFonts w:ascii="Times New Roman" w:hAnsi="Times New Roman"/>
        </w:rPr>
        <w:t>Portions of t</w:t>
      </w:r>
      <w:r w:rsidR="001836B4" w:rsidRPr="005C37AA">
        <w:rPr>
          <w:rFonts w:ascii="Times New Roman" w:hAnsi="Times New Roman"/>
        </w:rPr>
        <w:t xml:space="preserve">he </w:t>
      </w:r>
      <w:r w:rsidR="007D56D0" w:rsidRPr="005C37AA">
        <w:rPr>
          <w:rFonts w:ascii="Times New Roman" w:hAnsi="Times New Roman"/>
        </w:rPr>
        <w:t xml:space="preserve">packet </w:t>
      </w:r>
      <w:r w:rsidR="00342816">
        <w:rPr>
          <w:rFonts w:ascii="Times New Roman" w:hAnsi="Times New Roman"/>
        </w:rPr>
        <w:t>have</w:t>
      </w:r>
      <w:r w:rsidR="001836B4" w:rsidRPr="005C37AA">
        <w:rPr>
          <w:rFonts w:ascii="Times New Roman" w:hAnsi="Times New Roman"/>
        </w:rPr>
        <w:t xml:space="preserve"> </w:t>
      </w:r>
      <w:r w:rsidR="007D56D0" w:rsidRPr="005C37AA">
        <w:rPr>
          <w:rFonts w:ascii="Times New Roman" w:hAnsi="Times New Roman"/>
        </w:rPr>
        <w:t xml:space="preserve">had </w:t>
      </w:r>
      <w:r w:rsidR="00C40AE4" w:rsidRPr="005C37AA">
        <w:rPr>
          <w:rFonts w:ascii="Times New Roman" w:hAnsi="Times New Roman"/>
        </w:rPr>
        <w:t>the</w:t>
      </w:r>
      <w:r w:rsidR="007D56D0" w:rsidRPr="005C37AA">
        <w:rPr>
          <w:rFonts w:ascii="Times New Roman" w:hAnsi="Times New Roman"/>
        </w:rPr>
        <w:t xml:space="preserve"> required </w:t>
      </w:r>
      <w:r w:rsidR="001836B4" w:rsidRPr="005C37AA">
        <w:rPr>
          <w:rFonts w:ascii="Times New Roman" w:hAnsi="Times New Roman"/>
        </w:rPr>
        <w:t>reviews and signoffs</w:t>
      </w:r>
      <w:r w:rsidR="00342816">
        <w:rPr>
          <w:rFonts w:ascii="Times New Roman" w:hAnsi="Times New Roman"/>
        </w:rPr>
        <w:t xml:space="preserve"> </w:t>
      </w:r>
      <w:r w:rsidR="00C40AE4" w:rsidRPr="005C37AA">
        <w:rPr>
          <w:rFonts w:ascii="Times New Roman" w:hAnsi="Times New Roman"/>
        </w:rPr>
        <w:t>from</w:t>
      </w:r>
      <w:r w:rsidR="007D56D0" w:rsidRPr="005C37AA">
        <w:rPr>
          <w:rFonts w:ascii="Times New Roman" w:hAnsi="Times New Roman"/>
        </w:rPr>
        <w:t xml:space="preserve"> </w:t>
      </w:r>
      <w:r w:rsidR="00F93F41" w:rsidRPr="00A4468C">
        <w:rPr>
          <w:rFonts w:ascii="Times New Roman" w:hAnsi="Times New Roman"/>
        </w:rPr>
        <w:t>the advisory committee</w:t>
      </w:r>
      <w:r w:rsidR="007D56D0" w:rsidRPr="00A4468C">
        <w:rPr>
          <w:rFonts w:ascii="Times New Roman" w:hAnsi="Times New Roman"/>
        </w:rPr>
        <w:t>, EPA</w:t>
      </w:r>
      <w:r w:rsidR="00F93F41" w:rsidRPr="00A4468C">
        <w:rPr>
          <w:rFonts w:ascii="Times New Roman" w:hAnsi="Times New Roman"/>
        </w:rPr>
        <w:t xml:space="preserve">, </w:t>
      </w:r>
      <w:r w:rsidR="00F93F41">
        <w:rPr>
          <w:rFonts w:ascii="Times New Roman" w:hAnsi="Times New Roman"/>
        </w:rPr>
        <w:t>DEQ staff</w:t>
      </w:r>
      <w:r w:rsidR="007D56D0" w:rsidRPr="005C37AA">
        <w:rPr>
          <w:rFonts w:ascii="Times New Roman" w:hAnsi="Times New Roman"/>
        </w:rPr>
        <w:t xml:space="preserve"> and </w:t>
      </w:r>
      <w:r w:rsidR="007D56D0" w:rsidRPr="00A4468C">
        <w:rPr>
          <w:rFonts w:ascii="Times New Roman" w:hAnsi="Times New Roman"/>
        </w:rPr>
        <w:t>DOJ</w:t>
      </w:r>
      <w:r w:rsidR="007D56D0" w:rsidRPr="005C37AA">
        <w:rPr>
          <w:rFonts w:ascii="Times New Roman" w:hAnsi="Times New Roman"/>
        </w:rPr>
        <w:t xml:space="preserve">. </w:t>
      </w:r>
      <w:r w:rsidR="00021AF8" w:rsidRPr="005C37AA">
        <w:rPr>
          <w:rFonts w:ascii="Times New Roman" w:hAnsi="Times New Roman"/>
        </w:rPr>
        <w:t xml:space="preserve">It is now </w:t>
      </w:r>
      <w:r w:rsidR="006D0254" w:rsidRPr="005C37AA">
        <w:rPr>
          <w:rFonts w:ascii="Times New Roman" w:hAnsi="Times New Roman"/>
        </w:rPr>
        <w:t xml:space="preserve">ready for </w:t>
      </w:r>
      <w:r w:rsidRPr="005C37AA">
        <w:rPr>
          <w:rFonts w:ascii="Times New Roman" w:hAnsi="Times New Roman"/>
        </w:rPr>
        <w:t xml:space="preserve">your </w:t>
      </w:r>
      <w:r w:rsidR="009C5CAD" w:rsidRPr="005C37AA">
        <w:rPr>
          <w:rFonts w:ascii="Times New Roman" w:hAnsi="Times New Roman"/>
        </w:rPr>
        <w:t>preview</w:t>
      </w:r>
      <w:r w:rsidR="006D0254" w:rsidRPr="005C37AA">
        <w:rPr>
          <w:rFonts w:ascii="Times New Roman" w:hAnsi="Times New Roman"/>
        </w:rPr>
        <w:t xml:space="preserve"> </w:t>
      </w:r>
      <w:r w:rsidRPr="005C37AA">
        <w:rPr>
          <w:rFonts w:ascii="Times New Roman" w:hAnsi="Times New Roman"/>
        </w:rPr>
        <w:t xml:space="preserve">before </w:t>
      </w:r>
      <w:r w:rsidR="007D56D0" w:rsidRPr="005C37AA">
        <w:rPr>
          <w:rFonts w:ascii="Times New Roman" w:hAnsi="Times New Roman"/>
        </w:rPr>
        <w:t>w</w:t>
      </w:r>
      <w:r w:rsidRPr="005C37AA">
        <w:rPr>
          <w:rFonts w:ascii="Times New Roman" w:hAnsi="Times New Roman"/>
        </w:rPr>
        <w:t xml:space="preserve">e submit </w:t>
      </w:r>
      <w:r w:rsidR="007D56D0" w:rsidRPr="005C37AA">
        <w:rPr>
          <w:rFonts w:ascii="Times New Roman" w:hAnsi="Times New Roman"/>
        </w:rPr>
        <w:t xml:space="preserve">it </w:t>
      </w:r>
      <w:r w:rsidR="006D0254" w:rsidRPr="005C37AA">
        <w:rPr>
          <w:rFonts w:ascii="Times New Roman" w:hAnsi="Times New Roman"/>
        </w:rPr>
        <w:t>to</w:t>
      </w:r>
      <w:r w:rsidR="00C22F74" w:rsidRPr="005C37AA">
        <w:rPr>
          <w:rFonts w:ascii="Times New Roman" w:hAnsi="Times New Roman"/>
        </w:rPr>
        <w:t xml:space="preserve"> the Oregon </w:t>
      </w:r>
      <w:r w:rsidR="006D0254" w:rsidRPr="005C37AA">
        <w:rPr>
          <w:rFonts w:ascii="Times New Roman" w:hAnsi="Times New Roman"/>
        </w:rPr>
        <w:t xml:space="preserve">Secretary of State on </w:t>
      </w:r>
      <w:r w:rsidR="00F93F41" w:rsidRPr="00A4468C">
        <w:rPr>
          <w:rFonts w:ascii="Times New Roman" w:hAnsi="Times New Roman"/>
        </w:rPr>
        <w:t>Aug. 15,</w:t>
      </w:r>
      <w:r w:rsidR="00F93F41">
        <w:rPr>
          <w:rFonts w:ascii="Times New Roman" w:hAnsi="Times New Roman"/>
        </w:rPr>
        <w:t xml:space="preserve"> 2013</w:t>
      </w:r>
      <w:r w:rsidR="00C40AE4" w:rsidRPr="005C37AA">
        <w:rPr>
          <w:rFonts w:ascii="Times New Roman" w:hAnsi="Times New Roman"/>
        </w:rPr>
        <w:t xml:space="preserve"> and </w:t>
      </w:r>
      <w:r w:rsidR="00350968" w:rsidRPr="005C37AA">
        <w:rPr>
          <w:rFonts w:ascii="Times New Roman" w:hAnsi="Times New Roman"/>
        </w:rPr>
        <w:t>open</w:t>
      </w:r>
      <w:r w:rsidR="00C40AE4" w:rsidRPr="005C37AA">
        <w:rPr>
          <w:rFonts w:ascii="Times New Roman" w:hAnsi="Times New Roman"/>
        </w:rPr>
        <w:t xml:space="preserve"> our public comment </w:t>
      </w:r>
      <w:r w:rsidR="00350968" w:rsidRPr="005C37AA">
        <w:rPr>
          <w:rFonts w:ascii="Times New Roman" w:hAnsi="Times New Roman"/>
        </w:rPr>
        <w:t>period</w:t>
      </w:r>
      <w:r w:rsidR="00F93F41">
        <w:rPr>
          <w:rFonts w:ascii="Times New Roman" w:hAnsi="Times New Roman"/>
        </w:rPr>
        <w:t xml:space="preserve"> on Sept</w:t>
      </w:r>
      <w:r w:rsidR="00350968" w:rsidRPr="005C37AA">
        <w:rPr>
          <w:rFonts w:ascii="Times New Roman" w:hAnsi="Times New Roman"/>
        </w:rPr>
        <w:t>.</w:t>
      </w:r>
      <w:r w:rsidR="00F93F41">
        <w:rPr>
          <w:rFonts w:ascii="Times New Roman" w:hAnsi="Times New Roman"/>
        </w:rPr>
        <w:t xml:space="preserve"> 1, 2013.</w:t>
      </w:r>
      <w:r w:rsidR="00F92616">
        <w:rPr>
          <w:rFonts w:ascii="Times New Roman" w:hAnsi="Times New Roman"/>
        </w:rPr>
        <w:t xml:space="preserve"> </w:t>
      </w:r>
      <w:r w:rsidR="00F92616" w:rsidRPr="00F92616">
        <w:rPr>
          <w:rFonts w:asciiTheme="minorHAnsi" w:hAnsiTheme="minorHAnsi" w:cstheme="minorHAnsi"/>
        </w:rPr>
        <w:t xml:space="preserve">Details on this rulemaking, including information and materials from the advisory committee meetings, are on DEQ’s website: </w:t>
      </w:r>
      <w:hyperlink r:id="rId9" w:history="1">
        <w:r w:rsidR="00F92616" w:rsidRPr="00F92616">
          <w:rPr>
            <w:rStyle w:val="Hyperlink"/>
            <w:rFonts w:asciiTheme="minorHAnsi" w:hAnsiTheme="minorHAnsi" w:cstheme="minorHAnsi"/>
          </w:rPr>
          <w:t>http://www.deq.state.or.us/w</w:t>
        </w:r>
        <w:r w:rsidR="00F92616" w:rsidRPr="00F92616">
          <w:rPr>
            <w:rStyle w:val="Hyperlink"/>
            <w:rFonts w:asciiTheme="minorHAnsi" w:hAnsiTheme="minorHAnsi" w:cstheme="minorHAnsi"/>
          </w:rPr>
          <w:t>q</w:t>
        </w:r>
        <w:r w:rsidR="00F92616" w:rsidRPr="00F92616">
          <w:rPr>
            <w:rStyle w:val="Hyperlink"/>
            <w:rFonts w:asciiTheme="minorHAnsi" w:hAnsiTheme="minorHAnsi" w:cstheme="minorHAnsi"/>
          </w:rPr>
          <w:t>/standards/StandardsClarification.htm</w:t>
        </w:r>
      </w:hyperlink>
      <w:r w:rsidR="00F92616">
        <w:rPr>
          <w:rFonts w:asciiTheme="minorHAnsi" w:hAnsiTheme="minorHAnsi" w:cstheme="minorHAnsi"/>
        </w:rPr>
        <w:t xml:space="preserve">. I have also attached a briefing document about this rulemaking. </w:t>
      </w:r>
    </w:p>
    <w:p w:rsidR="00C22F74" w:rsidRPr="005C37AA" w:rsidRDefault="00C22F74" w:rsidP="0027593B">
      <w:pPr>
        <w:ind w:left="2160"/>
        <w:rPr>
          <w:rFonts w:ascii="Times New Roman" w:hAnsi="Times New Roman"/>
        </w:rPr>
      </w:pPr>
    </w:p>
    <w:p w:rsidR="00C22F74" w:rsidRDefault="007D56D0" w:rsidP="0027593B">
      <w:pPr>
        <w:ind w:left="2160"/>
        <w:rPr>
          <w:rFonts w:ascii="Times New Roman" w:hAnsi="Times New Roman"/>
        </w:rPr>
      </w:pPr>
      <w:r w:rsidRPr="005C37AA">
        <w:rPr>
          <w:rFonts w:ascii="Times New Roman" w:hAnsi="Times New Roman"/>
        </w:rPr>
        <w:t xml:space="preserve">No action is required on your part. </w:t>
      </w:r>
      <w:r w:rsidR="00350968" w:rsidRPr="005C37AA">
        <w:rPr>
          <w:rFonts w:ascii="Times New Roman" w:hAnsi="Times New Roman"/>
        </w:rPr>
        <w:t>However, w</w:t>
      </w:r>
      <w:r w:rsidRPr="005C37AA">
        <w:rPr>
          <w:rFonts w:ascii="Times New Roman" w:hAnsi="Times New Roman"/>
        </w:rPr>
        <w:t xml:space="preserve">e will consider </w:t>
      </w:r>
      <w:r w:rsidR="00350968" w:rsidRPr="005C37AA">
        <w:rPr>
          <w:rFonts w:ascii="Times New Roman" w:hAnsi="Times New Roman"/>
        </w:rPr>
        <w:t xml:space="preserve">your </w:t>
      </w:r>
      <w:r w:rsidR="001836B4" w:rsidRPr="005C37AA">
        <w:rPr>
          <w:rFonts w:ascii="Times New Roman" w:hAnsi="Times New Roman"/>
        </w:rPr>
        <w:t xml:space="preserve">input </w:t>
      </w:r>
      <w:r w:rsidRPr="005C37AA">
        <w:rPr>
          <w:rFonts w:ascii="Times New Roman" w:hAnsi="Times New Roman"/>
        </w:rPr>
        <w:t xml:space="preserve">on the </w:t>
      </w:r>
      <w:r w:rsidR="00350968" w:rsidRPr="005C37AA">
        <w:rPr>
          <w:rFonts w:ascii="Times New Roman" w:hAnsi="Times New Roman"/>
        </w:rPr>
        <w:t>p</w:t>
      </w:r>
      <w:r w:rsidRPr="005C37AA">
        <w:rPr>
          <w:rFonts w:ascii="Times New Roman" w:hAnsi="Times New Roman"/>
        </w:rPr>
        <w:t xml:space="preserve">acket </w:t>
      </w:r>
      <w:r w:rsidR="00350968" w:rsidRPr="005C37AA">
        <w:rPr>
          <w:rFonts w:ascii="Times New Roman" w:hAnsi="Times New Roman"/>
        </w:rPr>
        <w:t xml:space="preserve">if we receive it </w:t>
      </w:r>
      <w:r w:rsidR="00350968" w:rsidRPr="00F92616">
        <w:rPr>
          <w:rFonts w:ascii="Times New Roman" w:hAnsi="Times New Roman"/>
          <w:b/>
          <w:u w:val="single"/>
        </w:rPr>
        <w:t>by</w:t>
      </w:r>
      <w:r w:rsidRPr="00F92616">
        <w:rPr>
          <w:rFonts w:ascii="Times New Roman" w:hAnsi="Times New Roman"/>
          <w:b/>
          <w:u w:val="single"/>
        </w:rPr>
        <w:t xml:space="preserve"> close of business on </w:t>
      </w:r>
      <w:r w:rsidR="00F93F41" w:rsidRPr="00F92616">
        <w:rPr>
          <w:rFonts w:ascii="Times New Roman" w:hAnsi="Times New Roman"/>
          <w:b/>
          <w:u w:val="single"/>
        </w:rPr>
        <w:t>Aug. 07, 2013</w:t>
      </w:r>
      <w:r w:rsidRPr="005C37AA">
        <w:rPr>
          <w:rFonts w:ascii="Times New Roman" w:hAnsi="Times New Roman"/>
        </w:rPr>
        <w:t>.</w:t>
      </w:r>
      <w:r w:rsidR="00342816">
        <w:rPr>
          <w:rFonts w:ascii="Times New Roman" w:hAnsi="Times New Roman"/>
        </w:rPr>
        <w:t xml:space="preserve"> To offer input, please add comments or edits to the rulemaking document</w:t>
      </w:r>
      <w:r w:rsidR="00F92616">
        <w:rPr>
          <w:rFonts w:ascii="Times New Roman" w:hAnsi="Times New Roman"/>
        </w:rPr>
        <w:t>s</w:t>
      </w:r>
      <w:r w:rsidR="00342816">
        <w:rPr>
          <w:rFonts w:ascii="Times New Roman" w:hAnsi="Times New Roman"/>
        </w:rPr>
        <w:t xml:space="preserve"> listed below in SharePoint. If you have technical difficulties providing edits, please </w:t>
      </w:r>
      <w:r w:rsidR="005C37AA" w:rsidRPr="005C37AA">
        <w:rPr>
          <w:rFonts w:ascii="Times New Roman" w:hAnsi="Times New Roman"/>
        </w:rPr>
        <w:t xml:space="preserve">contact </w:t>
      </w:r>
      <w:r w:rsidR="00F93F41" w:rsidRPr="00A4468C">
        <w:rPr>
          <w:rFonts w:ascii="Times New Roman" w:hAnsi="Times New Roman"/>
        </w:rPr>
        <w:t>Andrea Matzke</w:t>
      </w:r>
      <w:r w:rsidR="005C37AA" w:rsidRPr="00A4468C">
        <w:rPr>
          <w:rFonts w:ascii="Times New Roman" w:hAnsi="Times New Roman"/>
        </w:rPr>
        <w:t>,</w:t>
      </w:r>
      <w:r w:rsidR="00F93F41" w:rsidRPr="00A4468C">
        <w:rPr>
          <w:rFonts w:ascii="Times New Roman" w:hAnsi="Times New Roman"/>
        </w:rPr>
        <w:t xml:space="preserve"> </w:t>
      </w:r>
      <w:hyperlink r:id="rId10" w:history="1">
        <w:r w:rsidR="00F93F41" w:rsidRPr="00A4468C">
          <w:rPr>
            <w:rStyle w:val="Hyperlink"/>
            <w:rFonts w:ascii="Times New Roman" w:hAnsi="Times New Roman"/>
          </w:rPr>
          <w:t>matzke.andrea@deq.state.or.us</w:t>
        </w:r>
      </w:hyperlink>
      <w:r w:rsidR="00F93F41" w:rsidRPr="00A4468C">
        <w:rPr>
          <w:rFonts w:ascii="Times New Roman" w:hAnsi="Times New Roman"/>
        </w:rPr>
        <w:t>, 503-229-5384.</w:t>
      </w:r>
    </w:p>
    <w:p w:rsidR="00805F4B" w:rsidRDefault="00805F4B" w:rsidP="0027593B">
      <w:pPr>
        <w:ind w:left="2160"/>
        <w:rPr>
          <w:rFonts w:ascii="Times New Roman" w:hAnsi="Times New Roman"/>
        </w:rPr>
      </w:pPr>
    </w:p>
    <w:p w:rsidR="00805F4B" w:rsidRPr="003E4085" w:rsidRDefault="00805F4B" w:rsidP="00805F4B">
      <w:pPr>
        <w:ind w:left="2160"/>
        <w:rPr>
          <w:rFonts w:asciiTheme="minorHAnsi" w:hAnsiTheme="minorHAnsi" w:cstheme="minorHAnsi"/>
          <w:color w:val="000000"/>
        </w:rPr>
      </w:pPr>
      <w:r>
        <w:rPr>
          <w:rFonts w:asciiTheme="minorHAnsi" w:hAnsiTheme="minorHAnsi" w:cstheme="minorHAnsi"/>
          <w:color w:val="262626"/>
        </w:rPr>
        <w:t xml:space="preserve">If you are new to SharePoint, </w:t>
      </w:r>
      <w:r w:rsidRPr="003E4085">
        <w:rPr>
          <w:rFonts w:asciiTheme="minorHAnsi" w:hAnsiTheme="minorHAnsi" w:cstheme="minorHAnsi"/>
          <w:color w:val="262626"/>
        </w:rPr>
        <w:t xml:space="preserve">this </w:t>
      </w:r>
      <w:hyperlink r:id="rId11" w:tooltip="Check in/Check out documents" w:history="1">
        <w:r w:rsidRPr="003E4085">
          <w:rPr>
            <w:rStyle w:val="Hyperlink"/>
            <w:rFonts w:asciiTheme="minorHAnsi" w:hAnsiTheme="minorHAnsi" w:cstheme="minorHAnsi"/>
          </w:rPr>
          <w:t>tut</w:t>
        </w:r>
        <w:r w:rsidRPr="003E4085">
          <w:rPr>
            <w:rStyle w:val="Hyperlink"/>
            <w:rFonts w:asciiTheme="minorHAnsi" w:hAnsiTheme="minorHAnsi" w:cstheme="minorHAnsi"/>
          </w:rPr>
          <w:t>o</w:t>
        </w:r>
        <w:r w:rsidRPr="003E4085">
          <w:rPr>
            <w:rStyle w:val="Hyperlink"/>
            <w:rFonts w:asciiTheme="minorHAnsi" w:hAnsiTheme="minorHAnsi" w:cstheme="minorHAnsi"/>
          </w:rPr>
          <w:t>rial</w:t>
        </w:r>
      </w:hyperlink>
      <w:r w:rsidRPr="003E4085">
        <w:rPr>
          <w:rFonts w:asciiTheme="minorHAnsi" w:hAnsiTheme="minorHAnsi" w:cstheme="minorHAnsi"/>
          <w:color w:val="262626"/>
        </w:rPr>
        <w:t> </w:t>
      </w:r>
      <w:r w:rsidR="00F92616">
        <w:rPr>
          <w:rFonts w:asciiTheme="minorHAnsi" w:hAnsiTheme="minorHAnsi" w:cstheme="minorHAnsi"/>
          <w:color w:val="262626"/>
        </w:rPr>
        <w:t>may</w:t>
      </w:r>
      <w:r>
        <w:rPr>
          <w:rFonts w:asciiTheme="minorHAnsi" w:hAnsiTheme="minorHAnsi" w:cstheme="minorHAnsi"/>
          <w:color w:val="262626"/>
        </w:rPr>
        <w:t xml:space="preserve"> help with the </w:t>
      </w:r>
      <w:r w:rsidRPr="003E4085">
        <w:rPr>
          <w:rFonts w:asciiTheme="minorHAnsi" w:hAnsiTheme="minorHAnsi" w:cstheme="minorHAnsi"/>
          <w:color w:val="000000"/>
        </w:rPr>
        <w:t>document Check</w:t>
      </w:r>
      <w:r>
        <w:rPr>
          <w:rFonts w:asciiTheme="minorHAnsi" w:hAnsiTheme="minorHAnsi" w:cstheme="minorHAnsi"/>
          <w:color w:val="000000"/>
        </w:rPr>
        <w:t xml:space="preserve"> Out and </w:t>
      </w:r>
      <w:r w:rsidRPr="003E4085">
        <w:rPr>
          <w:rFonts w:asciiTheme="minorHAnsi" w:hAnsiTheme="minorHAnsi" w:cstheme="minorHAnsi"/>
          <w:color w:val="000000"/>
        </w:rPr>
        <w:t>Check</w:t>
      </w:r>
      <w:r>
        <w:rPr>
          <w:rFonts w:asciiTheme="minorHAnsi" w:hAnsiTheme="minorHAnsi" w:cstheme="minorHAnsi"/>
          <w:color w:val="000000"/>
        </w:rPr>
        <w:t xml:space="preserve"> In </w:t>
      </w:r>
      <w:r w:rsidRPr="003E4085">
        <w:rPr>
          <w:rFonts w:asciiTheme="minorHAnsi" w:hAnsiTheme="minorHAnsi" w:cstheme="minorHAnsi"/>
          <w:color w:val="000000"/>
        </w:rPr>
        <w:t>features.</w:t>
      </w:r>
      <w:r w:rsidR="00F92616">
        <w:rPr>
          <w:rFonts w:asciiTheme="minorHAnsi" w:hAnsiTheme="minorHAnsi" w:cstheme="minorHAnsi"/>
          <w:color w:val="000000"/>
        </w:rPr>
        <w:t xml:space="preserve"> Generally, to provide</w:t>
      </w:r>
      <w:r w:rsidR="00AA618F">
        <w:rPr>
          <w:rFonts w:asciiTheme="minorHAnsi" w:hAnsiTheme="minorHAnsi" w:cstheme="minorHAnsi"/>
          <w:color w:val="000000"/>
        </w:rPr>
        <w:t xml:space="preserve"> edits or comments to any of </w:t>
      </w:r>
      <w:r w:rsidR="00F92616">
        <w:rPr>
          <w:rFonts w:asciiTheme="minorHAnsi" w:hAnsiTheme="minorHAnsi" w:cstheme="minorHAnsi"/>
          <w:color w:val="000000"/>
        </w:rPr>
        <w:t xml:space="preserve">the rulemaking documents, </w:t>
      </w:r>
      <w:r w:rsidR="00AA618F">
        <w:rPr>
          <w:rFonts w:asciiTheme="minorHAnsi" w:hAnsiTheme="minorHAnsi" w:cstheme="minorHAnsi"/>
          <w:color w:val="000000"/>
        </w:rPr>
        <w:t>check it out, save the document, and then check it back in</w:t>
      </w:r>
      <w:r w:rsidR="00F92616">
        <w:rPr>
          <w:rFonts w:asciiTheme="minorHAnsi" w:hAnsiTheme="minorHAnsi" w:cstheme="minorHAnsi"/>
          <w:color w:val="000000"/>
        </w:rPr>
        <w:t>, so that others may provide</w:t>
      </w:r>
      <w:r w:rsidR="00342816">
        <w:rPr>
          <w:rFonts w:asciiTheme="minorHAnsi" w:hAnsiTheme="minorHAnsi" w:cstheme="minorHAnsi"/>
          <w:color w:val="000000"/>
        </w:rPr>
        <w:t xml:space="preserve"> comments</w:t>
      </w:r>
      <w:r w:rsidR="00F92616">
        <w:rPr>
          <w:rFonts w:asciiTheme="minorHAnsi" w:hAnsiTheme="minorHAnsi" w:cstheme="minorHAnsi"/>
          <w:color w:val="000000"/>
        </w:rPr>
        <w:t xml:space="preserve">. To simply read a </w:t>
      </w:r>
      <w:r w:rsidR="00AA618F">
        <w:rPr>
          <w:rFonts w:asciiTheme="minorHAnsi" w:hAnsiTheme="minorHAnsi" w:cstheme="minorHAnsi"/>
          <w:color w:val="000000"/>
        </w:rPr>
        <w:t>document, just click on the links below. It is not necessary to check the document out.</w:t>
      </w:r>
      <w:r w:rsidRPr="003E4085">
        <w:rPr>
          <w:rFonts w:asciiTheme="minorHAnsi" w:hAnsiTheme="minorHAnsi" w:cstheme="minorHAnsi"/>
          <w:color w:val="000000"/>
        </w:rPr>
        <w:t xml:space="preserve"> </w:t>
      </w:r>
    </w:p>
    <w:p w:rsidR="00805F4B" w:rsidRPr="005C37AA" w:rsidRDefault="00805F4B" w:rsidP="0027593B">
      <w:pPr>
        <w:ind w:left="2160"/>
        <w:rPr>
          <w:rFonts w:ascii="Times New Roman" w:hAnsi="Times New Roman"/>
        </w:rPr>
      </w:pPr>
    </w:p>
    <w:p w:rsidR="009C5CAD" w:rsidRDefault="009C5CAD" w:rsidP="0027593B">
      <w:pPr>
        <w:ind w:left="2160"/>
        <w:rPr>
          <w:rFonts w:ascii="Times New Roman" w:hAnsi="Times New Roman"/>
          <w:sz w:val="24"/>
          <w:szCs w:val="24"/>
        </w:rPr>
      </w:pPr>
    </w:p>
    <w:tbl>
      <w:tblPr>
        <w:tblStyle w:val="TableGrid"/>
        <w:tblW w:w="0" w:type="auto"/>
        <w:tblInd w:w="24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90"/>
        <w:gridCol w:w="2619"/>
        <w:gridCol w:w="2619"/>
      </w:tblGrid>
      <w:tr w:rsidR="00021AF8" w:rsidTr="00383781">
        <w:trPr>
          <w:trHeight w:val="404"/>
        </w:trPr>
        <w:tc>
          <w:tcPr>
            <w:tcW w:w="1890" w:type="dxa"/>
          </w:tcPr>
          <w:p w:rsidR="00021AF8" w:rsidRPr="00C22F74" w:rsidRDefault="00021AF8" w:rsidP="006D0254">
            <w:pPr>
              <w:jc w:val="left"/>
              <w:rPr>
                <w:rFonts w:asciiTheme="majorHAnsi" w:hAnsiTheme="majorHAnsi" w:cstheme="majorHAnsi"/>
                <w:sz w:val="20"/>
                <w:szCs w:val="20"/>
              </w:rPr>
            </w:pPr>
            <w:r w:rsidRPr="00C22F74">
              <w:rPr>
                <w:rFonts w:asciiTheme="majorHAnsi" w:hAnsiTheme="majorHAnsi" w:cstheme="majorHAnsi"/>
                <w:sz w:val="20"/>
                <w:szCs w:val="20"/>
              </w:rPr>
              <w:t>Title</w:t>
            </w:r>
          </w:p>
          <w:p w:rsidR="00021AF8" w:rsidRPr="00C22F74" w:rsidRDefault="00021AF8" w:rsidP="006D0254">
            <w:pPr>
              <w:jc w:val="left"/>
              <w:rPr>
                <w:rFonts w:asciiTheme="majorHAnsi" w:hAnsiTheme="majorHAnsi" w:cstheme="majorHAnsi"/>
                <w:sz w:val="20"/>
                <w:szCs w:val="20"/>
              </w:rPr>
            </w:pPr>
          </w:p>
        </w:tc>
        <w:tc>
          <w:tcPr>
            <w:tcW w:w="5238" w:type="dxa"/>
            <w:gridSpan w:val="2"/>
          </w:tcPr>
          <w:p w:rsidR="00021AF8" w:rsidRPr="00C22F74" w:rsidRDefault="00F93F41" w:rsidP="00021AF8">
            <w:pPr>
              <w:jc w:val="left"/>
              <w:rPr>
                <w:rFonts w:ascii="Times New Roman" w:hAnsi="Times New Roman"/>
              </w:rPr>
            </w:pPr>
            <w:r w:rsidRPr="00A4468C">
              <w:rPr>
                <w:rFonts w:ascii="Times New Roman" w:hAnsi="Times New Roman"/>
              </w:rPr>
              <w:t>Corrections and Clarifications to Toxics Water Quality Standards</w:t>
            </w:r>
            <w:r w:rsidR="00021AF8" w:rsidRPr="00C22F74">
              <w:rPr>
                <w:rFonts w:ascii="Times New Roman" w:hAnsi="Times New Roman"/>
              </w:rPr>
              <w:t xml:space="preserve"> </w:t>
            </w:r>
          </w:p>
        </w:tc>
      </w:tr>
      <w:tr w:rsidR="00345941" w:rsidTr="00383781">
        <w:trPr>
          <w:trHeight w:val="377"/>
        </w:trPr>
        <w:tc>
          <w:tcPr>
            <w:tcW w:w="1890" w:type="dxa"/>
          </w:tcPr>
          <w:p w:rsidR="00345941" w:rsidRPr="00C22F74" w:rsidRDefault="00345941" w:rsidP="006D0254">
            <w:pPr>
              <w:jc w:val="left"/>
              <w:rPr>
                <w:rFonts w:asciiTheme="majorHAnsi" w:hAnsiTheme="majorHAnsi" w:cstheme="majorHAnsi"/>
                <w:sz w:val="20"/>
                <w:szCs w:val="20"/>
              </w:rPr>
            </w:pPr>
            <w:r w:rsidRPr="00C22F74">
              <w:rPr>
                <w:rFonts w:asciiTheme="majorHAnsi" w:hAnsiTheme="majorHAnsi" w:cstheme="majorHAnsi"/>
                <w:sz w:val="20"/>
                <w:szCs w:val="20"/>
              </w:rPr>
              <w:t xml:space="preserve">Notice </w:t>
            </w:r>
            <w:r>
              <w:rPr>
                <w:rFonts w:asciiTheme="majorHAnsi" w:hAnsiTheme="majorHAnsi" w:cstheme="majorHAnsi"/>
                <w:sz w:val="20"/>
                <w:szCs w:val="20"/>
              </w:rPr>
              <w:t>P</w:t>
            </w:r>
            <w:r w:rsidRPr="00C22F74">
              <w:rPr>
                <w:rFonts w:asciiTheme="majorHAnsi" w:hAnsiTheme="majorHAnsi" w:cstheme="majorHAnsi"/>
                <w:sz w:val="20"/>
                <w:szCs w:val="20"/>
              </w:rPr>
              <w:t xml:space="preserve">acket </w:t>
            </w:r>
          </w:p>
          <w:p w:rsidR="00345941" w:rsidRPr="00C22F74" w:rsidRDefault="00345941" w:rsidP="006D0254">
            <w:pPr>
              <w:jc w:val="left"/>
              <w:rPr>
                <w:rFonts w:asciiTheme="majorHAnsi" w:hAnsiTheme="majorHAnsi" w:cstheme="majorHAnsi"/>
                <w:sz w:val="20"/>
                <w:szCs w:val="20"/>
              </w:rPr>
            </w:pPr>
          </w:p>
        </w:tc>
        <w:tc>
          <w:tcPr>
            <w:tcW w:w="5238" w:type="dxa"/>
            <w:gridSpan w:val="2"/>
          </w:tcPr>
          <w:p w:rsidR="001340D9" w:rsidRPr="001340D9" w:rsidRDefault="00A4468C" w:rsidP="001340D9">
            <w:pPr>
              <w:pStyle w:val="NormalWeb"/>
              <w:spacing w:before="0" w:beforeAutospacing="0" w:after="0" w:afterAutospacing="0"/>
              <w:rPr>
                <w:rFonts w:asciiTheme="minorHAnsi" w:hAnsiTheme="minorHAnsi" w:cstheme="minorHAnsi"/>
                <w:sz w:val="22"/>
                <w:szCs w:val="22"/>
              </w:rPr>
            </w:pPr>
            <w:hyperlink r:id="rId12" w:history="1">
              <w:r w:rsidRPr="001340D9">
                <w:rPr>
                  <w:rStyle w:val="Hyperlink"/>
                  <w:rFonts w:asciiTheme="minorHAnsi" w:hAnsiTheme="minorHAnsi" w:cstheme="minorHAnsi"/>
                  <w:sz w:val="22"/>
                  <w:szCs w:val="22"/>
                </w:rPr>
                <w:t>Invitati</w:t>
              </w:r>
              <w:r w:rsidRPr="001340D9">
                <w:rPr>
                  <w:rStyle w:val="Hyperlink"/>
                  <w:rFonts w:asciiTheme="minorHAnsi" w:hAnsiTheme="minorHAnsi" w:cstheme="minorHAnsi"/>
                  <w:sz w:val="22"/>
                  <w:szCs w:val="22"/>
                </w:rPr>
                <w:t>o</w:t>
              </w:r>
              <w:r w:rsidRPr="001340D9">
                <w:rPr>
                  <w:rStyle w:val="Hyperlink"/>
                  <w:rFonts w:asciiTheme="minorHAnsi" w:hAnsiTheme="minorHAnsi" w:cstheme="minorHAnsi"/>
                  <w:sz w:val="22"/>
                  <w:szCs w:val="22"/>
                </w:rPr>
                <w:t>n to Comment</w:t>
              </w:r>
            </w:hyperlink>
            <w:r w:rsidRPr="001340D9">
              <w:rPr>
                <w:rFonts w:asciiTheme="minorHAnsi" w:hAnsiTheme="minorHAnsi" w:cstheme="minorHAnsi"/>
                <w:sz w:val="22"/>
                <w:szCs w:val="22"/>
              </w:rPr>
              <w:t xml:space="preserve"> </w:t>
            </w:r>
            <w:r w:rsidR="002737D8" w:rsidRPr="001340D9">
              <w:rPr>
                <w:sz w:val="22"/>
                <w:szCs w:val="22"/>
              </w:rPr>
              <w:t>–</w:t>
            </w:r>
            <w:r w:rsidR="00DE74EC" w:rsidRPr="001340D9">
              <w:rPr>
                <w:sz w:val="22"/>
                <w:szCs w:val="22"/>
              </w:rPr>
              <w:t xml:space="preserve"> 2-page fact sheet</w:t>
            </w:r>
          </w:p>
          <w:p w:rsidR="00DE74EC" w:rsidRPr="001340D9" w:rsidRDefault="001340D9" w:rsidP="001340D9">
            <w:pPr>
              <w:pStyle w:val="NormalWeb"/>
              <w:spacing w:before="0" w:beforeAutospacing="0" w:after="0" w:afterAutospacing="0"/>
              <w:rPr>
                <w:sz w:val="22"/>
                <w:szCs w:val="22"/>
              </w:rPr>
            </w:pPr>
            <w:hyperlink r:id="rId13" w:history="1">
              <w:r w:rsidRPr="001340D9">
                <w:rPr>
                  <w:rStyle w:val="Hyperlink"/>
                  <w:rFonts w:asciiTheme="minorHAnsi" w:hAnsiTheme="minorHAnsi" w:cstheme="minorHAnsi"/>
                  <w:sz w:val="22"/>
                  <w:szCs w:val="22"/>
                </w:rPr>
                <w:t>Proposed Rules</w:t>
              </w:r>
            </w:hyperlink>
            <w:r w:rsidR="00DE74EC" w:rsidRPr="001340D9">
              <w:rPr>
                <w:sz w:val="22"/>
                <w:szCs w:val="22"/>
              </w:rPr>
              <w:t>– redline/strikethrough</w:t>
            </w:r>
          </w:p>
          <w:p w:rsidR="001340D9" w:rsidRPr="001340D9" w:rsidRDefault="001340D9" w:rsidP="001340D9">
            <w:pPr>
              <w:pStyle w:val="NormalWeb"/>
              <w:spacing w:before="0" w:beforeAutospacing="0" w:after="0" w:afterAutospacing="0"/>
              <w:rPr>
                <w:sz w:val="22"/>
                <w:szCs w:val="22"/>
              </w:rPr>
            </w:pPr>
            <w:hyperlink r:id="rId14" w:history="1">
              <w:r w:rsidRPr="001340D9">
                <w:rPr>
                  <w:rStyle w:val="Hyperlink"/>
                  <w:rFonts w:asciiTheme="minorHAnsi" w:hAnsiTheme="minorHAnsi" w:cstheme="minorHAnsi"/>
                  <w:sz w:val="22"/>
                  <w:szCs w:val="22"/>
                </w:rPr>
                <w:t>Tab</w:t>
              </w:r>
              <w:r w:rsidRPr="001340D9">
                <w:rPr>
                  <w:rStyle w:val="Hyperlink"/>
                  <w:rFonts w:asciiTheme="minorHAnsi" w:hAnsiTheme="minorHAnsi" w:cstheme="minorHAnsi"/>
                  <w:sz w:val="22"/>
                  <w:szCs w:val="22"/>
                </w:rPr>
                <w:t>l</w:t>
              </w:r>
              <w:r w:rsidRPr="001340D9">
                <w:rPr>
                  <w:rStyle w:val="Hyperlink"/>
                  <w:rFonts w:asciiTheme="minorHAnsi" w:hAnsiTheme="minorHAnsi" w:cstheme="minorHAnsi"/>
                  <w:sz w:val="22"/>
                  <w:szCs w:val="22"/>
                </w:rPr>
                <w:t>e 30</w:t>
              </w:r>
            </w:hyperlink>
            <w:r w:rsidRPr="001340D9">
              <w:rPr>
                <w:sz w:val="22"/>
                <w:szCs w:val="22"/>
              </w:rPr>
              <w:t>– redline/strikethrough</w:t>
            </w:r>
          </w:p>
          <w:p w:rsidR="001340D9" w:rsidRPr="001340D9" w:rsidRDefault="001340D9" w:rsidP="001340D9">
            <w:pPr>
              <w:pStyle w:val="NormalWeb"/>
              <w:spacing w:before="0" w:beforeAutospacing="0" w:after="0" w:afterAutospacing="0"/>
              <w:rPr>
                <w:sz w:val="22"/>
                <w:szCs w:val="22"/>
              </w:rPr>
            </w:pPr>
            <w:hyperlink r:id="rId15" w:history="1">
              <w:r w:rsidRPr="001340D9">
                <w:rPr>
                  <w:rStyle w:val="Hyperlink"/>
                  <w:sz w:val="22"/>
                  <w:szCs w:val="22"/>
                </w:rPr>
                <w:t>Table 33C</w:t>
              </w:r>
            </w:hyperlink>
            <w:r w:rsidRPr="001340D9">
              <w:rPr>
                <w:sz w:val="22"/>
                <w:szCs w:val="22"/>
              </w:rPr>
              <w:t>– redline/strikethrough</w:t>
            </w:r>
          </w:p>
          <w:p w:rsidR="001340D9" w:rsidRPr="001340D9" w:rsidRDefault="001340D9" w:rsidP="001340D9">
            <w:pPr>
              <w:pStyle w:val="NormalWeb"/>
              <w:spacing w:before="0" w:beforeAutospacing="0" w:after="0" w:afterAutospacing="0"/>
              <w:rPr>
                <w:rFonts w:asciiTheme="minorHAnsi" w:hAnsiTheme="minorHAnsi" w:cstheme="minorHAnsi"/>
                <w:sz w:val="22"/>
                <w:szCs w:val="22"/>
              </w:rPr>
            </w:pPr>
            <w:hyperlink r:id="rId16" w:history="1">
              <w:r w:rsidRPr="001340D9">
                <w:rPr>
                  <w:rStyle w:val="Hyperlink"/>
                  <w:rFonts w:asciiTheme="minorHAnsi" w:hAnsiTheme="minorHAnsi" w:cstheme="minorHAnsi"/>
                  <w:sz w:val="22"/>
                  <w:szCs w:val="22"/>
                </w:rPr>
                <w:t>Table 40</w:t>
              </w:r>
            </w:hyperlink>
            <w:r w:rsidRPr="001340D9">
              <w:rPr>
                <w:sz w:val="22"/>
                <w:szCs w:val="22"/>
              </w:rPr>
              <w:t>– redline/strikethrough</w:t>
            </w:r>
          </w:p>
          <w:p w:rsidR="00DE74EC" w:rsidRPr="001340D9" w:rsidRDefault="001340D9" w:rsidP="001340D9">
            <w:pPr>
              <w:pStyle w:val="NormalWeb"/>
              <w:spacing w:before="0" w:beforeAutospacing="0" w:after="0" w:afterAutospacing="0"/>
              <w:rPr>
                <w:rFonts w:asciiTheme="minorHAnsi" w:hAnsiTheme="minorHAnsi" w:cstheme="minorHAnsi"/>
                <w:sz w:val="22"/>
                <w:szCs w:val="22"/>
              </w:rPr>
            </w:pPr>
            <w:hyperlink r:id="rId17" w:history="1">
              <w:r w:rsidRPr="001340D9">
                <w:rPr>
                  <w:rStyle w:val="Hyperlink"/>
                  <w:rFonts w:asciiTheme="minorHAnsi" w:hAnsiTheme="minorHAnsi" w:cstheme="minorHAnsi"/>
                  <w:sz w:val="22"/>
                  <w:szCs w:val="22"/>
                </w:rPr>
                <w:t>Notice</w:t>
              </w:r>
            </w:hyperlink>
            <w:r w:rsidR="00DE74EC" w:rsidRPr="001340D9">
              <w:rPr>
                <w:sz w:val="22"/>
                <w:szCs w:val="22"/>
              </w:rPr>
              <w:t>– information and analysis required by APA; Model Rules; DEQ statutes, rules and best practices; and federal regulations.</w:t>
            </w:r>
          </w:p>
          <w:p w:rsidR="00021AF8" w:rsidRPr="00C22F74" w:rsidRDefault="00021AF8" w:rsidP="00021AF8">
            <w:pPr>
              <w:jc w:val="left"/>
              <w:rPr>
                <w:rFonts w:ascii="Times New Roman" w:hAnsi="Times New Roman"/>
                <w:highlight w:val="lightGray"/>
              </w:rPr>
            </w:pPr>
          </w:p>
        </w:tc>
      </w:tr>
      <w:tr w:rsidR="00345941" w:rsidTr="00383781">
        <w:trPr>
          <w:trHeight w:val="377"/>
        </w:trPr>
        <w:tc>
          <w:tcPr>
            <w:tcW w:w="1890" w:type="dxa"/>
          </w:tcPr>
          <w:p w:rsidR="00345941" w:rsidRPr="00C22F74" w:rsidRDefault="00345941" w:rsidP="006D0254">
            <w:pPr>
              <w:jc w:val="left"/>
              <w:rPr>
                <w:rFonts w:asciiTheme="majorHAnsi" w:hAnsiTheme="majorHAnsi" w:cstheme="majorHAnsi"/>
                <w:sz w:val="20"/>
                <w:szCs w:val="20"/>
              </w:rPr>
            </w:pPr>
            <w:r w:rsidRPr="00C22F74">
              <w:rPr>
                <w:rFonts w:asciiTheme="majorHAnsi" w:hAnsiTheme="majorHAnsi" w:cstheme="majorHAnsi"/>
                <w:sz w:val="20"/>
                <w:szCs w:val="20"/>
              </w:rPr>
              <w:t>Proposal</w:t>
            </w:r>
          </w:p>
        </w:tc>
        <w:tc>
          <w:tcPr>
            <w:tcW w:w="5238" w:type="dxa"/>
            <w:gridSpan w:val="2"/>
          </w:tcPr>
          <w:p w:rsidR="00345941" w:rsidRPr="00B67E99" w:rsidRDefault="00B67E99" w:rsidP="00345941">
            <w:pPr>
              <w:jc w:val="left"/>
              <w:rPr>
                <w:rFonts w:ascii="Times New Roman" w:hAnsi="Times New Roman"/>
              </w:rPr>
            </w:pPr>
            <w:r w:rsidRPr="00B67E99">
              <w:rPr>
                <w:rFonts w:ascii="Times New Roman" w:hAnsi="Times New Roman"/>
                <w:color w:val="000000" w:themeColor="text1"/>
              </w:rPr>
              <w:t>DEQ proposes to address the U.S. Environmental Protection Agency’s Jan. 31, 2013 disapprovals of 11 pesticides and selenium aquatic life toxics criteria that DEQ submitted to EPA in 2004. Amendments also include consolidating the aquatic life toxics criteria contained in three tables to one table, and correcting and clarifying a number of errors related to the Toxic Substances rule from past rulemakings.</w:t>
            </w:r>
            <w:r w:rsidR="00345941" w:rsidRPr="00B67E99">
              <w:rPr>
                <w:rFonts w:ascii="Times New Roman" w:hAnsi="Times New Roman"/>
              </w:rPr>
              <w:t xml:space="preserve"> </w:t>
            </w:r>
          </w:p>
          <w:p w:rsidR="00345941" w:rsidRPr="00C22F74" w:rsidRDefault="00345941" w:rsidP="006D0254">
            <w:pPr>
              <w:rPr>
                <w:rFonts w:ascii="Times New Roman" w:hAnsi="Times New Roman"/>
              </w:rPr>
            </w:pPr>
          </w:p>
        </w:tc>
      </w:tr>
      <w:tr w:rsidR="005C37AA" w:rsidTr="00383781">
        <w:trPr>
          <w:trHeight w:val="719"/>
        </w:trPr>
        <w:tc>
          <w:tcPr>
            <w:tcW w:w="1890" w:type="dxa"/>
          </w:tcPr>
          <w:p w:rsidR="005C37AA" w:rsidRPr="00C22F74" w:rsidRDefault="005C37AA" w:rsidP="005B2CCB">
            <w:pPr>
              <w:rPr>
                <w:rFonts w:asciiTheme="majorHAnsi" w:hAnsiTheme="majorHAnsi" w:cstheme="majorHAnsi"/>
                <w:sz w:val="20"/>
                <w:szCs w:val="20"/>
              </w:rPr>
            </w:pPr>
            <w:r>
              <w:rPr>
                <w:rFonts w:asciiTheme="majorHAnsi" w:hAnsiTheme="majorHAnsi" w:cstheme="majorHAnsi"/>
                <w:sz w:val="20"/>
                <w:szCs w:val="20"/>
              </w:rPr>
              <w:t>Need</w:t>
            </w:r>
          </w:p>
        </w:tc>
        <w:tc>
          <w:tcPr>
            <w:tcW w:w="5238" w:type="dxa"/>
            <w:gridSpan w:val="2"/>
          </w:tcPr>
          <w:p w:rsidR="00B67E99" w:rsidRPr="00B67E99" w:rsidRDefault="00B67E99" w:rsidP="00B67E99">
            <w:pPr>
              <w:pStyle w:val="Default"/>
              <w:spacing w:line="276" w:lineRule="auto"/>
              <w:ind w:left="0" w:right="630"/>
              <w:jc w:val="left"/>
              <w:rPr>
                <w:rFonts w:ascii="Times New Roman" w:hAnsi="Times New Roman" w:cs="Times New Roman"/>
                <w:b w:val="0"/>
              </w:rPr>
            </w:pPr>
            <w:r>
              <w:rPr>
                <w:rFonts w:ascii="Times New Roman" w:hAnsi="Times New Roman" w:cs="Times New Roman"/>
                <w:b w:val="0"/>
                <w:sz w:val="22"/>
                <w:szCs w:val="22"/>
              </w:rPr>
              <w:t xml:space="preserve">The Clean Water </w:t>
            </w:r>
            <w:r w:rsidRPr="00B67E99">
              <w:rPr>
                <w:rFonts w:ascii="Times New Roman" w:hAnsi="Times New Roman" w:cs="Times New Roman"/>
                <w:b w:val="0"/>
                <w:sz w:val="22"/>
                <w:szCs w:val="22"/>
              </w:rPr>
              <w:t xml:space="preserve">Act requires Oregon to fix the deficiencies identified in EPA’s disapproval action. If Oregon does not make these revisions, </w:t>
            </w:r>
            <w:r w:rsidRPr="00B67E99">
              <w:rPr>
                <w:rFonts w:ascii="Times New Roman" w:hAnsi="Times New Roman" w:cs="Times New Roman"/>
                <w:b w:val="0"/>
                <w:sz w:val="22"/>
                <w:szCs w:val="22"/>
              </w:rPr>
              <w:lastRenderedPageBreak/>
              <w:t xml:space="preserve">EPA is required to put in place its own regulations addressing the deficiencies. This rulemaking does not address the disapproval of the freshwater criteria for aluminum, ammonia, copper, and cadmium (acute </w:t>
            </w:r>
            <w:r w:rsidRPr="00B67E99">
              <w:rPr>
                <w:rFonts w:ascii="Times New Roman" w:hAnsi="Times New Roman" w:cs="Times New Roman"/>
                <w:b w:val="0"/>
                <w:color w:val="auto"/>
                <w:sz w:val="22"/>
                <w:szCs w:val="22"/>
              </w:rPr>
              <w:t>criterion</w:t>
            </w:r>
            <w:r w:rsidRPr="00B67E99">
              <w:rPr>
                <w:rFonts w:ascii="Times New Roman" w:hAnsi="Times New Roman" w:cs="Times New Roman"/>
                <w:b w:val="0"/>
                <w:sz w:val="22"/>
                <w:szCs w:val="22"/>
              </w:rPr>
              <w:t xml:space="preserve"> only.) DEQ expects to address the more substantive issues for these pollutants in a future rulemaking rather than delay and potentially confuse the straightforward corrections in this proposal. </w:t>
            </w:r>
          </w:p>
          <w:p w:rsidR="005C37AA" w:rsidRPr="00C22F74" w:rsidRDefault="005C37AA" w:rsidP="00A4468C">
            <w:pPr>
              <w:rPr>
                <w:rFonts w:ascii="Times New Roman" w:hAnsi="Times New Roman"/>
                <w:highlight w:val="lightGray"/>
              </w:rPr>
            </w:pPr>
          </w:p>
        </w:tc>
      </w:tr>
      <w:tr w:rsidR="00021AF8" w:rsidTr="00383781">
        <w:trPr>
          <w:trHeight w:val="719"/>
        </w:trPr>
        <w:tc>
          <w:tcPr>
            <w:tcW w:w="1890" w:type="dxa"/>
          </w:tcPr>
          <w:p w:rsidR="00021AF8" w:rsidRPr="00C22F74" w:rsidRDefault="00021AF8" w:rsidP="005B2CCB">
            <w:pPr>
              <w:jc w:val="left"/>
              <w:rPr>
                <w:rFonts w:asciiTheme="majorHAnsi" w:hAnsiTheme="majorHAnsi" w:cstheme="majorHAnsi"/>
                <w:sz w:val="20"/>
                <w:szCs w:val="20"/>
              </w:rPr>
            </w:pPr>
            <w:r w:rsidRPr="00C22F74">
              <w:rPr>
                <w:rFonts w:asciiTheme="majorHAnsi" w:hAnsiTheme="majorHAnsi" w:cstheme="majorHAnsi"/>
                <w:sz w:val="20"/>
                <w:szCs w:val="20"/>
              </w:rPr>
              <w:lastRenderedPageBreak/>
              <w:t>Affected parties</w:t>
            </w:r>
          </w:p>
        </w:tc>
        <w:tc>
          <w:tcPr>
            <w:tcW w:w="5238" w:type="dxa"/>
            <w:gridSpan w:val="2"/>
          </w:tcPr>
          <w:p w:rsidR="001D2D0E" w:rsidRDefault="001D2D0E" w:rsidP="001D2D0E">
            <w:pPr>
              <w:spacing w:line="276" w:lineRule="auto"/>
              <w:ind w:right="720"/>
              <w:jc w:val="left"/>
              <w:outlineLvl w:val="0"/>
              <w:rPr>
                <w:rFonts w:ascii="Times New Roman" w:eastAsia="Times New Roman" w:hAnsi="Times New Roman"/>
              </w:rPr>
            </w:pPr>
            <w:r w:rsidRPr="00C22462">
              <w:rPr>
                <w:rFonts w:ascii="Times New Roman" w:eastAsia="Times New Roman" w:hAnsi="Times New Roman"/>
              </w:rPr>
              <w:t>Regulated parties</w:t>
            </w:r>
            <w:r>
              <w:rPr>
                <w:rFonts w:ascii="Times New Roman" w:eastAsia="Times New Roman" w:hAnsi="Times New Roman"/>
              </w:rPr>
              <w:t xml:space="preserve"> possibly affected by this rulemaking</w:t>
            </w:r>
            <w:r w:rsidRPr="00C22462">
              <w:rPr>
                <w:rFonts w:ascii="Times New Roman" w:eastAsia="Times New Roman" w:hAnsi="Times New Roman"/>
              </w:rPr>
              <w:t xml:space="preserve"> include</w:t>
            </w:r>
            <w:r>
              <w:rPr>
                <w:rFonts w:ascii="Times New Roman" w:eastAsia="Times New Roman" w:hAnsi="Times New Roman"/>
              </w:rPr>
              <w:t xml:space="preserve"> industrial and municipal dischargers to waters of the state. </w:t>
            </w:r>
          </w:p>
          <w:p w:rsidR="001D2D0E" w:rsidRDefault="001D2D0E" w:rsidP="001D2D0E">
            <w:pPr>
              <w:spacing w:line="276" w:lineRule="auto"/>
              <w:ind w:right="720"/>
              <w:jc w:val="left"/>
              <w:outlineLvl w:val="0"/>
              <w:rPr>
                <w:rFonts w:ascii="Times New Roman" w:eastAsia="Times New Roman" w:hAnsi="Times New Roman"/>
              </w:rPr>
            </w:pPr>
          </w:p>
          <w:p w:rsidR="00827C57" w:rsidRDefault="001D2D0E" w:rsidP="001D2D0E">
            <w:pPr>
              <w:spacing w:line="276" w:lineRule="auto"/>
              <w:ind w:right="720"/>
              <w:jc w:val="left"/>
              <w:outlineLvl w:val="0"/>
              <w:rPr>
                <w:rFonts w:asciiTheme="minorHAnsi" w:hAnsiTheme="minorHAnsi" w:cstheme="minorHAnsi"/>
                <w:color w:val="000000"/>
              </w:rPr>
            </w:pPr>
            <w:r w:rsidRPr="00B806D5">
              <w:rPr>
                <w:rFonts w:asciiTheme="minorHAnsi" w:hAnsiTheme="minorHAnsi" w:cstheme="minorHAnsi"/>
                <w:color w:val="000000"/>
              </w:rPr>
              <w:t>Agr</w:t>
            </w:r>
            <w:r>
              <w:rPr>
                <w:rFonts w:asciiTheme="minorHAnsi" w:hAnsiTheme="minorHAnsi" w:cstheme="minorHAnsi"/>
                <w:color w:val="000000"/>
              </w:rPr>
              <w:t>icultural and forest activities are</w:t>
            </w:r>
            <w:r w:rsidRPr="00B806D5">
              <w:rPr>
                <w:rFonts w:asciiTheme="minorHAnsi" w:hAnsiTheme="minorHAnsi" w:cstheme="minorHAnsi"/>
                <w:color w:val="000000"/>
              </w:rPr>
              <w:t xml:space="preserve"> subject to Agricultural Water Quality Management (</w:t>
            </w:r>
            <w:proofErr w:type="spellStart"/>
            <w:r w:rsidRPr="00B806D5">
              <w:rPr>
                <w:rFonts w:asciiTheme="minorHAnsi" w:hAnsiTheme="minorHAnsi" w:cstheme="minorHAnsi"/>
                <w:color w:val="000000"/>
              </w:rPr>
              <w:t>AgWQM</w:t>
            </w:r>
            <w:proofErr w:type="spellEnd"/>
            <w:r w:rsidRPr="00B806D5">
              <w:rPr>
                <w:rFonts w:asciiTheme="minorHAnsi" w:hAnsiTheme="minorHAnsi" w:cstheme="minorHAnsi"/>
                <w:color w:val="000000"/>
              </w:rPr>
              <w:t>) Area Plans and Rules</w:t>
            </w:r>
            <w:r>
              <w:rPr>
                <w:rFonts w:asciiTheme="minorHAnsi" w:hAnsiTheme="minorHAnsi" w:cstheme="minorHAnsi"/>
                <w:color w:val="000000"/>
              </w:rPr>
              <w:t xml:space="preserve"> and the Forest Practices Act, respectively. Those laws require these nonpoint sources to meet all water quality standards.</w:t>
            </w:r>
          </w:p>
          <w:p w:rsidR="00827C57" w:rsidRDefault="00827C57" w:rsidP="001D2D0E">
            <w:pPr>
              <w:spacing w:line="276" w:lineRule="auto"/>
              <w:ind w:right="720"/>
              <w:jc w:val="left"/>
              <w:outlineLvl w:val="0"/>
              <w:rPr>
                <w:rFonts w:asciiTheme="minorHAnsi" w:hAnsiTheme="minorHAnsi" w:cstheme="minorHAnsi"/>
                <w:color w:val="000000"/>
              </w:rPr>
            </w:pPr>
          </w:p>
          <w:p w:rsidR="001D2D0E" w:rsidRDefault="00827C57" w:rsidP="001D2D0E">
            <w:pPr>
              <w:spacing w:line="276" w:lineRule="auto"/>
              <w:ind w:right="720"/>
              <w:jc w:val="left"/>
              <w:outlineLvl w:val="0"/>
              <w:rPr>
                <w:rFonts w:ascii="Times New Roman" w:eastAsia="Times New Roman" w:hAnsi="Times New Roman"/>
              </w:rPr>
            </w:pPr>
            <w:r>
              <w:rPr>
                <w:rFonts w:asciiTheme="minorHAnsi" w:hAnsiTheme="minorHAnsi" w:cstheme="minorHAnsi"/>
                <w:color w:val="000000"/>
              </w:rPr>
              <w:t>The proposed rules do not impose any new requirements</w:t>
            </w:r>
            <w:r w:rsidR="00C2558F">
              <w:rPr>
                <w:rFonts w:asciiTheme="minorHAnsi" w:hAnsiTheme="minorHAnsi" w:cstheme="minorHAnsi"/>
                <w:color w:val="000000"/>
              </w:rPr>
              <w:t xml:space="preserve"> and are not expected to have any significant impacts.</w:t>
            </w:r>
            <w:r w:rsidR="001D2D0E">
              <w:rPr>
                <w:rFonts w:asciiTheme="minorHAnsi" w:hAnsiTheme="minorHAnsi" w:cstheme="minorHAnsi"/>
                <w:color w:val="000000"/>
              </w:rPr>
              <w:t xml:space="preserve"> </w:t>
            </w:r>
          </w:p>
          <w:p w:rsidR="00021AF8" w:rsidRPr="00C22F74" w:rsidRDefault="00021AF8" w:rsidP="001D2D0E">
            <w:pPr>
              <w:rPr>
                <w:rFonts w:ascii="Times New Roman" w:hAnsi="Times New Roman"/>
              </w:rPr>
            </w:pPr>
          </w:p>
        </w:tc>
      </w:tr>
      <w:tr w:rsidR="002737D8" w:rsidTr="00383781">
        <w:trPr>
          <w:trHeight w:val="449"/>
        </w:trPr>
        <w:tc>
          <w:tcPr>
            <w:tcW w:w="1890" w:type="dxa"/>
          </w:tcPr>
          <w:p w:rsidR="002737D8" w:rsidRPr="00C22F74" w:rsidRDefault="002737D8" w:rsidP="002737D8">
            <w:pPr>
              <w:jc w:val="left"/>
              <w:rPr>
                <w:rFonts w:asciiTheme="majorHAnsi" w:hAnsiTheme="majorHAnsi" w:cstheme="majorHAnsi"/>
                <w:sz w:val="20"/>
                <w:szCs w:val="20"/>
              </w:rPr>
            </w:pPr>
            <w:r>
              <w:rPr>
                <w:rFonts w:asciiTheme="majorHAnsi" w:hAnsiTheme="majorHAnsi" w:cstheme="majorHAnsi"/>
                <w:sz w:val="20"/>
                <w:szCs w:val="20"/>
              </w:rPr>
              <w:t>Staff engagement</w:t>
            </w:r>
          </w:p>
        </w:tc>
        <w:tc>
          <w:tcPr>
            <w:tcW w:w="5238" w:type="dxa"/>
            <w:gridSpan w:val="2"/>
          </w:tcPr>
          <w:p w:rsidR="002737D8" w:rsidRPr="00A4468C" w:rsidRDefault="00C2558F" w:rsidP="002737D8">
            <w:pPr>
              <w:jc w:val="left"/>
              <w:rPr>
                <w:rFonts w:ascii="Times New Roman" w:hAnsi="Times New Roman"/>
              </w:rPr>
            </w:pPr>
            <w:r>
              <w:rPr>
                <w:rFonts w:ascii="Times New Roman" w:hAnsi="Times New Roman"/>
              </w:rPr>
              <w:t>The r</w:t>
            </w:r>
            <w:r w:rsidR="001D2D0E" w:rsidRPr="00A4468C">
              <w:rPr>
                <w:rFonts w:ascii="Times New Roman" w:hAnsi="Times New Roman"/>
              </w:rPr>
              <w:t>ulemaking team i</w:t>
            </w:r>
            <w:r>
              <w:rPr>
                <w:rFonts w:ascii="Times New Roman" w:hAnsi="Times New Roman"/>
              </w:rPr>
              <w:t>nvited Regional and Headquarters permitting staff, Headquarter</w:t>
            </w:r>
            <w:r w:rsidR="001D2D0E" w:rsidRPr="00A4468C">
              <w:rPr>
                <w:rFonts w:ascii="Times New Roman" w:hAnsi="Times New Roman"/>
              </w:rPr>
              <w:t>s staff in the TMDL and Clean Up programs, and lab staff to provide comment</w:t>
            </w:r>
            <w:r>
              <w:rPr>
                <w:rFonts w:ascii="Times New Roman" w:hAnsi="Times New Roman"/>
              </w:rPr>
              <w:t>s</w:t>
            </w:r>
            <w:r w:rsidR="001D2D0E" w:rsidRPr="00A4468C">
              <w:rPr>
                <w:rFonts w:ascii="Times New Roman" w:hAnsi="Times New Roman"/>
              </w:rPr>
              <w:t xml:space="preserve"> on this rulemaking. </w:t>
            </w:r>
          </w:p>
          <w:p w:rsidR="002737D8" w:rsidRPr="00C22F74" w:rsidRDefault="002737D8" w:rsidP="00DE74EC">
            <w:pPr>
              <w:rPr>
                <w:rFonts w:ascii="Times New Roman" w:hAnsi="Times New Roman"/>
                <w:highlight w:val="lightGray"/>
              </w:rPr>
            </w:pPr>
          </w:p>
        </w:tc>
      </w:tr>
      <w:tr w:rsidR="00021AF8" w:rsidTr="00383781">
        <w:tc>
          <w:tcPr>
            <w:tcW w:w="1890" w:type="dxa"/>
          </w:tcPr>
          <w:p w:rsidR="00021AF8" w:rsidRPr="00C22F74" w:rsidRDefault="00021AF8" w:rsidP="006D0254">
            <w:pPr>
              <w:jc w:val="left"/>
              <w:rPr>
                <w:rFonts w:asciiTheme="majorHAnsi" w:hAnsiTheme="majorHAnsi" w:cstheme="majorHAnsi"/>
                <w:sz w:val="20"/>
                <w:szCs w:val="20"/>
              </w:rPr>
            </w:pPr>
            <w:r w:rsidRPr="00C22F74">
              <w:rPr>
                <w:rFonts w:asciiTheme="majorHAnsi" w:hAnsiTheme="majorHAnsi" w:cstheme="majorHAnsi"/>
                <w:sz w:val="20"/>
                <w:szCs w:val="20"/>
              </w:rPr>
              <w:t>Authority</w:t>
            </w:r>
          </w:p>
        </w:tc>
        <w:tc>
          <w:tcPr>
            <w:tcW w:w="5238" w:type="dxa"/>
            <w:gridSpan w:val="2"/>
          </w:tcPr>
          <w:p w:rsidR="00021AF8" w:rsidRDefault="00A4468C" w:rsidP="005C37AA">
            <w:pPr>
              <w:jc w:val="left"/>
              <w:rPr>
                <w:rFonts w:ascii="Times New Roman" w:hAnsi="Times New Roman"/>
              </w:rPr>
            </w:pPr>
            <w:r w:rsidRPr="00A4468C">
              <w:rPr>
                <w:rFonts w:ascii="Times New Roman" w:hAnsi="Times New Roman"/>
              </w:rPr>
              <w:t xml:space="preserve">The Oregon Revised Statutes </w:t>
            </w:r>
            <w:r w:rsidR="00827C57" w:rsidRPr="00A4468C">
              <w:rPr>
                <w:rFonts w:ascii="Times New Roman" w:hAnsi="Times New Roman"/>
              </w:rPr>
              <w:t>give the EQC authority to adopt rules and standards</w:t>
            </w:r>
            <w:r w:rsidRPr="00A4468C">
              <w:rPr>
                <w:rFonts w:ascii="Times New Roman" w:hAnsi="Times New Roman"/>
              </w:rPr>
              <w:t xml:space="preserve"> to protect water quality</w:t>
            </w:r>
            <w:r w:rsidR="00827C57" w:rsidRPr="00A4468C">
              <w:rPr>
                <w:rFonts w:ascii="Times New Roman" w:hAnsi="Times New Roman"/>
              </w:rPr>
              <w:t>,</w:t>
            </w:r>
            <w:r w:rsidRPr="00A4468C">
              <w:rPr>
                <w:rFonts w:ascii="Times New Roman" w:hAnsi="Times New Roman"/>
              </w:rPr>
              <w:t xml:space="preserve"> and to establish effluent limitations</w:t>
            </w:r>
            <w:r>
              <w:rPr>
                <w:rFonts w:ascii="Times New Roman" w:hAnsi="Times New Roman"/>
              </w:rPr>
              <w:t>.</w:t>
            </w:r>
          </w:p>
          <w:p w:rsidR="005C37AA" w:rsidRPr="00C22F74" w:rsidRDefault="005C37AA" w:rsidP="006D0254">
            <w:pPr>
              <w:rPr>
                <w:rFonts w:ascii="Times New Roman" w:hAnsi="Times New Roman"/>
              </w:rPr>
            </w:pPr>
          </w:p>
        </w:tc>
      </w:tr>
      <w:tr w:rsidR="00345941" w:rsidTr="00383781">
        <w:tc>
          <w:tcPr>
            <w:tcW w:w="1890" w:type="dxa"/>
          </w:tcPr>
          <w:p w:rsidR="00345941" w:rsidRPr="00C22F74" w:rsidRDefault="00345941" w:rsidP="006D0254">
            <w:pPr>
              <w:jc w:val="left"/>
              <w:rPr>
                <w:rFonts w:asciiTheme="majorHAnsi" w:hAnsiTheme="majorHAnsi" w:cstheme="majorHAnsi"/>
                <w:sz w:val="20"/>
                <w:szCs w:val="20"/>
              </w:rPr>
            </w:pPr>
            <w:r w:rsidRPr="00C22F74">
              <w:rPr>
                <w:rFonts w:asciiTheme="majorHAnsi" w:hAnsiTheme="majorHAnsi" w:cstheme="majorHAnsi"/>
                <w:sz w:val="20"/>
                <w:szCs w:val="20"/>
              </w:rPr>
              <w:t>Public comment</w:t>
            </w:r>
          </w:p>
        </w:tc>
        <w:tc>
          <w:tcPr>
            <w:tcW w:w="2619" w:type="dxa"/>
          </w:tcPr>
          <w:p w:rsidR="00844E40" w:rsidRPr="00C22F74" w:rsidRDefault="00844E40" w:rsidP="00844E40">
            <w:pPr>
              <w:jc w:val="left"/>
              <w:rPr>
                <w:rFonts w:ascii="Times New Roman" w:hAnsi="Times New Roman"/>
              </w:rPr>
            </w:pPr>
            <w:r w:rsidRPr="00C22F74">
              <w:rPr>
                <w:rFonts w:ascii="Times New Roman" w:hAnsi="Times New Roman"/>
              </w:rPr>
              <w:t xml:space="preserve">Starts </w:t>
            </w:r>
            <w:r w:rsidR="00A4468C" w:rsidRPr="00A4468C">
              <w:rPr>
                <w:rFonts w:ascii="Times New Roman" w:hAnsi="Times New Roman"/>
              </w:rPr>
              <w:t xml:space="preserve">Sept. 1, </w:t>
            </w:r>
            <w:r w:rsidR="00A4468C">
              <w:rPr>
                <w:rFonts w:ascii="Times New Roman" w:hAnsi="Times New Roman"/>
              </w:rPr>
              <w:t>2013</w:t>
            </w:r>
            <w:r w:rsidRPr="00C22F74">
              <w:rPr>
                <w:rFonts w:ascii="Times New Roman" w:hAnsi="Times New Roman"/>
              </w:rPr>
              <w:t xml:space="preserve">   </w:t>
            </w:r>
          </w:p>
          <w:p w:rsidR="00345941" w:rsidRPr="00C22F74" w:rsidRDefault="00345941" w:rsidP="00844E40">
            <w:pPr>
              <w:jc w:val="left"/>
              <w:rPr>
                <w:rFonts w:ascii="Times New Roman" w:hAnsi="Times New Roman"/>
              </w:rPr>
            </w:pPr>
          </w:p>
        </w:tc>
        <w:tc>
          <w:tcPr>
            <w:tcW w:w="2619" w:type="dxa"/>
          </w:tcPr>
          <w:p w:rsidR="00345941" w:rsidRPr="00C22F74" w:rsidRDefault="00844E40" w:rsidP="006D0254">
            <w:pPr>
              <w:rPr>
                <w:rFonts w:ascii="Times New Roman" w:hAnsi="Times New Roman"/>
              </w:rPr>
            </w:pPr>
            <w:r w:rsidRPr="00C22F74">
              <w:rPr>
                <w:rFonts w:ascii="Times New Roman" w:hAnsi="Times New Roman"/>
              </w:rPr>
              <w:t xml:space="preserve">Ends </w:t>
            </w:r>
            <w:r w:rsidR="00A4468C" w:rsidRPr="00A4468C">
              <w:rPr>
                <w:rFonts w:ascii="Times New Roman" w:hAnsi="Times New Roman"/>
              </w:rPr>
              <w:t>Sept. 30</w:t>
            </w:r>
            <w:r w:rsidRPr="00A4468C">
              <w:rPr>
                <w:rFonts w:ascii="Times New Roman" w:hAnsi="Times New Roman"/>
              </w:rPr>
              <w:t xml:space="preserve">, </w:t>
            </w:r>
            <w:r w:rsidR="00A4468C">
              <w:rPr>
                <w:rFonts w:ascii="Times New Roman" w:hAnsi="Times New Roman"/>
              </w:rPr>
              <w:t>2013</w:t>
            </w:r>
          </w:p>
        </w:tc>
      </w:tr>
      <w:tr w:rsidR="00345941" w:rsidTr="00383781">
        <w:tc>
          <w:tcPr>
            <w:tcW w:w="1890" w:type="dxa"/>
          </w:tcPr>
          <w:p w:rsidR="00345941" w:rsidRPr="00C22F74" w:rsidRDefault="00345941" w:rsidP="006D0254">
            <w:pPr>
              <w:jc w:val="left"/>
              <w:rPr>
                <w:rFonts w:asciiTheme="majorHAnsi" w:hAnsiTheme="majorHAnsi" w:cstheme="majorHAnsi"/>
                <w:sz w:val="20"/>
                <w:szCs w:val="20"/>
              </w:rPr>
            </w:pPr>
            <w:r w:rsidRPr="00C22F74">
              <w:rPr>
                <w:rFonts w:asciiTheme="majorHAnsi" w:hAnsiTheme="majorHAnsi" w:cstheme="majorHAnsi"/>
                <w:sz w:val="20"/>
                <w:szCs w:val="20"/>
              </w:rPr>
              <w:t>EQC meeting</w:t>
            </w:r>
          </w:p>
        </w:tc>
        <w:tc>
          <w:tcPr>
            <w:tcW w:w="2619" w:type="dxa"/>
          </w:tcPr>
          <w:p w:rsidR="00844E40" w:rsidRPr="005C37AA" w:rsidRDefault="00A4468C" w:rsidP="00844E40">
            <w:pPr>
              <w:jc w:val="left"/>
              <w:rPr>
                <w:rFonts w:ascii="Times New Roman" w:hAnsi="Times New Roman"/>
              </w:rPr>
            </w:pPr>
            <w:r w:rsidRPr="00A4468C">
              <w:rPr>
                <w:rFonts w:ascii="Times New Roman" w:hAnsi="Times New Roman"/>
              </w:rPr>
              <w:t xml:space="preserve">Dec. 11-12, </w:t>
            </w:r>
            <w:r>
              <w:rPr>
                <w:rFonts w:ascii="Times New Roman" w:hAnsi="Times New Roman"/>
              </w:rPr>
              <w:t>2013</w:t>
            </w:r>
          </w:p>
          <w:p w:rsidR="00345941" w:rsidRPr="00C22F74" w:rsidRDefault="00345941" w:rsidP="006D0254">
            <w:pPr>
              <w:jc w:val="left"/>
              <w:rPr>
                <w:rFonts w:ascii="Times New Roman" w:hAnsi="Times New Roman"/>
              </w:rPr>
            </w:pPr>
          </w:p>
        </w:tc>
        <w:tc>
          <w:tcPr>
            <w:tcW w:w="2619" w:type="dxa"/>
          </w:tcPr>
          <w:p w:rsidR="00345941" w:rsidRPr="00C22F74" w:rsidRDefault="00345941" w:rsidP="006D0254">
            <w:pPr>
              <w:rPr>
                <w:rFonts w:ascii="Times New Roman" w:hAnsi="Times New Roman"/>
              </w:rPr>
            </w:pPr>
          </w:p>
        </w:tc>
      </w:tr>
    </w:tbl>
    <w:p w:rsidR="00A666AC" w:rsidRDefault="00A666AC" w:rsidP="00A666AC">
      <w:pPr>
        <w:rPr>
          <w:rFonts w:ascii="Times New Roman" w:hAnsi="Times New Roman"/>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44E40">
        <w:rPr>
          <w:rFonts w:ascii="Times New Roman" w:hAnsi="Times New Roman"/>
          <w:sz w:val="24"/>
          <w:szCs w:val="24"/>
        </w:rPr>
        <w:t xml:space="preserve"> </w:t>
      </w:r>
    </w:p>
    <w:p w:rsidR="00A666AC" w:rsidRDefault="00A666AC" w:rsidP="00A666AC">
      <w:pPr>
        <w:rPr>
          <w:rFonts w:ascii="Times New Roman" w:hAnsi="Times New Roman"/>
        </w:rPr>
      </w:pPr>
    </w:p>
    <w:p w:rsidR="00C61511" w:rsidRPr="00A666AC" w:rsidRDefault="007B5D20" w:rsidP="00A666AC">
      <w:pPr>
        <w:ind w:left="2160"/>
        <w:rPr>
          <w:rFonts w:ascii="Times New Roman" w:hAnsi="Times New Roman"/>
          <w:sz w:val="24"/>
          <w:szCs w:val="24"/>
        </w:rPr>
      </w:pPr>
      <w:r w:rsidRPr="007B5D20">
        <w:rPr>
          <w:noProof/>
        </w:rPr>
        <w:pict>
          <v:shapetype id="_x0000_t202" coordsize="21600,21600" o:spt="202" path="m,l,21600r21600,l21600,xe">
            <v:stroke joinstyle="miter"/>
            <v:path gradientshapeok="t" o:connecttype="rect"/>
          </v:shapetype>
          <v:shape id="_x0000_s1027" type="#_x0000_t202" style="position:absolute;left:0;text-align:left;margin-left:104.9pt;margin-top:2.35pt;width:355pt;height:63.2pt;z-index:251660288;mso-position-horizontal-relative:text;mso-position-vertical-relative:text" fillcolor="#b6c5cd" strokecolor="#3f515a [2408]">
            <v:fill color2="#e7eeee [662]" rotate="t" focus="100%" type="gradient"/>
            <v:textbox>
              <w:txbxContent>
                <w:p w:rsidR="00F92616" w:rsidRDefault="00F92616" w:rsidP="00C07369">
                  <w:pPr>
                    <w:rPr>
                      <w:rFonts w:ascii="Times New Roman" w:hAnsi="Times New Roman"/>
                      <w:sz w:val="24"/>
                      <w:szCs w:val="24"/>
                    </w:rPr>
                  </w:pPr>
                  <w:r>
                    <w:rPr>
                      <w:rFonts w:ascii="Times New Roman" w:hAnsi="Times New Roman"/>
                      <w:color w:val="2A363C" w:themeColor="accent5" w:themeShade="80"/>
                    </w:rPr>
                    <w:t>E</w:t>
                  </w:r>
                  <w:r w:rsidRPr="002800D5">
                    <w:rPr>
                      <w:rFonts w:ascii="Times New Roman" w:hAnsi="Times New Roman"/>
                      <w:color w:val="2A363C" w:themeColor="accent5" w:themeShade="80"/>
                    </w:rPr>
                    <w:t xml:space="preserve">mails about this rulemaking are part of the required rulemaking record. </w:t>
                  </w:r>
                  <w:r>
                    <w:rPr>
                      <w:rFonts w:ascii="Times New Roman" w:hAnsi="Times New Roman"/>
                      <w:color w:val="2A363C" w:themeColor="accent5" w:themeShade="80"/>
                    </w:rPr>
                    <w:t xml:space="preserve"> The </w:t>
                  </w:r>
                  <w:r w:rsidRPr="002800D5">
                    <w:rPr>
                      <w:rFonts w:ascii="Times New Roman" w:hAnsi="Times New Roman"/>
                      <w:color w:val="2A363C" w:themeColor="accent5" w:themeShade="80"/>
                    </w:rPr>
                    <w:t>rule writer</w:t>
                  </w:r>
                  <w:r>
                    <w:rPr>
                      <w:rFonts w:ascii="Times New Roman" w:hAnsi="Times New Roman"/>
                      <w:color w:val="2A363C" w:themeColor="accent5" w:themeShade="80"/>
                    </w:rPr>
                    <w:t xml:space="preserve"> on the </w:t>
                  </w:r>
                  <w:r w:rsidRPr="00843E70">
                    <w:rPr>
                      <w:rFonts w:ascii="Times New Roman" w:hAnsi="Times New Roman"/>
                      <w:b/>
                      <w:color w:val="2A363C" w:themeColor="accent5" w:themeShade="80"/>
                    </w:rPr>
                    <w:t>Cc.</w:t>
                  </w:r>
                  <w:r>
                    <w:rPr>
                      <w:rFonts w:ascii="Times New Roman" w:hAnsi="Times New Roman"/>
                      <w:b/>
                      <w:color w:val="2A363C" w:themeColor="accent5" w:themeShade="80"/>
                    </w:rPr>
                    <w:t>.</w:t>
                  </w:r>
                  <w:r w:rsidRPr="00843E70">
                    <w:rPr>
                      <w:rFonts w:ascii="Times New Roman" w:hAnsi="Times New Roman"/>
                      <w:b/>
                      <w:color w:val="2A363C" w:themeColor="accent5" w:themeShade="80"/>
                    </w:rPr>
                    <w:t>.</w:t>
                  </w:r>
                  <w:r w:rsidRPr="002800D5">
                    <w:rPr>
                      <w:rFonts w:ascii="Times New Roman" w:hAnsi="Times New Roman"/>
                      <w:color w:val="2A363C" w:themeColor="accent5" w:themeShade="80"/>
                    </w:rPr>
                    <w:t xml:space="preserve"> line</w:t>
                  </w:r>
                  <w:r>
                    <w:rPr>
                      <w:rFonts w:ascii="Times New Roman" w:hAnsi="Times New Roman"/>
                      <w:color w:val="2A363C" w:themeColor="accent5" w:themeShade="80"/>
                    </w:rPr>
                    <w:t xml:space="preserve"> is t</w:t>
                  </w:r>
                  <w:r w:rsidRPr="002800D5">
                    <w:rPr>
                      <w:rFonts w:ascii="Times New Roman" w:hAnsi="Times New Roman"/>
                      <w:color w:val="2A363C" w:themeColor="accent5" w:themeShade="80"/>
                    </w:rPr>
                    <w:t xml:space="preserve">he custodian of </w:t>
                  </w:r>
                  <w:r>
                    <w:rPr>
                      <w:rFonts w:ascii="Times New Roman" w:hAnsi="Times New Roman"/>
                      <w:color w:val="2A363C" w:themeColor="accent5" w:themeShade="80"/>
                    </w:rPr>
                    <w:t xml:space="preserve">this email chain. </w:t>
                  </w:r>
                  <w:r w:rsidRPr="002800D5">
                    <w:rPr>
                      <w:rFonts w:ascii="Times New Roman" w:hAnsi="Times New Roman"/>
                      <w:color w:val="2A363C" w:themeColor="accent5" w:themeShade="80"/>
                    </w:rPr>
                    <w:t>This means, you are not responsible for maintaining th</w:t>
                  </w:r>
                  <w:r>
                    <w:rPr>
                      <w:rFonts w:ascii="Times New Roman" w:hAnsi="Times New Roman"/>
                      <w:color w:val="2A363C" w:themeColor="accent5" w:themeShade="80"/>
                    </w:rPr>
                    <w:t xml:space="preserve">is </w:t>
                  </w:r>
                  <w:r w:rsidRPr="002800D5">
                    <w:rPr>
                      <w:rFonts w:ascii="Times New Roman" w:hAnsi="Times New Roman"/>
                      <w:color w:val="2A363C" w:themeColor="accent5" w:themeShade="80"/>
                    </w:rPr>
                    <w:t>email</w:t>
                  </w:r>
                  <w:r>
                    <w:rPr>
                      <w:rFonts w:ascii="Times New Roman" w:hAnsi="Times New Roman"/>
                      <w:color w:val="2A363C" w:themeColor="accent5" w:themeShade="80"/>
                    </w:rPr>
                    <w:t xml:space="preserve"> or any responses that include the rule writer on the </w:t>
                  </w:r>
                  <w:r w:rsidRPr="0071075E">
                    <w:rPr>
                      <w:rFonts w:ascii="Times New Roman" w:hAnsi="Times New Roman"/>
                      <w:b/>
                      <w:color w:val="2A363C" w:themeColor="accent5" w:themeShade="80"/>
                    </w:rPr>
                    <w:t>To…</w:t>
                  </w:r>
                  <w:r>
                    <w:rPr>
                      <w:rFonts w:ascii="Times New Roman" w:hAnsi="Times New Roman"/>
                      <w:color w:val="2A363C" w:themeColor="accent5" w:themeShade="80"/>
                    </w:rPr>
                    <w:t xml:space="preserve"> or </w:t>
                  </w:r>
                  <w:r w:rsidRPr="00843E70">
                    <w:rPr>
                      <w:rFonts w:ascii="Times New Roman" w:hAnsi="Times New Roman"/>
                      <w:b/>
                      <w:color w:val="2A363C" w:themeColor="accent5" w:themeShade="80"/>
                    </w:rPr>
                    <w:t>Cc.</w:t>
                  </w:r>
                  <w:r>
                    <w:rPr>
                      <w:rFonts w:ascii="Times New Roman" w:hAnsi="Times New Roman"/>
                      <w:b/>
                      <w:color w:val="2A363C" w:themeColor="accent5" w:themeShade="80"/>
                    </w:rPr>
                    <w:t>.</w:t>
                  </w:r>
                  <w:r w:rsidRPr="00843E70">
                    <w:rPr>
                      <w:rFonts w:ascii="Times New Roman" w:hAnsi="Times New Roman"/>
                      <w:b/>
                      <w:color w:val="2A363C" w:themeColor="accent5" w:themeShade="80"/>
                    </w:rPr>
                    <w:t>.</w:t>
                  </w:r>
                  <w:r w:rsidRPr="002800D5">
                    <w:rPr>
                      <w:rFonts w:ascii="Times New Roman" w:hAnsi="Times New Roman"/>
                      <w:color w:val="2A363C" w:themeColor="accent5" w:themeShade="80"/>
                    </w:rPr>
                    <w:t xml:space="preserve"> line</w:t>
                  </w:r>
                  <w:r>
                    <w:rPr>
                      <w:rFonts w:ascii="Times New Roman" w:hAnsi="Times New Roman"/>
                      <w:color w:val="2A363C" w:themeColor="accent5" w:themeShade="80"/>
                    </w:rPr>
                    <w:t>.</w:t>
                  </w:r>
                  <w:r>
                    <w:rPr>
                      <w:rFonts w:ascii="Times New Roman" w:hAnsi="Times New Roman"/>
                    </w:rPr>
                    <w:t xml:space="preserve"> </w:t>
                  </w:r>
                </w:p>
                <w:p w:rsidR="00F92616" w:rsidRPr="00A666AC" w:rsidRDefault="00F92616" w:rsidP="00A666AC"/>
              </w:txbxContent>
            </v:textbox>
            <w10:wrap type="square"/>
          </v:shape>
        </w:pict>
      </w:r>
    </w:p>
    <w:sectPr w:rsidR="00C61511" w:rsidRPr="00A666AC" w:rsidSect="005C37AA">
      <w:pgSz w:w="12240" w:h="15840"/>
      <w:pgMar w:top="630" w:right="1440" w:bottom="90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33D22"/>
    <w:multiLevelType w:val="hybridMultilevel"/>
    <w:tmpl w:val="EC4CBD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stylePaneFormatFilter w:val="1728"/>
  <w:defaultTabStop w:val="720"/>
  <w:characterSpacingControl w:val="doNotCompress"/>
  <w:compat/>
  <w:rsids>
    <w:rsidRoot w:val="0027593B"/>
    <w:rsid w:val="00021AF8"/>
    <w:rsid w:val="00047512"/>
    <w:rsid w:val="00081375"/>
    <w:rsid w:val="00093587"/>
    <w:rsid w:val="001340D9"/>
    <w:rsid w:val="0017355E"/>
    <w:rsid w:val="001836B4"/>
    <w:rsid w:val="001D2D0E"/>
    <w:rsid w:val="001F3FB7"/>
    <w:rsid w:val="002737D8"/>
    <w:rsid w:val="0027593B"/>
    <w:rsid w:val="002800D5"/>
    <w:rsid w:val="00294A7A"/>
    <w:rsid w:val="002F4FAC"/>
    <w:rsid w:val="00303715"/>
    <w:rsid w:val="00313D83"/>
    <w:rsid w:val="00342816"/>
    <w:rsid w:val="00345941"/>
    <w:rsid w:val="00350968"/>
    <w:rsid w:val="00352F63"/>
    <w:rsid w:val="00383781"/>
    <w:rsid w:val="003B3F6E"/>
    <w:rsid w:val="00406CA6"/>
    <w:rsid w:val="0041427E"/>
    <w:rsid w:val="00472D42"/>
    <w:rsid w:val="00483513"/>
    <w:rsid w:val="004A26CB"/>
    <w:rsid w:val="004B07ED"/>
    <w:rsid w:val="00502D83"/>
    <w:rsid w:val="005122D6"/>
    <w:rsid w:val="00593CFF"/>
    <w:rsid w:val="005B2CCB"/>
    <w:rsid w:val="005C2368"/>
    <w:rsid w:val="005C37AA"/>
    <w:rsid w:val="005C7944"/>
    <w:rsid w:val="006231BF"/>
    <w:rsid w:val="006732E3"/>
    <w:rsid w:val="006D0254"/>
    <w:rsid w:val="006D1F14"/>
    <w:rsid w:val="0071075E"/>
    <w:rsid w:val="00725AED"/>
    <w:rsid w:val="00734E3A"/>
    <w:rsid w:val="00766F0B"/>
    <w:rsid w:val="007947AD"/>
    <w:rsid w:val="007B16BF"/>
    <w:rsid w:val="007B5D20"/>
    <w:rsid w:val="007D56D0"/>
    <w:rsid w:val="00805F4B"/>
    <w:rsid w:val="00827C57"/>
    <w:rsid w:val="00843E70"/>
    <w:rsid w:val="00844E40"/>
    <w:rsid w:val="0085038A"/>
    <w:rsid w:val="00897C67"/>
    <w:rsid w:val="00900CCD"/>
    <w:rsid w:val="009C0F09"/>
    <w:rsid w:val="009C3879"/>
    <w:rsid w:val="009C4F7D"/>
    <w:rsid w:val="009C5CAD"/>
    <w:rsid w:val="009D238B"/>
    <w:rsid w:val="009F215B"/>
    <w:rsid w:val="00A4468C"/>
    <w:rsid w:val="00A666AC"/>
    <w:rsid w:val="00AA618F"/>
    <w:rsid w:val="00B63031"/>
    <w:rsid w:val="00B67E99"/>
    <w:rsid w:val="00B93DED"/>
    <w:rsid w:val="00BC6EC4"/>
    <w:rsid w:val="00BF3450"/>
    <w:rsid w:val="00BF5D1A"/>
    <w:rsid w:val="00C07369"/>
    <w:rsid w:val="00C2127D"/>
    <w:rsid w:val="00C22F74"/>
    <w:rsid w:val="00C2558F"/>
    <w:rsid w:val="00C40AE4"/>
    <w:rsid w:val="00C61511"/>
    <w:rsid w:val="00CE72B3"/>
    <w:rsid w:val="00D56F36"/>
    <w:rsid w:val="00D6283B"/>
    <w:rsid w:val="00D77FF6"/>
    <w:rsid w:val="00DE74EC"/>
    <w:rsid w:val="00E00C37"/>
    <w:rsid w:val="00E0408C"/>
    <w:rsid w:val="00E31024"/>
    <w:rsid w:val="00ED048B"/>
    <w:rsid w:val="00F00DCD"/>
    <w:rsid w:val="00F7042C"/>
    <w:rsid w:val="00F92616"/>
    <w:rsid w:val="00F934E5"/>
    <w:rsid w:val="00F93F41"/>
    <w:rsid w:val="00F962DA"/>
    <w:rsid w:val="00FB0602"/>
    <w:rsid w:val="00FF22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93B"/>
    <w:pPr>
      <w:spacing w:after="0" w:line="240" w:lineRule="auto"/>
      <w:jc w:val="left"/>
    </w:pPr>
    <w:rPr>
      <w:rFonts w:ascii="Calibri" w:hAnsi="Calibri" w:cs="Times New Roman"/>
      <w:sz w:val="22"/>
      <w:szCs w:val="22"/>
      <w:lang w:bidi="ar-SA"/>
    </w:rPr>
  </w:style>
  <w:style w:type="paragraph" w:styleId="Heading1">
    <w:name w:val="heading 1"/>
    <w:basedOn w:val="Normal"/>
    <w:next w:val="Normal"/>
    <w:link w:val="Heading1Char"/>
    <w:uiPriority w:val="9"/>
    <w:qFormat/>
    <w:rsid w:val="002F4FAC"/>
    <w:pPr>
      <w:spacing w:before="300" w:after="40"/>
      <w:outlineLvl w:val="0"/>
    </w:pPr>
    <w:rPr>
      <w:smallCaps/>
      <w:spacing w:val="5"/>
      <w:sz w:val="32"/>
      <w:szCs w:val="32"/>
    </w:rPr>
  </w:style>
  <w:style w:type="paragraph" w:styleId="Heading2">
    <w:name w:val="heading 2"/>
    <w:basedOn w:val="Normal"/>
    <w:next w:val="Normal"/>
    <w:link w:val="Heading2Char"/>
    <w:uiPriority w:val="9"/>
    <w:semiHidden/>
    <w:unhideWhenUsed/>
    <w:qFormat/>
    <w:rsid w:val="002F4FAC"/>
    <w:pPr>
      <w:spacing w:before="240" w:after="80"/>
      <w:outlineLvl w:val="1"/>
    </w:pPr>
    <w:rPr>
      <w:smallCaps/>
      <w:spacing w:val="5"/>
      <w:sz w:val="28"/>
      <w:szCs w:val="28"/>
    </w:rPr>
  </w:style>
  <w:style w:type="paragraph" w:styleId="Heading3">
    <w:name w:val="heading 3"/>
    <w:basedOn w:val="Normal"/>
    <w:next w:val="Normal"/>
    <w:link w:val="Heading3Char"/>
    <w:uiPriority w:val="9"/>
    <w:semiHidden/>
    <w:unhideWhenUsed/>
    <w:qFormat/>
    <w:rsid w:val="002F4FAC"/>
    <w:pPr>
      <w:outlineLvl w:val="2"/>
    </w:pPr>
    <w:rPr>
      <w:smallCaps/>
      <w:spacing w:val="5"/>
      <w:sz w:val="24"/>
      <w:szCs w:val="24"/>
    </w:rPr>
  </w:style>
  <w:style w:type="paragraph" w:styleId="Heading4">
    <w:name w:val="heading 4"/>
    <w:basedOn w:val="Normal"/>
    <w:next w:val="Normal"/>
    <w:link w:val="Heading4Char"/>
    <w:uiPriority w:val="9"/>
    <w:semiHidden/>
    <w:unhideWhenUsed/>
    <w:qFormat/>
    <w:rsid w:val="002F4FAC"/>
    <w:pPr>
      <w:spacing w:before="240"/>
      <w:outlineLvl w:val="3"/>
    </w:pPr>
    <w:rPr>
      <w:smallCaps/>
      <w:spacing w:val="10"/>
    </w:rPr>
  </w:style>
  <w:style w:type="paragraph" w:styleId="Heading5">
    <w:name w:val="heading 5"/>
    <w:basedOn w:val="Normal"/>
    <w:next w:val="Normal"/>
    <w:link w:val="Heading5Char"/>
    <w:uiPriority w:val="9"/>
    <w:semiHidden/>
    <w:unhideWhenUsed/>
    <w:qFormat/>
    <w:rsid w:val="002F4FAC"/>
    <w:pPr>
      <w:spacing w:before="200"/>
      <w:outlineLvl w:val="4"/>
    </w:pPr>
    <w:rPr>
      <w:smallCaps/>
      <w:color w:val="988600" w:themeColor="accent2" w:themeShade="BF"/>
      <w:spacing w:val="10"/>
      <w:szCs w:val="26"/>
    </w:rPr>
  </w:style>
  <w:style w:type="paragraph" w:styleId="Heading6">
    <w:name w:val="heading 6"/>
    <w:basedOn w:val="Normal"/>
    <w:next w:val="Normal"/>
    <w:link w:val="Heading6Char"/>
    <w:uiPriority w:val="9"/>
    <w:semiHidden/>
    <w:unhideWhenUsed/>
    <w:qFormat/>
    <w:rsid w:val="002F4FAC"/>
    <w:pPr>
      <w:outlineLvl w:val="5"/>
    </w:pPr>
    <w:rPr>
      <w:smallCaps/>
      <w:color w:val="CCB400" w:themeColor="accent2"/>
      <w:spacing w:val="5"/>
    </w:rPr>
  </w:style>
  <w:style w:type="paragraph" w:styleId="Heading7">
    <w:name w:val="heading 7"/>
    <w:basedOn w:val="Normal"/>
    <w:next w:val="Normal"/>
    <w:link w:val="Heading7Char"/>
    <w:uiPriority w:val="9"/>
    <w:semiHidden/>
    <w:unhideWhenUsed/>
    <w:qFormat/>
    <w:rsid w:val="002F4FAC"/>
    <w:pPr>
      <w:outlineLvl w:val="6"/>
    </w:pPr>
    <w:rPr>
      <w:b/>
      <w:smallCaps/>
      <w:color w:val="CCB400" w:themeColor="accent2"/>
      <w:spacing w:val="10"/>
    </w:rPr>
  </w:style>
  <w:style w:type="paragraph" w:styleId="Heading8">
    <w:name w:val="heading 8"/>
    <w:basedOn w:val="Normal"/>
    <w:next w:val="Normal"/>
    <w:link w:val="Heading8Char"/>
    <w:uiPriority w:val="9"/>
    <w:semiHidden/>
    <w:unhideWhenUsed/>
    <w:qFormat/>
    <w:rsid w:val="002F4FAC"/>
    <w:pPr>
      <w:outlineLvl w:val="7"/>
    </w:pPr>
    <w:rPr>
      <w:b/>
      <w:i/>
      <w:smallCaps/>
      <w:color w:val="988600" w:themeColor="accent2" w:themeShade="BF"/>
    </w:rPr>
  </w:style>
  <w:style w:type="paragraph" w:styleId="Heading9">
    <w:name w:val="heading 9"/>
    <w:basedOn w:val="Normal"/>
    <w:next w:val="Normal"/>
    <w:link w:val="Heading9Char"/>
    <w:uiPriority w:val="9"/>
    <w:semiHidden/>
    <w:unhideWhenUsed/>
    <w:qFormat/>
    <w:rsid w:val="002F4FAC"/>
    <w:pPr>
      <w:outlineLvl w:val="8"/>
    </w:pPr>
    <w:rPr>
      <w:b/>
      <w:i/>
      <w:smallCaps/>
      <w:color w:val="655900"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F4FAC"/>
    <w:rPr>
      <w:b/>
      <w:color w:val="CCB400" w:themeColor="accent2"/>
    </w:rPr>
  </w:style>
  <w:style w:type="paragraph" w:styleId="ListParagraph">
    <w:name w:val="List Paragraph"/>
    <w:basedOn w:val="Normal"/>
    <w:uiPriority w:val="34"/>
    <w:qFormat/>
    <w:rsid w:val="002F4FAC"/>
    <w:pPr>
      <w:ind w:left="720"/>
      <w:contextualSpacing/>
    </w:pPr>
  </w:style>
  <w:style w:type="character" w:customStyle="1" w:styleId="Heading1Char">
    <w:name w:val="Heading 1 Char"/>
    <w:basedOn w:val="DefaultParagraphFont"/>
    <w:link w:val="Heading1"/>
    <w:uiPriority w:val="9"/>
    <w:rsid w:val="002F4FAC"/>
    <w:rPr>
      <w:smallCaps/>
      <w:spacing w:val="5"/>
      <w:sz w:val="32"/>
      <w:szCs w:val="32"/>
    </w:rPr>
  </w:style>
  <w:style w:type="character" w:customStyle="1" w:styleId="Heading2Char">
    <w:name w:val="Heading 2 Char"/>
    <w:basedOn w:val="DefaultParagraphFont"/>
    <w:link w:val="Heading2"/>
    <w:uiPriority w:val="9"/>
    <w:semiHidden/>
    <w:rsid w:val="002F4FAC"/>
    <w:rPr>
      <w:smallCaps/>
      <w:spacing w:val="5"/>
      <w:sz w:val="28"/>
      <w:szCs w:val="28"/>
    </w:rPr>
  </w:style>
  <w:style w:type="character" w:customStyle="1" w:styleId="Heading3Char">
    <w:name w:val="Heading 3 Char"/>
    <w:basedOn w:val="DefaultParagraphFont"/>
    <w:link w:val="Heading3"/>
    <w:uiPriority w:val="9"/>
    <w:semiHidden/>
    <w:rsid w:val="002F4FAC"/>
    <w:rPr>
      <w:smallCaps/>
      <w:spacing w:val="5"/>
      <w:sz w:val="24"/>
      <w:szCs w:val="24"/>
    </w:rPr>
  </w:style>
  <w:style w:type="character" w:customStyle="1" w:styleId="Heading4Char">
    <w:name w:val="Heading 4 Char"/>
    <w:basedOn w:val="DefaultParagraphFont"/>
    <w:link w:val="Heading4"/>
    <w:uiPriority w:val="9"/>
    <w:semiHidden/>
    <w:rsid w:val="002F4FAC"/>
    <w:rPr>
      <w:smallCaps/>
      <w:spacing w:val="10"/>
      <w:sz w:val="22"/>
      <w:szCs w:val="22"/>
    </w:rPr>
  </w:style>
  <w:style w:type="character" w:customStyle="1" w:styleId="Heading5Char">
    <w:name w:val="Heading 5 Char"/>
    <w:basedOn w:val="DefaultParagraphFont"/>
    <w:link w:val="Heading5"/>
    <w:uiPriority w:val="9"/>
    <w:semiHidden/>
    <w:rsid w:val="002F4FAC"/>
    <w:rPr>
      <w:smallCaps/>
      <w:color w:val="988600" w:themeColor="accent2" w:themeShade="BF"/>
      <w:spacing w:val="10"/>
      <w:sz w:val="22"/>
      <w:szCs w:val="26"/>
    </w:rPr>
  </w:style>
  <w:style w:type="character" w:customStyle="1" w:styleId="Heading6Char">
    <w:name w:val="Heading 6 Char"/>
    <w:basedOn w:val="DefaultParagraphFont"/>
    <w:link w:val="Heading6"/>
    <w:uiPriority w:val="9"/>
    <w:semiHidden/>
    <w:rsid w:val="002F4FAC"/>
    <w:rPr>
      <w:smallCaps/>
      <w:color w:val="CCB400" w:themeColor="accent2"/>
      <w:spacing w:val="5"/>
      <w:sz w:val="22"/>
    </w:rPr>
  </w:style>
  <w:style w:type="character" w:customStyle="1" w:styleId="Heading7Char">
    <w:name w:val="Heading 7 Char"/>
    <w:basedOn w:val="DefaultParagraphFont"/>
    <w:link w:val="Heading7"/>
    <w:uiPriority w:val="9"/>
    <w:semiHidden/>
    <w:rsid w:val="002F4FAC"/>
    <w:rPr>
      <w:b/>
      <w:smallCaps/>
      <w:color w:val="CCB400" w:themeColor="accent2"/>
      <w:spacing w:val="10"/>
    </w:rPr>
  </w:style>
  <w:style w:type="character" w:customStyle="1" w:styleId="Heading8Char">
    <w:name w:val="Heading 8 Char"/>
    <w:basedOn w:val="DefaultParagraphFont"/>
    <w:link w:val="Heading8"/>
    <w:uiPriority w:val="9"/>
    <w:semiHidden/>
    <w:rsid w:val="002F4FAC"/>
    <w:rPr>
      <w:b/>
      <w:i/>
      <w:smallCaps/>
      <w:color w:val="988600" w:themeColor="accent2" w:themeShade="BF"/>
    </w:rPr>
  </w:style>
  <w:style w:type="character" w:customStyle="1" w:styleId="Heading9Char">
    <w:name w:val="Heading 9 Char"/>
    <w:basedOn w:val="DefaultParagraphFont"/>
    <w:link w:val="Heading9"/>
    <w:uiPriority w:val="9"/>
    <w:semiHidden/>
    <w:rsid w:val="002F4FAC"/>
    <w:rPr>
      <w:b/>
      <w:i/>
      <w:smallCaps/>
      <w:color w:val="655900" w:themeColor="accent2" w:themeShade="7F"/>
    </w:rPr>
  </w:style>
  <w:style w:type="paragraph" w:styleId="Caption">
    <w:name w:val="caption"/>
    <w:basedOn w:val="Normal"/>
    <w:next w:val="Normal"/>
    <w:uiPriority w:val="35"/>
    <w:semiHidden/>
    <w:unhideWhenUsed/>
    <w:qFormat/>
    <w:rsid w:val="002F4FAC"/>
    <w:rPr>
      <w:b/>
      <w:bCs/>
      <w:caps/>
      <w:sz w:val="16"/>
      <w:szCs w:val="18"/>
    </w:rPr>
  </w:style>
  <w:style w:type="paragraph" w:styleId="Title">
    <w:name w:val="Title"/>
    <w:basedOn w:val="Normal"/>
    <w:next w:val="Normal"/>
    <w:link w:val="TitleChar"/>
    <w:uiPriority w:val="10"/>
    <w:qFormat/>
    <w:rsid w:val="002F4FAC"/>
    <w:pPr>
      <w:pBdr>
        <w:top w:val="single" w:sz="12" w:space="1" w:color="CCB400" w:themeColor="accent2"/>
      </w:pBdr>
      <w:jc w:val="right"/>
    </w:pPr>
    <w:rPr>
      <w:smallCaps/>
      <w:sz w:val="48"/>
      <w:szCs w:val="48"/>
    </w:rPr>
  </w:style>
  <w:style w:type="character" w:customStyle="1" w:styleId="TitleChar">
    <w:name w:val="Title Char"/>
    <w:basedOn w:val="DefaultParagraphFont"/>
    <w:link w:val="Title"/>
    <w:uiPriority w:val="10"/>
    <w:rsid w:val="002F4FAC"/>
    <w:rPr>
      <w:smallCaps/>
      <w:sz w:val="48"/>
      <w:szCs w:val="48"/>
    </w:rPr>
  </w:style>
  <w:style w:type="paragraph" w:styleId="Subtitle">
    <w:name w:val="Subtitle"/>
    <w:basedOn w:val="Normal"/>
    <w:next w:val="Normal"/>
    <w:link w:val="SubtitleChar"/>
    <w:uiPriority w:val="11"/>
    <w:qFormat/>
    <w:rsid w:val="002F4FAC"/>
    <w:pPr>
      <w:spacing w:after="720"/>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2F4FAC"/>
    <w:rPr>
      <w:rFonts w:asciiTheme="majorHAnsi" w:eastAsiaTheme="majorEastAsia" w:hAnsiTheme="majorHAnsi" w:cstheme="majorBidi"/>
      <w:szCs w:val="22"/>
    </w:rPr>
  </w:style>
  <w:style w:type="character" w:styleId="Emphasis">
    <w:name w:val="Emphasis"/>
    <w:uiPriority w:val="20"/>
    <w:qFormat/>
    <w:rsid w:val="002F4FAC"/>
    <w:rPr>
      <w:b/>
      <w:i/>
      <w:spacing w:val="10"/>
    </w:rPr>
  </w:style>
  <w:style w:type="paragraph" w:styleId="NoSpacing">
    <w:name w:val="No Spacing"/>
    <w:basedOn w:val="Normal"/>
    <w:link w:val="NoSpacingChar"/>
    <w:uiPriority w:val="1"/>
    <w:qFormat/>
    <w:rsid w:val="002F4FAC"/>
  </w:style>
  <w:style w:type="character" w:customStyle="1" w:styleId="NoSpacingChar">
    <w:name w:val="No Spacing Char"/>
    <w:basedOn w:val="DefaultParagraphFont"/>
    <w:link w:val="NoSpacing"/>
    <w:uiPriority w:val="1"/>
    <w:rsid w:val="002F4FAC"/>
  </w:style>
  <w:style w:type="paragraph" w:styleId="Quote">
    <w:name w:val="Quote"/>
    <w:basedOn w:val="Normal"/>
    <w:next w:val="Normal"/>
    <w:link w:val="QuoteChar"/>
    <w:uiPriority w:val="29"/>
    <w:qFormat/>
    <w:rsid w:val="002F4FAC"/>
    <w:rPr>
      <w:i/>
    </w:rPr>
  </w:style>
  <w:style w:type="character" w:customStyle="1" w:styleId="QuoteChar">
    <w:name w:val="Quote Char"/>
    <w:basedOn w:val="DefaultParagraphFont"/>
    <w:link w:val="Quote"/>
    <w:uiPriority w:val="29"/>
    <w:rsid w:val="002F4FAC"/>
    <w:rPr>
      <w:i/>
    </w:rPr>
  </w:style>
  <w:style w:type="paragraph" w:styleId="IntenseQuote">
    <w:name w:val="Intense Quote"/>
    <w:basedOn w:val="Normal"/>
    <w:next w:val="Normal"/>
    <w:link w:val="IntenseQuoteChar"/>
    <w:uiPriority w:val="30"/>
    <w:qFormat/>
    <w:rsid w:val="002F4FAC"/>
    <w:pPr>
      <w:pBdr>
        <w:top w:val="single" w:sz="8" w:space="10" w:color="988600" w:themeColor="accent2" w:themeShade="BF"/>
        <w:left w:val="single" w:sz="8" w:space="10" w:color="988600" w:themeColor="accent2" w:themeShade="BF"/>
        <w:bottom w:val="single" w:sz="8" w:space="10" w:color="988600" w:themeColor="accent2" w:themeShade="BF"/>
        <w:right w:val="single" w:sz="8" w:space="10" w:color="988600" w:themeColor="accent2" w:themeShade="BF"/>
      </w:pBdr>
      <w:shd w:val="clear" w:color="auto" w:fill="CCB400"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2F4FAC"/>
    <w:rPr>
      <w:b/>
      <w:i/>
      <w:color w:val="FFFFFF" w:themeColor="background1"/>
      <w:shd w:val="clear" w:color="auto" w:fill="CCB400" w:themeFill="accent2"/>
    </w:rPr>
  </w:style>
  <w:style w:type="character" w:styleId="SubtleEmphasis">
    <w:name w:val="Subtle Emphasis"/>
    <w:uiPriority w:val="19"/>
    <w:qFormat/>
    <w:rsid w:val="002F4FAC"/>
    <w:rPr>
      <w:i/>
    </w:rPr>
  </w:style>
  <w:style w:type="character" w:styleId="IntenseEmphasis">
    <w:name w:val="Intense Emphasis"/>
    <w:uiPriority w:val="21"/>
    <w:qFormat/>
    <w:rsid w:val="002F4FAC"/>
    <w:rPr>
      <w:b/>
      <w:i/>
      <w:color w:val="CCB400" w:themeColor="accent2"/>
      <w:spacing w:val="10"/>
    </w:rPr>
  </w:style>
  <w:style w:type="character" w:styleId="SubtleReference">
    <w:name w:val="Subtle Reference"/>
    <w:uiPriority w:val="31"/>
    <w:qFormat/>
    <w:rsid w:val="002F4FAC"/>
    <w:rPr>
      <w:b/>
    </w:rPr>
  </w:style>
  <w:style w:type="character" w:styleId="IntenseReference">
    <w:name w:val="Intense Reference"/>
    <w:uiPriority w:val="32"/>
    <w:qFormat/>
    <w:rsid w:val="002F4FAC"/>
    <w:rPr>
      <w:b/>
      <w:bCs/>
      <w:smallCaps/>
      <w:spacing w:val="5"/>
      <w:sz w:val="22"/>
      <w:szCs w:val="22"/>
      <w:u w:val="single"/>
    </w:rPr>
  </w:style>
  <w:style w:type="character" w:styleId="BookTitle">
    <w:name w:val="Book Title"/>
    <w:uiPriority w:val="33"/>
    <w:qFormat/>
    <w:rsid w:val="002F4FA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2F4FAC"/>
    <w:pPr>
      <w:outlineLvl w:val="9"/>
    </w:pPr>
  </w:style>
  <w:style w:type="character" w:styleId="Hyperlink">
    <w:name w:val="Hyperlink"/>
    <w:basedOn w:val="DefaultParagraphFont"/>
    <w:unhideWhenUsed/>
    <w:rsid w:val="0027593B"/>
    <w:rPr>
      <w:color w:val="0000FF"/>
      <w:u w:val="single"/>
    </w:rPr>
  </w:style>
  <w:style w:type="table" w:styleId="TableGrid">
    <w:name w:val="Table Grid"/>
    <w:basedOn w:val="TableNormal"/>
    <w:uiPriority w:val="59"/>
    <w:rsid w:val="009C5C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805F4B"/>
    <w:rPr>
      <w:color w:val="5979BF" w:themeColor="followedHyperlink"/>
      <w:u w:val="single"/>
    </w:rPr>
  </w:style>
  <w:style w:type="paragraph" w:customStyle="1" w:styleId="Default">
    <w:name w:val="Default"/>
    <w:basedOn w:val="Normal"/>
    <w:rsid w:val="00B67E99"/>
    <w:pPr>
      <w:autoSpaceDE w:val="0"/>
      <w:autoSpaceDN w:val="0"/>
      <w:ind w:left="2880"/>
    </w:pPr>
    <w:rPr>
      <w:rFonts w:cs="Calibri"/>
      <w:b/>
      <w:color w:val="000000"/>
      <w:sz w:val="24"/>
      <w:szCs w:val="24"/>
    </w:rPr>
  </w:style>
  <w:style w:type="paragraph" w:styleId="NormalWeb">
    <w:name w:val="Normal (Web)"/>
    <w:basedOn w:val="Normal"/>
    <w:uiPriority w:val="99"/>
    <w:unhideWhenUsed/>
    <w:rsid w:val="00A4468C"/>
    <w:pPr>
      <w:spacing w:before="100" w:beforeAutospacing="1" w:after="100" w:afterAutospacing="1"/>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863859530">
      <w:bodyDiv w:val="1"/>
      <w:marLeft w:val="0"/>
      <w:marRight w:val="0"/>
      <w:marTop w:val="0"/>
      <w:marBottom w:val="0"/>
      <w:divBdr>
        <w:top w:val="none" w:sz="0" w:space="0" w:color="auto"/>
        <w:left w:val="none" w:sz="0" w:space="0" w:color="auto"/>
        <w:bottom w:val="none" w:sz="0" w:space="0" w:color="auto"/>
        <w:right w:val="none" w:sz="0" w:space="0" w:color="auto"/>
      </w:divBdr>
    </w:div>
    <w:div w:id="1053232045">
      <w:bodyDiv w:val="1"/>
      <w:marLeft w:val="0"/>
      <w:marRight w:val="0"/>
      <w:marTop w:val="0"/>
      <w:marBottom w:val="0"/>
      <w:divBdr>
        <w:top w:val="none" w:sz="0" w:space="0" w:color="auto"/>
        <w:left w:val="none" w:sz="0" w:space="0" w:color="auto"/>
        <w:bottom w:val="none" w:sz="0" w:space="0" w:color="auto"/>
        <w:right w:val="none" w:sz="0" w:space="0" w:color="auto"/>
      </w:divBdr>
    </w:div>
    <w:div w:id="1365446952">
      <w:bodyDiv w:val="1"/>
      <w:marLeft w:val="0"/>
      <w:marRight w:val="0"/>
      <w:marTop w:val="0"/>
      <w:marBottom w:val="0"/>
      <w:divBdr>
        <w:top w:val="none" w:sz="0" w:space="0" w:color="auto"/>
        <w:left w:val="none" w:sz="0" w:space="0" w:color="auto"/>
        <w:bottom w:val="none" w:sz="0" w:space="0" w:color="auto"/>
        <w:right w:val="none" w:sz="0" w:space="0" w:color="auto"/>
      </w:divBdr>
    </w:div>
    <w:div w:id="1487866180">
      <w:bodyDiv w:val="1"/>
      <w:marLeft w:val="0"/>
      <w:marRight w:val="0"/>
      <w:marTop w:val="0"/>
      <w:marBottom w:val="0"/>
      <w:divBdr>
        <w:top w:val="none" w:sz="0" w:space="0" w:color="auto"/>
        <w:left w:val="none" w:sz="0" w:space="0" w:color="auto"/>
        <w:bottom w:val="none" w:sz="0" w:space="0" w:color="auto"/>
        <w:right w:val="none" w:sz="0" w:space="0" w:color="auto"/>
      </w:divBdr>
    </w:div>
    <w:div w:id="1744647261">
      <w:bodyDiv w:val="1"/>
      <w:marLeft w:val="0"/>
      <w:marRight w:val="0"/>
      <w:marTop w:val="0"/>
      <w:marBottom w:val="0"/>
      <w:divBdr>
        <w:top w:val="none" w:sz="0" w:space="0" w:color="auto"/>
        <w:left w:val="none" w:sz="0" w:space="0" w:color="auto"/>
        <w:bottom w:val="none" w:sz="0" w:space="0" w:color="auto"/>
        <w:right w:val="none" w:sz="0" w:space="0" w:color="auto"/>
      </w:divBdr>
    </w:div>
    <w:div w:id="2042627251">
      <w:bodyDiv w:val="1"/>
      <w:marLeft w:val="0"/>
      <w:marRight w:val="0"/>
      <w:marTop w:val="0"/>
      <w:marBottom w:val="0"/>
      <w:divBdr>
        <w:top w:val="none" w:sz="0" w:space="0" w:color="auto"/>
        <w:left w:val="none" w:sz="0" w:space="0" w:color="auto"/>
        <w:bottom w:val="none" w:sz="0" w:space="0" w:color="auto"/>
        <w:right w:val="none" w:sz="0" w:space="0" w:color="auto"/>
      </w:divBdr>
    </w:div>
    <w:div w:id="213616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l%20DEQ)%20Executive%20Management%20Team" TargetMode="External"/><Relationship Id="rId13" Type="http://schemas.openxmlformats.org/officeDocument/2006/relationships/hyperlink" Target="http://deqsps/programs/rulemaking/wq/alt/docs/4-Public%20Notice/Proposed_Revisions_in_Div__41_and_40_Rules_071713_Internal_Review-4.03.doc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deqsps/programs/rulemaking/wq/alt/docs/4-Public%20Notice/INVITATION.TO.COMMENT-4.02.docx" TargetMode="External"/><Relationship Id="rId17" Type="http://schemas.openxmlformats.org/officeDocument/2006/relationships/hyperlink" Target="http://deqsps/programs/rulemaking/wq/alt/docs/4-Public%20Notice/NOTICE%20AboutTheProposal%20071713%20internal%20review-4.06.docx" TargetMode="External"/><Relationship Id="rId2" Type="http://schemas.openxmlformats.org/officeDocument/2006/relationships/customXml" Target="../customXml/item2.xml"/><Relationship Id="rId16" Type="http://schemas.openxmlformats.org/officeDocument/2006/relationships/hyperlink" Target="http://deqsps/programs/rulemaking/wq/alt/docs/4-Public%20Notice/TABLE_40_HHC_proposed_changes_071713_internal_review-4.03.doc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youtube.com/watch?v=LOUr_y8BaI8" TargetMode="External"/><Relationship Id="rId5" Type="http://schemas.openxmlformats.org/officeDocument/2006/relationships/styles" Target="styles.xml"/><Relationship Id="rId15" Type="http://schemas.openxmlformats.org/officeDocument/2006/relationships/hyperlink" Target="http://deqsps/programs/rulemaking/wq/alt/docs/4-Public%20Notice/TABLE_33C_proposed_changes_071713_internal_review-4.01.docx" TargetMode="External"/><Relationship Id="rId10" Type="http://schemas.openxmlformats.org/officeDocument/2006/relationships/hyperlink" Target="mailto:matzke.andrea@deq.state.or.u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www.deq.state.or.us/wq/standards/StandardsClarification.htm" TargetMode="External"/><Relationship Id="rId14" Type="http://schemas.openxmlformats.org/officeDocument/2006/relationships/hyperlink" Target="http://deqsps/programs/rulemaking/wq/alt/docs/4-Public%20Notice/TABLE_30_Proposed_Effective_Aquatic_Life_Criteria_071713_internal%20review-4.04.docx"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F108DE113B7B1479521318F72CFABD0" ma:contentTypeVersion="0" ma:contentTypeDescription="Create a new document." ma:contentTypeScope="" ma:versionID="9be7edf221f00852a4df1173c57b069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C80BA9-A348-4AD0-AD83-7FF49B4CA1F3}">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70593E57-C2EB-4E31-8978-C22B6E285A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0DCE7E9-9C2A-4559-825A-6D630C0E8A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770</Words>
  <Characters>4390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5150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mvandeh</dc:creator>
  <cp:lastModifiedBy>amatzke</cp:lastModifiedBy>
  <cp:revision>5</cp:revision>
  <dcterms:created xsi:type="dcterms:W3CDTF">2013-07-31T22:36:00Z</dcterms:created>
  <dcterms:modified xsi:type="dcterms:W3CDTF">2013-08-01T16:07:00Z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0x0101008F108DE113B7B1479521318F72CFABD0</vt:lpwstr>
  </property>
</Properties>
</file>