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7F8" w:rsidRDefault="00D037F8" w:rsidP="00D037F8">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DIVISION 41</w:t>
      </w:r>
    </w:p>
    <w:p w:rsidR="00D037F8" w:rsidRDefault="00D037F8" w:rsidP="00D037F8">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WATER QUALITY STANDARDS: BENEFICIAL USES, POLICIES, AND CRITERIA FOR OREGON</w:t>
      </w:r>
    </w:p>
    <w:p w:rsidR="00DC0B37" w:rsidRDefault="00DC0B37" w:rsidP="00DC0B37">
      <w:pPr>
        <w:pStyle w:val="NormalWeb"/>
        <w:shd w:val="clear" w:color="auto" w:fill="FFFFFF"/>
        <w:spacing w:before="0" w:beforeAutospacing="0"/>
        <w:rPr>
          <w:rStyle w:val="Strong"/>
          <w:rFonts w:ascii="Arial" w:hAnsi="Arial" w:cs="Arial"/>
          <w:color w:val="000000"/>
        </w:rPr>
      </w:pPr>
    </w:p>
    <w:p w:rsidR="007526A5" w:rsidRPr="007526A5" w:rsidRDefault="00B07E4C" w:rsidP="00BF0C31">
      <w:pPr>
        <w:pStyle w:val="NormalWeb"/>
        <w:shd w:val="clear" w:color="auto" w:fill="FFFFFF"/>
        <w:spacing w:before="0" w:beforeAutospacing="0" w:after="0" w:afterAutospacing="0"/>
        <w:rPr>
          <w:color w:val="000000"/>
          <w:sz w:val="22"/>
          <w:szCs w:val="22"/>
        </w:rPr>
      </w:pPr>
      <w:r w:rsidRPr="007526A5">
        <w:rPr>
          <w:rStyle w:val="Strong"/>
          <w:color w:val="000000"/>
          <w:sz w:val="22"/>
          <w:szCs w:val="22"/>
        </w:rPr>
        <w:t>340-041-0033</w:t>
      </w:r>
      <w:r w:rsidR="00867EFE" w:rsidRPr="007526A5">
        <w:rPr>
          <w:color w:val="000000"/>
          <w:sz w:val="22"/>
          <w:szCs w:val="22"/>
        </w:rPr>
        <w:t xml:space="preserve"> </w:t>
      </w:r>
    </w:p>
    <w:p w:rsidR="00B07E4C" w:rsidRPr="007526A5" w:rsidRDefault="00B07E4C" w:rsidP="00BF0C31">
      <w:pPr>
        <w:pStyle w:val="NormalWeb"/>
        <w:shd w:val="clear" w:color="auto" w:fill="FFFFFF"/>
        <w:spacing w:before="0" w:beforeAutospacing="0" w:after="0" w:afterAutospacing="0"/>
        <w:rPr>
          <w:color w:val="000000"/>
          <w:sz w:val="22"/>
          <w:szCs w:val="22"/>
        </w:rPr>
      </w:pPr>
      <w:r w:rsidRPr="007526A5">
        <w:rPr>
          <w:rStyle w:val="Strong"/>
          <w:color w:val="000000"/>
          <w:sz w:val="22"/>
          <w:szCs w:val="22"/>
        </w:rPr>
        <w:t>Toxic Substances</w:t>
      </w:r>
    </w:p>
    <w:p w:rsidR="002A5728" w:rsidRDefault="002A5728" w:rsidP="00BF0C31">
      <w:pPr>
        <w:pStyle w:val="NormalWeb"/>
        <w:shd w:val="clear" w:color="auto" w:fill="FFFFFF"/>
        <w:spacing w:before="0" w:beforeAutospacing="0" w:after="0" w:afterAutospacing="0"/>
        <w:rPr>
          <w:color w:val="000000"/>
          <w:sz w:val="22"/>
          <w:szCs w:val="22"/>
        </w:rPr>
      </w:pPr>
      <w:r w:rsidRPr="002A5728">
        <w:rPr>
          <w:color w:val="000000"/>
          <w:sz w:val="22"/>
          <w:szCs w:val="22"/>
        </w:rPr>
        <w:t xml:space="preserve">(1) Amendments </w:t>
      </w:r>
      <w:r>
        <w:rPr>
          <w:color w:val="000000"/>
          <w:sz w:val="22"/>
          <w:szCs w:val="22"/>
        </w:rPr>
        <w:t>to</w:t>
      </w:r>
      <w:r w:rsidRPr="002A5728">
        <w:rPr>
          <w:color w:val="000000"/>
          <w:sz w:val="22"/>
          <w:szCs w:val="22"/>
        </w:rPr>
        <w:t xml:space="preserve"> sections (</w:t>
      </w:r>
      <w:r>
        <w:rPr>
          <w:color w:val="000000"/>
          <w:sz w:val="22"/>
          <w:szCs w:val="22"/>
        </w:rPr>
        <w:t>1-5</w:t>
      </w:r>
      <w:r w:rsidRPr="002A5728">
        <w:rPr>
          <w:color w:val="000000"/>
          <w:sz w:val="22"/>
          <w:szCs w:val="22"/>
        </w:rPr>
        <w:t>) and (</w:t>
      </w:r>
      <w:r>
        <w:rPr>
          <w:color w:val="000000"/>
          <w:sz w:val="22"/>
          <w:szCs w:val="22"/>
        </w:rPr>
        <w:t>7</w:t>
      </w:r>
      <w:r w:rsidRPr="002A5728">
        <w:rPr>
          <w:color w:val="000000"/>
          <w:sz w:val="22"/>
          <w:szCs w:val="22"/>
        </w:rPr>
        <w:t>) of this rule (OAR 340-041-0033) and associated revisions to Tables 20, 33A, 33B</w:t>
      </w:r>
      <w:r>
        <w:rPr>
          <w:color w:val="000000"/>
          <w:sz w:val="22"/>
          <w:szCs w:val="22"/>
        </w:rPr>
        <w:t>, 33C,</w:t>
      </w:r>
      <w:r w:rsidRPr="002A5728">
        <w:rPr>
          <w:color w:val="000000"/>
          <w:sz w:val="22"/>
          <w:szCs w:val="22"/>
        </w:rPr>
        <w:t xml:space="preserve"> and 40 become </w:t>
      </w:r>
      <w:r>
        <w:rPr>
          <w:color w:val="000000"/>
          <w:sz w:val="22"/>
          <w:szCs w:val="22"/>
        </w:rPr>
        <w:t xml:space="preserve">effective on April 18, 2014. The amendments do not become </w:t>
      </w:r>
      <w:r w:rsidRPr="002A5728">
        <w:rPr>
          <w:color w:val="000000"/>
          <w:sz w:val="22"/>
          <w:szCs w:val="22"/>
        </w:rPr>
        <w:t>applicable for purposes of ORS chapter 468B or the federal Clean Water Act</w:t>
      </w:r>
      <w:r>
        <w:rPr>
          <w:color w:val="000000"/>
          <w:sz w:val="22"/>
          <w:szCs w:val="22"/>
        </w:rPr>
        <w:t>, however,</w:t>
      </w:r>
      <w:r w:rsidRPr="002A5728">
        <w:rPr>
          <w:color w:val="000000"/>
          <w:sz w:val="22"/>
          <w:szCs w:val="22"/>
        </w:rPr>
        <w:t xml:space="preserve"> unless</w:t>
      </w:r>
      <w:r>
        <w:rPr>
          <w:color w:val="000000"/>
          <w:sz w:val="22"/>
          <w:szCs w:val="22"/>
        </w:rPr>
        <w:t xml:space="preserve"> approved by</w:t>
      </w:r>
      <w:r w:rsidRPr="002A5728">
        <w:rPr>
          <w:color w:val="000000"/>
          <w:sz w:val="22"/>
          <w:szCs w:val="22"/>
        </w:rPr>
        <w:t xml:space="preserve"> EPA</w:t>
      </w:r>
      <w:r w:rsidR="00FD21DC">
        <w:rPr>
          <w:color w:val="000000"/>
          <w:sz w:val="22"/>
          <w:szCs w:val="22"/>
        </w:rPr>
        <w:t xml:space="preserve"> </w:t>
      </w:r>
      <w:r w:rsidRPr="002A5728">
        <w:rPr>
          <w:color w:val="000000"/>
          <w:sz w:val="22"/>
          <w:szCs w:val="22"/>
        </w:rPr>
        <w:t xml:space="preserve">pursuant to 40 CFR 131.21 (4/27/2000). </w:t>
      </w:r>
    </w:p>
    <w:p w:rsidR="00B07E4C" w:rsidRPr="00431A1B" w:rsidRDefault="00B07E4C" w:rsidP="00BF0C31">
      <w:pPr>
        <w:pStyle w:val="NormalWeb"/>
        <w:shd w:val="clear" w:color="auto" w:fill="FFFFFF"/>
        <w:spacing w:before="0" w:beforeAutospacing="0" w:after="0" w:afterAutospacing="0"/>
        <w:rPr>
          <w:color w:val="000000"/>
          <w:sz w:val="22"/>
          <w:szCs w:val="22"/>
        </w:rPr>
      </w:pPr>
      <w:r w:rsidRPr="00431A1B">
        <w:rPr>
          <w:color w:val="000000"/>
          <w:sz w:val="22"/>
          <w:szCs w:val="22"/>
        </w:rPr>
        <w:t xml:space="preserve">(2) </w:t>
      </w:r>
      <w:r w:rsidRPr="00F71DB4">
        <w:rPr>
          <w:color w:val="000000"/>
          <w:sz w:val="22"/>
          <w:szCs w:val="22"/>
        </w:rPr>
        <w:t>Toxic Substances Narrative.</w:t>
      </w:r>
      <w:r>
        <w:rPr>
          <w:color w:val="000000"/>
          <w:sz w:val="22"/>
          <w:szCs w:val="22"/>
        </w:rPr>
        <w:t xml:space="preserve">  </w:t>
      </w:r>
      <w:r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431A1B">
        <w:rPr>
          <w:color w:val="000000"/>
          <w:sz w:val="22"/>
          <w:szCs w:val="22"/>
        </w:rPr>
        <w:t>bioaccumulate</w:t>
      </w:r>
      <w:proofErr w:type="spellEnd"/>
      <w:r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F0C31">
      <w:pPr>
        <w:pStyle w:val="NormalWeb"/>
        <w:shd w:val="clear" w:color="auto" w:fill="FFFFFF"/>
        <w:spacing w:before="0" w:beforeAutospacing="0" w:after="0" w:afterAutospacing="0"/>
        <w:rPr>
          <w:color w:val="000000"/>
          <w:sz w:val="22"/>
          <w:szCs w:val="22"/>
        </w:rPr>
      </w:pPr>
      <w:r w:rsidRPr="00431A1B">
        <w:rPr>
          <w:color w:val="000000"/>
          <w:sz w:val="22"/>
          <w:szCs w:val="22"/>
        </w:rPr>
        <w:t xml:space="preserve">(3) </w:t>
      </w:r>
      <w:r w:rsidRPr="00F71DB4">
        <w:rPr>
          <w:color w:val="000000"/>
          <w:sz w:val="22"/>
          <w:szCs w:val="22"/>
        </w:rPr>
        <w:t>Aquatic Life Numeric Criteria</w:t>
      </w:r>
      <w:r w:rsidRPr="00431A1B">
        <w:rPr>
          <w:color w:val="000000"/>
          <w:sz w:val="22"/>
          <w:szCs w:val="22"/>
        </w:rPr>
        <w:t>. Levels of toxic substances in waters of the state may not exceed the applicable aquatic life criteria listed in</w:t>
      </w:r>
      <w:r>
        <w:rPr>
          <w:color w:val="000000"/>
          <w:sz w:val="22"/>
          <w:szCs w:val="22"/>
        </w:rPr>
        <w:t xml:space="preserve"> Table 30.</w:t>
      </w:r>
      <w:r w:rsidRPr="00431A1B">
        <w:rPr>
          <w:color w:val="000000"/>
          <w:sz w:val="22"/>
          <w:szCs w:val="22"/>
        </w:rPr>
        <w:t xml:space="preserve"> </w:t>
      </w:r>
    </w:p>
    <w:p w:rsidR="00B07E4C" w:rsidRPr="00431A1B" w:rsidRDefault="00B07E4C" w:rsidP="00BF0C31">
      <w:pPr>
        <w:pStyle w:val="NormalWeb"/>
        <w:shd w:val="clear" w:color="auto" w:fill="FFFFFF"/>
        <w:spacing w:before="0" w:beforeAutospacing="0" w:after="0" w:afterAutospacing="0"/>
        <w:rPr>
          <w:color w:val="000000"/>
          <w:sz w:val="22"/>
          <w:szCs w:val="22"/>
        </w:rPr>
      </w:pPr>
      <w:r w:rsidRPr="00431A1B">
        <w:rPr>
          <w:color w:val="000000"/>
          <w:sz w:val="22"/>
          <w:szCs w:val="22"/>
        </w:rPr>
        <w:t xml:space="preserve">(4) </w:t>
      </w:r>
      <w:r w:rsidRPr="00F71DB4">
        <w:rPr>
          <w:color w:val="000000"/>
          <w:sz w:val="22"/>
          <w:szCs w:val="22"/>
        </w:rPr>
        <w:t>Human Health Numeric 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F0C31">
      <w:pPr>
        <w:pStyle w:val="NormalWeb"/>
        <w:shd w:val="clear" w:color="auto" w:fill="FFFFFF"/>
        <w:spacing w:before="0" w:beforeAutospacing="0" w:after="0" w:afterAutospacing="0"/>
        <w:rPr>
          <w:color w:val="000000"/>
          <w:sz w:val="22"/>
          <w:szCs w:val="22"/>
        </w:rPr>
      </w:pPr>
      <w:r w:rsidRPr="00431A1B">
        <w:rPr>
          <w:color w:val="000000"/>
          <w:sz w:val="22"/>
          <w:szCs w:val="22"/>
        </w:rPr>
        <w:t>(</w:t>
      </w:r>
      <w:r w:rsidRPr="00DB1CC7">
        <w:rPr>
          <w:color w:val="000000"/>
          <w:sz w:val="22"/>
          <w:szCs w:val="22"/>
        </w:rPr>
        <w:t>5</w:t>
      </w:r>
      <w:r w:rsidRPr="00431A1B">
        <w:rPr>
          <w:color w:val="000000"/>
          <w:sz w:val="22"/>
          <w:szCs w:val="22"/>
        </w:rPr>
        <w:t xml:space="preserve">) To establish permit or other regulatory limits for toxic substances for which criteria are not included in </w:t>
      </w:r>
      <w:r w:rsidRPr="00A47BE6">
        <w:rPr>
          <w:color w:val="000000"/>
          <w:sz w:val="22"/>
          <w:szCs w:val="22"/>
        </w:rPr>
        <w:t>Table 30 or Table 40</w:t>
      </w:r>
      <w:r w:rsidRPr="00431A1B">
        <w:rPr>
          <w:color w:val="000000"/>
          <w:sz w:val="22"/>
          <w:szCs w:val="22"/>
        </w:rPr>
        <w:t>, the department may use the guidance values in Table 3</w:t>
      </w:r>
      <w:r w:rsidR="00F31986">
        <w:rPr>
          <w:color w:val="000000"/>
          <w:sz w:val="22"/>
          <w:szCs w:val="22"/>
        </w:rPr>
        <w:t>1</w:t>
      </w:r>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w:t>
      </w:r>
      <w:r w:rsidR="0057149A">
        <w:rPr>
          <w:color w:val="000000"/>
          <w:sz w:val="22"/>
          <w:szCs w:val="22"/>
        </w:rPr>
        <w:t xml:space="preserve"> </w:t>
      </w:r>
      <w:r w:rsidRPr="003F12B2">
        <w:rPr>
          <w:color w:val="000000"/>
          <w:sz w:val="22"/>
          <w:szCs w:val="22"/>
        </w:rPr>
        <w:t>x</w:t>
      </w:r>
      <w:r w:rsidR="0057149A">
        <w:rPr>
          <w:color w:val="000000"/>
          <w:sz w:val="22"/>
          <w:szCs w:val="22"/>
        </w:rPr>
        <w:t xml:space="preserve"> </w:t>
      </w:r>
      <w:r w:rsidRPr="003F12B2">
        <w:rPr>
          <w:color w:val="000000"/>
          <w:sz w:val="22"/>
          <w:szCs w:val="22"/>
        </w:rPr>
        <w:t>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(a) Definitions: For the purpose of this section (OAR 340-041-0033(6)):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lastRenderedPageBreak/>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(ii) There is a direct hydrological connection between the intake and discharge points; and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(iii) Water quality characteristics (e.g., temperature, pH, hardness) are similar in the intake and receiving waters.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(b) Applicability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(A) Site-specific criteria may be established under this rule section only for carcinogenic pollutants.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(B) Site-specific criteria established under this rule section apply in the vicinity of the discharge for purposes of establishing permit limits for the specified permittee.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(C) The underlying waterbody criteria continue to apply for all other Clean Water Act programs.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(E) Any site-specific criteria developed under this procedure will be re-evaluated upon permit renewal.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(A) The discharger has a currently effective NPDES permit;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(A) The projected in-stream pollutant concentration resulting from the current discharge concentration and any feasible pollutant reduction measures under (c</w:t>
      </w:r>
      <w:proofErr w:type="gramStart"/>
      <w:r w:rsidRPr="003F12B2">
        <w:rPr>
          <w:color w:val="000000"/>
          <w:sz w:val="22"/>
          <w:szCs w:val="22"/>
        </w:rPr>
        <w:t>)(</w:t>
      </w:r>
      <w:proofErr w:type="gramEnd"/>
      <w:r w:rsidRPr="003F12B2">
        <w:rPr>
          <w:color w:val="000000"/>
          <w:sz w:val="22"/>
          <w:szCs w:val="22"/>
        </w:rPr>
        <w:t xml:space="preserve">D) above, after mixing with the receiving stream.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(ii) For all other waters, using 100% of the harmonic mean flow or similar critical flow value of the waterbody.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(D) A criterion concentration value representing </w:t>
      </w:r>
      <w:r w:rsidR="0057149A">
        <w:rPr>
          <w:color w:val="000000"/>
          <w:sz w:val="22"/>
          <w:szCs w:val="22"/>
        </w:rPr>
        <w:t>a human health risk level of 1 x</w:t>
      </w:r>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This value is calculated using EPA’s human health criteria derivation equation for carcinogens</w:t>
      </w:r>
      <w:r w:rsidR="0057149A">
        <w:rPr>
          <w:color w:val="000000"/>
          <w:sz w:val="22"/>
          <w:szCs w:val="22"/>
        </w:rPr>
        <w:t xml:space="preserve"> (EPA 2000), a risk level of 1 x</w:t>
      </w:r>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and the same values for the remaining calculation variables that were used to derive the underlying human health criterion.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(e) Procedure to derive a site-specific human health water quality criterion to address a background pollutant: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(ii) For all other waters, 100% of the harmonic mean flow or similar critical flow value of the waterbody will be used.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(f) Calculation of water quality based effluent limits based on a site-specific background pollutant criterion: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(B) The department will compare the calculated water quality based effluent limits to any applicable aquatic toxicity or technology based effluent limits and select the most conservative for inclusion in the permit conditions.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3F12B2" w:rsidRPr="003F12B2" w:rsidRDefault="003F12B2" w:rsidP="00BF0C31">
      <w:pPr>
        <w:pStyle w:val="NormalWeb"/>
        <w:shd w:val="clear" w:color="auto" w:fill="FFFFFF"/>
        <w:spacing w:before="0" w:beforeAutospacing="0" w:after="0" w:afterAutospacing="0"/>
        <w:rPr>
          <w:color w:val="000000"/>
          <w:sz w:val="22"/>
          <w:szCs w:val="22"/>
        </w:rPr>
      </w:pPr>
      <w:r w:rsidRPr="003F12B2">
        <w:rPr>
          <w:color w:val="000000"/>
          <w:sz w:val="22"/>
          <w:szCs w:val="22"/>
        </w:rPr>
        <w:t>(B) The department will publish a list of all site-specific background pollutant criteria approved pursuant to this rule. A criterion will be added to this list within 30 days of its effective date. The list will identify: the permittee; the site-specific background pollutant criterion and the associated risk level; the waterbody to which the criterion applies; the allowable pollutant effluent limit; and how to obtain additional information about the criterion.</w:t>
      </w:r>
    </w:p>
    <w:p w:rsidR="005C0625" w:rsidRPr="001039EE" w:rsidRDefault="003F12B2" w:rsidP="00BF0C31">
      <w:pPr>
        <w:pStyle w:val="NormalWeb"/>
        <w:shd w:val="clear" w:color="auto" w:fill="FFFFFF"/>
        <w:spacing w:before="0" w:beforeAutospacing="0" w:after="0" w:afterAutospacing="0"/>
        <w:rPr>
          <w:color w:val="000000"/>
          <w:sz w:val="22"/>
          <w:szCs w:val="22"/>
        </w:rPr>
      </w:pPr>
      <w:r w:rsidRPr="001039EE">
        <w:rPr>
          <w:color w:val="000000"/>
          <w:sz w:val="22"/>
          <w:szCs w:val="22"/>
        </w:rPr>
        <w:t xml:space="preserve"> </w:t>
      </w:r>
      <w:r w:rsidR="005C0625"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(b) It is the policy of the Commission that the addition of inorganic arsenic from new or existing anthropogenic sources to waters of the state within a surface water dr</w:t>
      </w:r>
      <w:r w:rsidR="00924817">
        <w:rPr>
          <w:color w:val="000000"/>
          <w:sz w:val="22"/>
          <w:szCs w:val="22"/>
        </w:rPr>
        <w:t xml:space="preserve">inking water protection area </w:t>
      </w:r>
      <w:proofErr w:type="gramStart"/>
      <w:r w:rsidR="00924817">
        <w:rPr>
          <w:color w:val="000000"/>
          <w:sz w:val="22"/>
          <w:szCs w:val="22"/>
        </w:rPr>
        <w:t>be</w:t>
      </w:r>
      <w:proofErr w:type="gramEnd"/>
      <w:r w:rsidR="00924817">
        <w:rPr>
          <w:color w:val="000000"/>
          <w:sz w:val="22"/>
          <w:szCs w:val="22"/>
        </w:rPr>
        <w:t xml:space="preserve"> </w:t>
      </w:r>
      <w:r w:rsidRPr="001039EE">
        <w:rPr>
          <w:color w:val="000000"/>
          <w:sz w:val="22"/>
          <w:szCs w:val="22"/>
        </w:rPr>
        <w:t>reduced the maximum amount feasible. The requirements of this rule section (OAR 340-041-0033(</w:t>
      </w:r>
      <w:r w:rsidRPr="0057149A">
        <w:rPr>
          <w:sz w:val="22"/>
          <w:szCs w:val="22"/>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(c) The following definitions apply to this section (OAR 340-041-0033(</w:t>
      </w:r>
      <w:r w:rsidRPr="0057149A">
        <w:rPr>
          <w:sz w:val="22"/>
          <w:szCs w:val="22"/>
        </w:rPr>
        <w:t>7</w:t>
      </w:r>
      <w:r w:rsidRPr="001039EE">
        <w:rPr>
          <w:color w:val="000000"/>
          <w:sz w:val="22"/>
          <w:szCs w:val="22"/>
        </w:rPr>
        <w:t xml:space="preserve">)):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 xml:space="preserve">(A) The discharge in fact adds inorganic arsenic; and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(e) Where DEQ determines that both conditions in subsection (d) of this section (</w:t>
      </w:r>
      <w:r w:rsidRPr="0057149A">
        <w:rPr>
          <w:sz w:val="22"/>
          <w:szCs w:val="22"/>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(A) A list of industrial sources or source categories, including industrial stormwater and sou</w:t>
      </w:r>
      <w:r w:rsidR="00924817">
        <w:rPr>
          <w:color w:val="000000"/>
          <w:sz w:val="22"/>
          <w:szCs w:val="22"/>
        </w:rPr>
        <w:t xml:space="preserve">rces covered by general </w:t>
      </w:r>
      <w:proofErr w:type="gramStart"/>
      <w:r w:rsidR="00924817">
        <w:rPr>
          <w:color w:val="000000"/>
          <w:sz w:val="22"/>
          <w:szCs w:val="22"/>
        </w:rPr>
        <w:t>permits,</w:t>
      </w:r>
      <w:r w:rsidRPr="001039EE">
        <w:rPr>
          <w:color w:val="000000"/>
          <w:sz w:val="22"/>
          <w:szCs w:val="22"/>
        </w:rPr>
        <w:t xml:space="preserve"> that</w:t>
      </w:r>
      <w:proofErr w:type="gramEnd"/>
      <w:r w:rsidRPr="001039EE">
        <w:rPr>
          <w:color w:val="000000"/>
          <w:sz w:val="22"/>
          <w:szCs w:val="22"/>
        </w:rPr>
        <w:t xml:space="preserve"> are likely to add inorganic arsenic to surface waters of the State.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 xml:space="preserve">(C) Information and guidance to assist sources in estimating, pursuant to </w:t>
      </w:r>
      <w:r w:rsidR="00503066">
        <w:rPr>
          <w:color w:val="000000"/>
          <w:sz w:val="22"/>
          <w:szCs w:val="22"/>
        </w:rPr>
        <w:t>subsection</w:t>
      </w:r>
      <w:r w:rsidRPr="001039EE">
        <w:rPr>
          <w:color w:val="000000"/>
          <w:sz w:val="22"/>
          <w:szCs w:val="22"/>
        </w:rPr>
        <w:t xml:space="preserve"> (</w:t>
      </w:r>
      <w:r w:rsidR="0030370D">
        <w:rPr>
          <w:color w:val="000000"/>
          <w:sz w:val="22"/>
          <w:szCs w:val="22"/>
        </w:rPr>
        <w:t>e</w:t>
      </w:r>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BF0C31">
      <w:pPr>
        <w:pStyle w:val="NormalWeb"/>
        <w:shd w:val="clear" w:color="auto" w:fill="FFFFFF"/>
        <w:spacing w:before="0" w:beforeAutospacing="0" w:after="0" w:afterAutospacing="0"/>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Default="005C0625" w:rsidP="00BF0C31">
      <w:pPr>
        <w:pStyle w:val="NormalWeb"/>
        <w:shd w:val="clear" w:color="auto" w:fill="FFFFFF"/>
        <w:spacing w:before="0" w:beforeAutospacing="0" w:after="0" w:afterAutospacing="0"/>
        <w:rPr>
          <w:color w:val="000000"/>
          <w:sz w:val="22"/>
          <w:szCs w:val="22"/>
        </w:rPr>
      </w:pPr>
      <w:r w:rsidRPr="00431A1B">
        <w:rPr>
          <w:color w:val="000000"/>
          <w:sz w:val="22"/>
          <w:szCs w:val="22"/>
        </w:rPr>
        <w:t>[ED. NOTE: Tables referenc</w:t>
      </w:r>
      <w:r w:rsidR="00F31986">
        <w:rPr>
          <w:color w:val="000000"/>
          <w:sz w:val="22"/>
          <w:szCs w:val="22"/>
        </w:rPr>
        <w:t>ing the toxics criteria</w:t>
      </w:r>
      <w:r w:rsidRPr="00431A1B">
        <w:rPr>
          <w:color w:val="000000"/>
          <w:sz w:val="22"/>
          <w:szCs w:val="22"/>
        </w:rPr>
        <w:t xml:space="preserve"> are </w:t>
      </w:r>
      <w:r>
        <w:rPr>
          <w:color w:val="000000"/>
          <w:sz w:val="22"/>
          <w:szCs w:val="22"/>
        </w:rPr>
        <w:t xml:space="preserve">not included in rule text.  </w:t>
      </w:r>
      <w:r w:rsidRPr="00BF0C31">
        <w:rPr>
          <w:color w:val="000000"/>
          <w:sz w:val="22"/>
          <w:szCs w:val="22"/>
        </w:rPr>
        <w:t>Click here for a PDF copy of Table 30</w:t>
      </w:r>
      <w:r w:rsidR="00F31986" w:rsidRPr="00BF0C31">
        <w:rPr>
          <w:color w:val="000000"/>
          <w:sz w:val="22"/>
          <w:szCs w:val="22"/>
        </w:rPr>
        <w:t xml:space="preserve">:  Aquatic Life Water Quality </w:t>
      </w:r>
      <w:r w:rsidRPr="00BF0C31">
        <w:rPr>
          <w:color w:val="000000"/>
          <w:sz w:val="22"/>
          <w:szCs w:val="22"/>
        </w:rPr>
        <w:t>Criteria</w:t>
      </w:r>
      <w:r w:rsidR="00F31986" w:rsidRPr="00BF0C31">
        <w:rPr>
          <w:color w:val="000000"/>
          <w:sz w:val="22"/>
          <w:szCs w:val="22"/>
        </w:rPr>
        <w:t xml:space="preserve"> for Toxic Pollutants</w:t>
      </w:r>
      <w:r w:rsidRPr="00BF0C31">
        <w:rPr>
          <w:color w:val="000000"/>
          <w:sz w:val="22"/>
          <w:szCs w:val="22"/>
        </w:rPr>
        <w:t>.</w:t>
      </w:r>
      <w:r w:rsidR="006A4532" w:rsidRPr="00BF0C31">
        <w:rPr>
          <w:color w:val="000000"/>
          <w:sz w:val="22"/>
          <w:szCs w:val="22"/>
        </w:rPr>
        <w:t xml:space="preserve"> Click here for a PDF copy of Table 31:  Aquatic Life Water Quality Guidance Values for Toxic Pollutants. </w:t>
      </w:r>
      <w:r w:rsidRPr="00BF0C31">
        <w:rPr>
          <w:color w:val="000000"/>
          <w:sz w:val="22"/>
          <w:szCs w:val="22"/>
        </w:rPr>
        <w:t xml:space="preserve">Click here for a PDF copy of Table 40:  Human Health </w:t>
      </w:r>
      <w:r w:rsidR="00F31986" w:rsidRPr="00BF0C31">
        <w:rPr>
          <w:color w:val="000000"/>
          <w:sz w:val="22"/>
          <w:szCs w:val="22"/>
        </w:rPr>
        <w:t>Water Quality Criteria for Toxic Pollutants</w:t>
      </w:r>
      <w:r w:rsidRPr="00BF0C31">
        <w:rPr>
          <w:color w:val="000000"/>
          <w:sz w:val="22"/>
          <w:szCs w:val="22"/>
        </w:rPr>
        <w:t>.]</w:t>
      </w:r>
      <w:r w:rsidRPr="00431A1B">
        <w:rPr>
          <w:color w:val="000000"/>
          <w:sz w:val="22"/>
          <w:szCs w:val="22"/>
        </w:rPr>
        <w:t xml:space="preserve"> </w:t>
      </w:r>
    </w:p>
    <w:p w:rsidR="009F72E6" w:rsidRDefault="005C0625" w:rsidP="00BF0C31">
      <w:pPr>
        <w:pStyle w:val="NormalWeb"/>
        <w:shd w:val="clear" w:color="auto" w:fill="FFFFFF"/>
        <w:spacing w:before="0" w:beforeAutospacing="0" w:after="0" w:afterAutospacing="0"/>
        <w:rPr>
          <w:color w:val="000000"/>
          <w:sz w:val="22"/>
          <w:szCs w:val="22"/>
        </w:rPr>
      </w:pPr>
      <w:proofErr w:type="gramStart"/>
      <w:r w:rsidRPr="00431A1B">
        <w:rPr>
          <w:color w:val="000000"/>
          <w:sz w:val="22"/>
          <w:szCs w:val="22"/>
        </w:rPr>
        <w:t>Stat. Auth.: ORS 468.020, 468B.030, 468B.035 &amp; 468B.048</w:t>
      </w:r>
      <w:r w:rsidRPr="00431A1B">
        <w:rPr>
          <w:color w:val="000000"/>
          <w:sz w:val="22"/>
          <w:szCs w:val="22"/>
        </w:rPr>
        <w:br/>
        <w:t>Stats.</w:t>
      </w:r>
      <w:proofErr w:type="gramEnd"/>
      <w:r w:rsidRPr="00431A1B">
        <w:rPr>
          <w:color w:val="000000"/>
          <w:sz w:val="22"/>
          <w:szCs w:val="22"/>
        </w:rPr>
        <w:t xml:space="preserve">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Default="009F72E6" w:rsidP="009F72E6">
      <w:pPr>
        <w:pStyle w:val="NormalWeb"/>
        <w:shd w:val="clear" w:color="auto" w:fill="FFFFFF"/>
        <w:rPr>
          <w:color w:val="000000"/>
          <w:sz w:val="22"/>
          <w:szCs w:val="22"/>
        </w:rPr>
      </w:pPr>
    </w:p>
    <w:p w:rsidR="00526F8B" w:rsidRDefault="00526F8B" w:rsidP="001178B8">
      <w:pPr>
        <w:rPr>
          <w:rFonts w:ascii="Arial" w:hAnsi="Arial" w:cs="Arial"/>
          <w:b/>
          <w:color w:val="FF0000"/>
          <w:u w:val="single"/>
        </w:rPr>
      </w:pPr>
    </w:p>
    <w:p w:rsidR="00526F8B" w:rsidRDefault="00526F8B" w:rsidP="001178B8">
      <w:pPr>
        <w:rPr>
          <w:rFonts w:ascii="Arial" w:hAnsi="Arial" w:cs="Arial"/>
          <w:b/>
          <w:color w:val="FF0000"/>
          <w:u w:val="single"/>
        </w:rPr>
      </w:pPr>
    </w:p>
    <w:p w:rsidR="00775063" w:rsidRDefault="00775063" w:rsidP="00F50AF5">
      <w:pPr>
        <w:rPr>
          <w:rFonts w:ascii="Arial" w:hAnsi="Arial" w:cs="Arial"/>
          <w:b/>
          <w:u w:val="single"/>
        </w:rPr>
      </w:pPr>
    </w:p>
    <w:sectPr w:rsidR="00775063" w:rsidSect="00E0527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CC7" w:rsidRDefault="00DB1CC7" w:rsidP="00D5769D">
      <w:pPr>
        <w:spacing w:after="0" w:line="240" w:lineRule="auto"/>
      </w:pPr>
      <w:r>
        <w:separator/>
      </w:r>
    </w:p>
  </w:endnote>
  <w:endnote w:type="continuationSeparator" w:id="0">
    <w:p w:rsidR="00DB1CC7" w:rsidRDefault="00DB1CC7"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CC7" w:rsidRDefault="00DB1CC7" w:rsidP="00D5769D">
      <w:pPr>
        <w:spacing w:after="0" w:line="240" w:lineRule="auto"/>
      </w:pPr>
      <w:r>
        <w:separator/>
      </w:r>
    </w:p>
  </w:footnote>
  <w:footnote w:type="continuationSeparator" w:id="0">
    <w:p w:rsidR="00DB1CC7" w:rsidRDefault="00DB1CC7" w:rsidP="00D576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713F4"/>
    <w:multiLevelType w:val="hybridMultilevel"/>
    <w:tmpl w:val="E2AEAC10"/>
    <w:lvl w:ilvl="0" w:tplc="F014D1F2">
      <w:start w:val="1"/>
      <w:numFmt w:val="bullet"/>
      <w:lvlText w:val=""/>
      <w:lvlJc w:val="left"/>
      <w:pPr>
        <w:ind w:left="720" w:hanging="360"/>
      </w:pPr>
      <w:rPr>
        <w:rFonts w:ascii="Wingdings" w:hAnsi="Wingdings" w:hint="default"/>
        <w:color w:val="FF0000"/>
        <w:sz w:val="16"/>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3">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9"/>
  </w:num>
  <w:num w:numId="3">
    <w:abstractNumId w:val="24"/>
  </w:num>
  <w:num w:numId="4">
    <w:abstractNumId w:val="27"/>
  </w:num>
  <w:num w:numId="5">
    <w:abstractNumId w:val="28"/>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30"/>
  </w:num>
  <w:num w:numId="11">
    <w:abstractNumId w:val="0"/>
  </w:num>
  <w:num w:numId="12">
    <w:abstractNumId w:val="32"/>
  </w:num>
  <w:num w:numId="13">
    <w:abstractNumId w:val="21"/>
  </w:num>
  <w:num w:numId="14">
    <w:abstractNumId w:val="31"/>
  </w:num>
  <w:num w:numId="15">
    <w:abstractNumId w:val="3"/>
  </w:num>
  <w:num w:numId="16">
    <w:abstractNumId w:val="5"/>
  </w:num>
  <w:num w:numId="17">
    <w:abstractNumId w:val="11"/>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9"/>
  </w:num>
  <w:num w:numId="26">
    <w:abstractNumId w:val="6"/>
  </w:num>
  <w:num w:numId="27">
    <w:abstractNumId w:val="20"/>
  </w:num>
  <w:num w:numId="28">
    <w:abstractNumId w:val="1"/>
  </w:num>
  <w:num w:numId="29">
    <w:abstractNumId w:val="18"/>
  </w:num>
  <w:num w:numId="30">
    <w:abstractNumId w:val="15"/>
  </w:num>
  <w:num w:numId="31">
    <w:abstractNumId w:val="12"/>
  </w:num>
  <w:num w:numId="32">
    <w:abstractNumId w:val="29"/>
  </w:num>
  <w:num w:numId="33">
    <w:abstractNumId w:val="13"/>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73729">
      <o:colormenu v:ext="edit" fillcolor="none [664]"/>
    </o:shapedefaults>
  </w:hdrShapeDefaults>
  <w:footnotePr>
    <w:footnote w:id="-1"/>
    <w:footnote w:id="0"/>
  </w:footnotePr>
  <w:endnotePr>
    <w:endnote w:id="-1"/>
    <w:endnote w:id="0"/>
  </w:endnotePr>
  <w:compat/>
  <w:rsids>
    <w:rsidRoot w:val="00431A1B"/>
    <w:rsid w:val="00000F15"/>
    <w:rsid w:val="00021F2F"/>
    <w:rsid w:val="00025EB5"/>
    <w:rsid w:val="00026F5B"/>
    <w:rsid w:val="0003035F"/>
    <w:rsid w:val="000314FF"/>
    <w:rsid w:val="000360AB"/>
    <w:rsid w:val="000428BA"/>
    <w:rsid w:val="0004416D"/>
    <w:rsid w:val="00056B0C"/>
    <w:rsid w:val="00057C16"/>
    <w:rsid w:val="00064DE1"/>
    <w:rsid w:val="0006636A"/>
    <w:rsid w:val="00081786"/>
    <w:rsid w:val="00081848"/>
    <w:rsid w:val="00095096"/>
    <w:rsid w:val="00096422"/>
    <w:rsid w:val="000A1A3C"/>
    <w:rsid w:val="000A2E3D"/>
    <w:rsid w:val="000A4B54"/>
    <w:rsid w:val="000A62CA"/>
    <w:rsid w:val="000B5072"/>
    <w:rsid w:val="000C3043"/>
    <w:rsid w:val="00101F3A"/>
    <w:rsid w:val="001178B8"/>
    <w:rsid w:val="00120677"/>
    <w:rsid w:val="001208CA"/>
    <w:rsid w:val="00136128"/>
    <w:rsid w:val="00146749"/>
    <w:rsid w:val="001740A6"/>
    <w:rsid w:val="001746D9"/>
    <w:rsid w:val="00175AB6"/>
    <w:rsid w:val="00182030"/>
    <w:rsid w:val="001923D4"/>
    <w:rsid w:val="00196C3F"/>
    <w:rsid w:val="001A5886"/>
    <w:rsid w:val="001A6885"/>
    <w:rsid w:val="001B24A3"/>
    <w:rsid w:val="001C1AD7"/>
    <w:rsid w:val="001C6C93"/>
    <w:rsid w:val="001D0E68"/>
    <w:rsid w:val="001E6DDA"/>
    <w:rsid w:val="00202A2E"/>
    <w:rsid w:val="00205D64"/>
    <w:rsid w:val="0021014B"/>
    <w:rsid w:val="00213F39"/>
    <w:rsid w:val="0022768E"/>
    <w:rsid w:val="00230CEA"/>
    <w:rsid w:val="002521A4"/>
    <w:rsid w:val="002571D8"/>
    <w:rsid w:val="002662E0"/>
    <w:rsid w:val="002715CB"/>
    <w:rsid w:val="00276C33"/>
    <w:rsid w:val="00285317"/>
    <w:rsid w:val="0029423B"/>
    <w:rsid w:val="00296B82"/>
    <w:rsid w:val="002A5728"/>
    <w:rsid w:val="002B38E4"/>
    <w:rsid w:val="002B52DA"/>
    <w:rsid w:val="002C5CF9"/>
    <w:rsid w:val="002C6856"/>
    <w:rsid w:val="002E2FAF"/>
    <w:rsid w:val="002F35F5"/>
    <w:rsid w:val="0030370D"/>
    <w:rsid w:val="003211A0"/>
    <w:rsid w:val="003233EB"/>
    <w:rsid w:val="003265F2"/>
    <w:rsid w:val="00330ABD"/>
    <w:rsid w:val="00360E32"/>
    <w:rsid w:val="00364C18"/>
    <w:rsid w:val="00377B4D"/>
    <w:rsid w:val="00377C92"/>
    <w:rsid w:val="003B2F13"/>
    <w:rsid w:val="003B68E6"/>
    <w:rsid w:val="003C1553"/>
    <w:rsid w:val="003F12B2"/>
    <w:rsid w:val="003F588E"/>
    <w:rsid w:val="004007FF"/>
    <w:rsid w:val="00410C80"/>
    <w:rsid w:val="004116DE"/>
    <w:rsid w:val="004171DE"/>
    <w:rsid w:val="00420BEB"/>
    <w:rsid w:val="00423242"/>
    <w:rsid w:val="00431A1B"/>
    <w:rsid w:val="004609B8"/>
    <w:rsid w:val="00460D36"/>
    <w:rsid w:val="00466F9A"/>
    <w:rsid w:val="00481CB5"/>
    <w:rsid w:val="004929F6"/>
    <w:rsid w:val="004A2976"/>
    <w:rsid w:val="004A47A6"/>
    <w:rsid w:val="004A7B29"/>
    <w:rsid w:val="004C029E"/>
    <w:rsid w:val="004D33AA"/>
    <w:rsid w:val="004F00D0"/>
    <w:rsid w:val="004F5857"/>
    <w:rsid w:val="004F5EC8"/>
    <w:rsid w:val="004F7DEE"/>
    <w:rsid w:val="00503066"/>
    <w:rsid w:val="00511125"/>
    <w:rsid w:val="00513270"/>
    <w:rsid w:val="00526F8B"/>
    <w:rsid w:val="00540ED1"/>
    <w:rsid w:val="00561631"/>
    <w:rsid w:val="005642FE"/>
    <w:rsid w:val="0057149A"/>
    <w:rsid w:val="0057706A"/>
    <w:rsid w:val="00581C2B"/>
    <w:rsid w:val="0058468D"/>
    <w:rsid w:val="00591778"/>
    <w:rsid w:val="005C0625"/>
    <w:rsid w:val="005C1572"/>
    <w:rsid w:val="005C340A"/>
    <w:rsid w:val="005E0F1B"/>
    <w:rsid w:val="005E1988"/>
    <w:rsid w:val="005E2BFE"/>
    <w:rsid w:val="005E7281"/>
    <w:rsid w:val="005E786C"/>
    <w:rsid w:val="005F1F51"/>
    <w:rsid w:val="005F2428"/>
    <w:rsid w:val="005F2444"/>
    <w:rsid w:val="005F4194"/>
    <w:rsid w:val="005F4577"/>
    <w:rsid w:val="006043A3"/>
    <w:rsid w:val="006519B1"/>
    <w:rsid w:val="0066319C"/>
    <w:rsid w:val="006646D0"/>
    <w:rsid w:val="00666342"/>
    <w:rsid w:val="0066678C"/>
    <w:rsid w:val="00672498"/>
    <w:rsid w:val="006750DB"/>
    <w:rsid w:val="00685BBF"/>
    <w:rsid w:val="006941FA"/>
    <w:rsid w:val="006A4532"/>
    <w:rsid w:val="006A5DC8"/>
    <w:rsid w:val="006B075D"/>
    <w:rsid w:val="006B2F9A"/>
    <w:rsid w:val="006B366D"/>
    <w:rsid w:val="006B4972"/>
    <w:rsid w:val="007073D4"/>
    <w:rsid w:val="007137BA"/>
    <w:rsid w:val="00716444"/>
    <w:rsid w:val="0072608E"/>
    <w:rsid w:val="00732E1A"/>
    <w:rsid w:val="007526A5"/>
    <w:rsid w:val="0075662E"/>
    <w:rsid w:val="00775063"/>
    <w:rsid w:val="00784CF4"/>
    <w:rsid w:val="00787217"/>
    <w:rsid w:val="007B43B2"/>
    <w:rsid w:val="007D5E6D"/>
    <w:rsid w:val="007F1494"/>
    <w:rsid w:val="008157E9"/>
    <w:rsid w:val="00833E2D"/>
    <w:rsid w:val="008360C4"/>
    <w:rsid w:val="00867EFE"/>
    <w:rsid w:val="0087453E"/>
    <w:rsid w:val="00874C1C"/>
    <w:rsid w:val="008875A3"/>
    <w:rsid w:val="00891398"/>
    <w:rsid w:val="00891FE1"/>
    <w:rsid w:val="008C194B"/>
    <w:rsid w:val="008C52C0"/>
    <w:rsid w:val="008D1402"/>
    <w:rsid w:val="008E06A9"/>
    <w:rsid w:val="008E24F1"/>
    <w:rsid w:val="008F06D2"/>
    <w:rsid w:val="008F1CB2"/>
    <w:rsid w:val="008F7D6E"/>
    <w:rsid w:val="008F7ED6"/>
    <w:rsid w:val="00913F9B"/>
    <w:rsid w:val="00924817"/>
    <w:rsid w:val="009400B9"/>
    <w:rsid w:val="0095547B"/>
    <w:rsid w:val="00956C36"/>
    <w:rsid w:val="00970DCC"/>
    <w:rsid w:val="00972DA3"/>
    <w:rsid w:val="009738A6"/>
    <w:rsid w:val="009741DE"/>
    <w:rsid w:val="00974594"/>
    <w:rsid w:val="00976D9A"/>
    <w:rsid w:val="00985296"/>
    <w:rsid w:val="00985EC3"/>
    <w:rsid w:val="0099060A"/>
    <w:rsid w:val="00990C19"/>
    <w:rsid w:val="0099613F"/>
    <w:rsid w:val="009A3CCC"/>
    <w:rsid w:val="009A7D37"/>
    <w:rsid w:val="009B484E"/>
    <w:rsid w:val="009B75AC"/>
    <w:rsid w:val="009C3294"/>
    <w:rsid w:val="009C7A19"/>
    <w:rsid w:val="009E65D4"/>
    <w:rsid w:val="009F72E6"/>
    <w:rsid w:val="00A14B21"/>
    <w:rsid w:val="00A2787C"/>
    <w:rsid w:val="00A3058F"/>
    <w:rsid w:val="00A312FE"/>
    <w:rsid w:val="00A31422"/>
    <w:rsid w:val="00A36679"/>
    <w:rsid w:val="00A47BE6"/>
    <w:rsid w:val="00A65F61"/>
    <w:rsid w:val="00A71E49"/>
    <w:rsid w:val="00A72AEE"/>
    <w:rsid w:val="00A92BD1"/>
    <w:rsid w:val="00A97F30"/>
    <w:rsid w:val="00AA0B43"/>
    <w:rsid w:val="00AB22D9"/>
    <w:rsid w:val="00AC6BED"/>
    <w:rsid w:val="00AC7720"/>
    <w:rsid w:val="00AD5C75"/>
    <w:rsid w:val="00AF21D4"/>
    <w:rsid w:val="00AF4379"/>
    <w:rsid w:val="00AF7EE6"/>
    <w:rsid w:val="00B07E4C"/>
    <w:rsid w:val="00B33D86"/>
    <w:rsid w:val="00B37F31"/>
    <w:rsid w:val="00B47528"/>
    <w:rsid w:val="00B5333B"/>
    <w:rsid w:val="00B5483C"/>
    <w:rsid w:val="00B57FC5"/>
    <w:rsid w:val="00B66557"/>
    <w:rsid w:val="00B70257"/>
    <w:rsid w:val="00B81EE0"/>
    <w:rsid w:val="00BB44D2"/>
    <w:rsid w:val="00BB5BDE"/>
    <w:rsid w:val="00BC274A"/>
    <w:rsid w:val="00BD4AD5"/>
    <w:rsid w:val="00BE20F2"/>
    <w:rsid w:val="00BE68FB"/>
    <w:rsid w:val="00BE73C9"/>
    <w:rsid w:val="00BE792A"/>
    <w:rsid w:val="00BF0C31"/>
    <w:rsid w:val="00BF2287"/>
    <w:rsid w:val="00BF7AF5"/>
    <w:rsid w:val="00C03D37"/>
    <w:rsid w:val="00C07210"/>
    <w:rsid w:val="00C136BE"/>
    <w:rsid w:val="00C15877"/>
    <w:rsid w:val="00C30061"/>
    <w:rsid w:val="00C30859"/>
    <w:rsid w:val="00C44419"/>
    <w:rsid w:val="00C537B5"/>
    <w:rsid w:val="00C6274C"/>
    <w:rsid w:val="00C6730F"/>
    <w:rsid w:val="00C70532"/>
    <w:rsid w:val="00C70B3E"/>
    <w:rsid w:val="00C84EDD"/>
    <w:rsid w:val="00C87363"/>
    <w:rsid w:val="00C90BDE"/>
    <w:rsid w:val="00C91D5D"/>
    <w:rsid w:val="00C93027"/>
    <w:rsid w:val="00C941F7"/>
    <w:rsid w:val="00C9737F"/>
    <w:rsid w:val="00CA0979"/>
    <w:rsid w:val="00CA5A76"/>
    <w:rsid w:val="00CB35A2"/>
    <w:rsid w:val="00CD1C5B"/>
    <w:rsid w:val="00CD35B3"/>
    <w:rsid w:val="00D037F8"/>
    <w:rsid w:val="00D31902"/>
    <w:rsid w:val="00D33A87"/>
    <w:rsid w:val="00D360FC"/>
    <w:rsid w:val="00D37962"/>
    <w:rsid w:val="00D413ED"/>
    <w:rsid w:val="00D4767B"/>
    <w:rsid w:val="00D5769D"/>
    <w:rsid w:val="00D74671"/>
    <w:rsid w:val="00D7541C"/>
    <w:rsid w:val="00D81D96"/>
    <w:rsid w:val="00DA1D02"/>
    <w:rsid w:val="00DA72E9"/>
    <w:rsid w:val="00DB023C"/>
    <w:rsid w:val="00DB1CC7"/>
    <w:rsid w:val="00DC0B37"/>
    <w:rsid w:val="00DD3E44"/>
    <w:rsid w:val="00DD7752"/>
    <w:rsid w:val="00DE6102"/>
    <w:rsid w:val="00E02A1C"/>
    <w:rsid w:val="00E05271"/>
    <w:rsid w:val="00E12CBA"/>
    <w:rsid w:val="00E2163A"/>
    <w:rsid w:val="00E2382B"/>
    <w:rsid w:val="00E3526E"/>
    <w:rsid w:val="00E37446"/>
    <w:rsid w:val="00E80C81"/>
    <w:rsid w:val="00E83176"/>
    <w:rsid w:val="00E944F1"/>
    <w:rsid w:val="00EC117E"/>
    <w:rsid w:val="00EC37E0"/>
    <w:rsid w:val="00ED0A22"/>
    <w:rsid w:val="00ED4FCC"/>
    <w:rsid w:val="00EE678E"/>
    <w:rsid w:val="00EE7B0A"/>
    <w:rsid w:val="00F076A8"/>
    <w:rsid w:val="00F20301"/>
    <w:rsid w:val="00F238AD"/>
    <w:rsid w:val="00F2535C"/>
    <w:rsid w:val="00F2560E"/>
    <w:rsid w:val="00F26310"/>
    <w:rsid w:val="00F30D87"/>
    <w:rsid w:val="00F31954"/>
    <w:rsid w:val="00F31986"/>
    <w:rsid w:val="00F33EEF"/>
    <w:rsid w:val="00F50AF5"/>
    <w:rsid w:val="00F51D6A"/>
    <w:rsid w:val="00F62CD8"/>
    <w:rsid w:val="00F71DB4"/>
    <w:rsid w:val="00F910CD"/>
    <w:rsid w:val="00F972CE"/>
    <w:rsid w:val="00FA37CE"/>
    <w:rsid w:val="00FA3B97"/>
    <w:rsid w:val="00FA3EBF"/>
    <w:rsid w:val="00FB131D"/>
    <w:rsid w:val="00FB5BE7"/>
    <w:rsid w:val="00FB650B"/>
    <w:rsid w:val="00FD03EF"/>
    <w:rsid w:val="00FD21DC"/>
    <w:rsid w:val="00FD53E4"/>
    <w:rsid w:val="00FD56C4"/>
    <w:rsid w:val="00FE2133"/>
    <w:rsid w:val="00FF2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colormenu v:ext="edit" fillcolor="none [66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3">
    <w:name w:val="heading 3"/>
    <w:basedOn w:val="Normal"/>
    <w:next w:val="Normal"/>
    <w:link w:val="Heading3Char"/>
    <w:uiPriority w:val="9"/>
    <w:qFormat/>
    <w:rsid w:val="00F50AF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AF5"/>
    <w:rPr>
      <w:rFonts w:ascii="Cambria" w:eastAsia="Times New Roman" w:hAnsi="Cambria" w:cs="Times New Roman"/>
      <w:b/>
      <w:bCs/>
      <w:color w:val="4F81BD"/>
      <w:sz w:val="20"/>
      <w:szCs w:val="20"/>
    </w:rPr>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E06A9"/>
    <w:pPr>
      <w:spacing w:after="0" w:line="240" w:lineRule="auto"/>
    </w:pPr>
    <w:rPr>
      <w:rFonts w:ascii="Times New Roman" w:eastAsia="Times New Roman" w:hAnsi="Times New Roman" w:cs="Times New Roman"/>
      <w:b/>
      <w:sz w:val="20"/>
      <w:szCs w:val="20"/>
      <w:lang w:eastAsia="ko-KR"/>
    </w:rPr>
  </w:style>
  <w:style w:type="paragraph" w:styleId="FootnoteText">
    <w:name w:val="footnote text"/>
    <w:basedOn w:val="Normal"/>
    <w:link w:val="FootnoteTextChar"/>
    <w:uiPriority w:val="99"/>
    <w:rsid w:val="008E06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06A9"/>
    <w:rPr>
      <w:rFonts w:ascii="Times New Roman" w:eastAsia="Times New Roman" w:hAnsi="Times New Roman" w:cs="Times New Roman"/>
      <w:sz w:val="20"/>
      <w:szCs w:val="20"/>
    </w:rPr>
  </w:style>
  <w:style w:type="paragraph" w:customStyle="1" w:styleId="Default">
    <w:name w:val="Default"/>
    <w:rsid w:val="008E06A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50AF5"/>
    <w:rPr>
      <w:b w:val="0"/>
      <w:bCs w:val="0"/>
      <w:i w:val="0"/>
      <w:iCs w:val="0"/>
    </w:rPr>
  </w:style>
  <w:style w:type="paragraph" w:customStyle="1" w:styleId="fileinfo">
    <w:name w:val="fileinfo"/>
    <w:basedOn w:val="Normal"/>
    <w:rsid w:val="00F50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uiPriority w:val="99"/>
    <w:rsid w:val="00F50AF5"/>
    <w:pPr>
      <w:spacing w:line="278" w:lineRule="atLeast"/>
    </w:pPr>
    <w:rPr>
      <w:color w:val="auto"/>
    </w:rPr>
  </w:style>
  <w:style w:type="character" w:customStyle="1" w:styleId="PlainTextChar">
    <w:name w:val="Plain Text Char"/>
    <w:basedOn w:val="DefaultParagraphFont"/>
    <w:link w:val="PlainText"/>
    <w:uiPriority w:val="99"/>
    <w:semiHidden/>
    <w:rsid w:val="00F50AF5"/>
    <w:rPr>
      <w:rFonts w:ascii="Consolas" w:hAnsi="Consolas"/>
      <w:sz w:val="21"/>
      <w:szCs w:val="21"/>
    </w:rPr>
  </w:style>
  <w:style w:type="paragraph" w:styleId="PlainText">
    <w:name w:val="Plain Text"/>
    <w:basedOn w:val="Normal"/>
    <w:link w:val="PlainTextChar"/>
    <w:uiPriority w:val="99"/>
    <w:semiHidden/>
    <w:unhideWhenUsed/>
    <w:rsid w:val="00F50AF5"/>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F50AF5"/>
    <w:rPr>
      <w:rFonts w:ascii="Consolas" w:hAnsi="Consolas" w:cs="Consolas"/>
      <w:sz w:val="21"/>
      <w:szCs w:val="21"/>
    </w:rPr>
  </w:style>
  <w:style w:type="paragraph" w:styleId="HTMLPreformatted">
    <w:name w:val="HTML Preformatted"/>
    <w:basedOn w:val="Normal"/>
    <w:link w:val="HTMLPreformattedChar"/>
    <w:uiPriority w:val="99"/>
    <w:rsid w:val="00F50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F50AF5"/>
    <w:rPr>
      <w:rFonts w:ascii="Courier New" w:eastAsia="Times New Roman" w:hAnsi="Courier New" w:cs="Courier New"/>
      <w:color w:val="000000"/>
      <w:sz w:val="20"/>
      <w:szCs w:val="24"/>
    </w:rPr>
  </w:style>
  <w:style w:type="character" w:styleId="PageNumber">
    <w:name w:val="page number"/>
    <w:basedOn w:val="DefaultParagraphFont"/>
    <w:uiPriority w:val="99"/>
    <w:rsid w:val="00F50AF5"/>
  </w:style>
  <w:style w:type="paragraph" w:styleId="BodyText">
    <w:name w:val="Body Text"/>
    <w:basedOn w:val="Normal"/>
    <w:link w:val="BodyTextChar"/>
    <w:uiPriority w:val="99"/>
    <w:rsid w:val="00F50AF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F50AF5"/>
    <w:rPr>
      <w:rFonts w:ascii="Times New Roman" w:eastAsia="Times New Roman" w:hAnsi="Times New Roman" w:cs="Times New Roman"/>
      <w:sz w:val="20"/>
      <w:szCs w:val="20"/>
      <w:lang w:eastAsia="ko-KR"/>
    </w:rPr>
  </w:style>
  <w:style w:type="character" w:styleId="FollowedHyperlink">
    <w:name w:val="FollowedHyperlink"/>
    <w:basedOn w:val="DefaultParagraphFont"/>
    <w:uiPriority w:val="99"/>
    <w:semiHidden/>
    <w:unhideWhenUsed/>
    <w:rsid w:val="005F4194"/>
    <w:rPr>
      <w:color w:val="694F07" w:themeColor="followedHyperlink"/>
      <w:u w:val="single"/>
    </w:r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5CE41-6B9E-4305-A1F9-96FFDFDC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DEC28488-8C78-4544-8E90-41BB4B364E4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A682E4D-FEC8-4026-AA92-252576FA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19294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mvandeh</cp:lastModifiedBy>
  <cp:revision>7</cp:revision>
  <cp:lastPrinted>2013-10-09T17:56:00Z</cp:lastPrinted>
  <dcterms:created xsi:type="dcterms:W3CDTF">2013-12-19T17:56:00Z</dcterms:created>
  <dcterms:modified xsi:type="dcterms:W3CDTF">2013-12-23T16:46:00Z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