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862" w:rsidRDefault="00A035BA" w:rsidP="00A035BA">
      <w:pPr>
        <w:pStyle w:val="NormalWeb"/>
        <w:shd w:val="clear" w:color="auto" w:fill="FFFFFF"/>
        <w:rPr>
          <w:rFonts w:ascii="Lucida Sans Unicode" w:hAnsi="Lucida Sans Unicode" w:cs="Lucida Sans Unicode"/>
          <w:color w:val="151515"/>
          <w:sz w:val="19"/>
          <w:szCs w:val="19"/>
          <w:lang/>
        </w:rPr>
      </w:pPr>
      <w:r>
        <w:rPr>
          <w:rFonts w:ascii="Lucida Sans Unicode" w:hAnsi="Lucida Sans Unicode" w:cs="Lucida Sans Unicode"/>
          <w:color w:val="151515"/>
          <w:sz w:val="19"/>
          <w:szCs w:val="19"/>
          <w:lang/>
        </w:rPr>
        <w:t>Sulfur dioxide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is one of a group of highly reactive gasses known as “oxides of sulfur.”  The largest sources of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emissions are from fossil fuel combustion at power plants (73%) and other industrial facilities (20%).  Smaller sources of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emissions include industrial processes such as extracting metal from ore, and the burning of high sulfur containing fuels by locomotives, large ships, and non-road equipment.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is linked with a number of adverse effects on the respiratory system.</w:t>
      </w:r>
      <w:r>
        <w:rPr>
          <w:rStyle w:val="FootnoteReference"/>
          <w:rFonts w:ascii="Lucida Sans Unicode" w:hAnsi="Lucida Sans Unicode" w:cs="Lucida Sans Unicode"/>
          <w:color w:val="151515"/>
          <w:sz w:val="19"/>
          <w:szCs w:val="19"/>
          <w:lang/>
        </w:rPr>
        <w:footnoteReference w:id="1"/>
      </w:r>
    </w:p>
    <w:p w:rsidR="00A035BA" w:rsidRDefault="00A035BA" w:rsidP="00A035BA">
      <w:pPr>
        <w:pStyle w:val="NormalWeb"/>
        <w:shd w:val="clear" w:color="auto" w:fill="FFFFFF"/>
        <w:rPr>
          <w:rFonts w:ascii="Lucida Sans Unicode" w:hAnsi="Lucida Sans Unicode" w:cs="Lucida Sans Unicode"/>
          <w:color w:val="151515"/>
          <w:sz w:val="19"/>
          <w:szCs w:val="19"/>
          <w:lang/>
        </w:rPr>
      </w:pPr>
    </w:p>
    <w:p w:rsidR="00A035BA" w:rsidRDefault="00A035BA" w:rsidP="00A035BA">
      <w:pPr>
        <w:pStyle w:val="NormalWeb"/>
        <w:shd w:val="clear" w:color="auto" w:fill="FFFFFF"/>
        <w:rPr>
          <w:rFonts w:ascii="Lucida Sans Unicode" w:hAnsi="Lucida Sans Unicode" w:cs="Lucida Sans Unicode"/>
          <w:color w:val="151515"/>
          <w:sz w:val="19"/>
          <w:szCs w:val="19"/>
          <w:lang/>
        </w:rPr>
      </w:pPr>
      <w:r>
        <w:rPr>
          <w:rFonts w:ascii="Lucida Sans Unicode" w:hAnsi="Lucida Sans Unicode" w:cs="Lucida Sans Unicode"/>
          <w:color w:val="151515"/>
          <w:sz w:val="19"/>
          <w:szCs w:val="19"/>
          <w:lang/>
        </w:rPr>
        <w:t>EPA’s National Ambient Air Quality Standard for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is designed to protect against exposure to the entire group of sulfur oxides (</w:t>
      </w:r>
      <w:proofErr w:type="spellStart"/>
      <w:r>
        <w:rPr>
          <w:rFonts w:ascii="Lucida Sans Unicode" w:hAnsi="Lucida Sans Unicode" w:cs="Lucida Sans Unicode"/>
          <w:color w:val="151515"/>
          <w:sz w:val="19"/>
          <w:szCs w:val="19"/>
          <w:lang/>
        </w:rPr>
        <w:t>SOx</w:t>
      </w:r>
      <w:proofErr w:type="spellEnd"/>
      <w:r>
        <w:rPr>
          <w:rFonts w:ascii="Lucida Sans Unicode" w:hAnsi="Lucida Sans Unicode" w:cs="Lucida Sans Unicode"/>
          <w:color w:val="151515"/>
          <w:sz w:val="19"/>
          <w:szCs w:val="19"/>
          <w:lang/>
        </w:rPr>
        <w:t>).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is the component of greatest concern and is used as the indicator for the larger group of gaseous sulfur oxides (</w:t>
      </w:r>
      <w:proofErr w:type="spellStart"/>
      <w:r>
        <w:rPr>
          <w:rFonts w:ascii="Lucida Sans Unicode" w:hAnsi="Lucida Sans Unicode" w:cs="Lucida Sans Unicode"/>
          <w:color w:val="151515"/>
          <w:sz w:val="19"/>
          <w:szCs w:val="19"/>
          <w:lang/>
        </w:rPr>
        <w:t>SOx</w:t>
      </w:r>
      <w:proofErr w:type="spellEnd"/>
      <w:r>
        <w:rPr>
          <w:rFonts w:ascii="Lucida Sans Unicode" w:hAnsi="Lucida Sans Unicode" w:cs="Lucida Sans Unicode"/>
          <w:color w:val="151515"/>
          <w:sz w:val="19"/>
          <w:szCs w:val="19"/>
          <w:lang/>
        </w:rPr>
        <w:t>).  Other gaseous sulfur oxides (e.g. SO3) are found in the atmosphere at concentrations much lower than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&gt;&gt;&gt;&gt; Emissions that lead to high concentrations of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generally also lead to the formation of other </w:t>
      </w:r>
      <w:proofErr w:type="spellStart"/>
      <w:r>
        <w:rPr>
          <w:rFonts w:ascii="Lucida Sans Unicode" w:hAnsi="Lucida Sans Unicode" w:cs="Lucida Sans Unicode"/>
          <w:color w:val="151515"/>
          <w:sz w:val="19"/>
          <w:szCs w:val="19"/>
          <w:lang/>
        </w:rPr>
        <w:t>SOx</w:t>
      </w:r>
      <w:proofErr w:type="spellEnd"/>
      <w:r>
        <w:rPr>
          <w:rFonts w:ascii="Lucida Sans Unicode" w:hAnsi="Lucida Sans Unicode" w:cs="Lucida Sans Unicode"/>
          <w:color w:val="151515"/>
          <w:sz w:val="19"/>
          <w:szCs w:val="19"/>
          <w:lang/>
        </w:rPr>
        <w:t>.  Control measures that reduce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can generally be expected to reduce people’s exposures to all gaseous </w:t>
      </w:r>
      <w:proofErr w:type="spellStart"/>
      <w:r>
        <w:rPr>
          <w:rFonts w:ascii="Lucida Sans Unicode" w:hAnsi="Lucida Sans Unicode" w:cs="Lucida Sans Unicode"/>
          <w:color w:val="151515"/>
          <w:sz w:val="19"/>
          <w:szCs w:val="19"/>
          <w:lang/>
        </w:rPr>
        <w:t>SOx</w:t>
      </w:r>
      <w:proofErr w:type="spellEnd"/>
      <w:r>
        <w:rPr>
          <w:rFonts w:ascii="Lucida Sans Unicode" w:hAnsi="Lucida Sans Unicode" w:cs="Lucida Sans Unicode"/>
          <w:color w:val="151515"/>
          <w:sz w:val="19"/>
          <w:szCs w:val="19"/>
          <w:lang/>
        </w:rPr>
        <w:t xml:space="preserve">.  This may have the important co-benefit of reducing the formation of fine sulfate particles, which pose significant public health threats. &gt;&gt;&gt; </w:t>
      </w:r>
      <w:proofErr w:type="spellStart"/>
      <w:r>
        <w:rPr>
          <w:rFonts w:ascii="Lucida Sans Unicode" w:hAnsi="Lucida Sans Unicode" w:cs="Lucida Sans Unicode"/>
          <w:color w:val="151515"/>
          <w:sz w:val="19"/>
          <w:szCs w:val="19"/>
          <w:lang/>
        </w:rPr>
        <w:t>SOx</w:t>
      </w:r>
      <w:proofErr w:type="spellEnd"/>
      <w:r>
        <w:rPr>
          <w:rFonts w:ascii="Lucida Sans Unicode" w:hAnsi="Lucida Sans Unicode" w:cs="Lucida Sans Unicode"/>
          <w:color w:val="151515"/>
          <w:sz w:val="19"/>
          <w:szCs w:val="19"/>
          <w:lang/>
        </w:rPr>
        <w:t xml:space="preserve"> can react with other compounds in the atmosphere to form small particles. These particles penetrate deeply into sensitive parts of the lungs and can cause or worsen respiratory disease, such as emphysema and bronchitis, and can aggravate existing heart disease, leading to increased hospital admissions and premature death.  EPA’s NAAQS for particulate matter (PM) are designed to provide protection against these health effects.</w:t>
      </w:r>
      <w:r>
        <w:rPr>
          <w:rStyle w:val="FootnoteReference"/>
          <w:rFonts w:ascii="Lucida Sans Unicode" w:hAnsi="Lucida Sans Unicode" w:cs="Lucida Sans Unicode"/>
          <w:color w:val="151515"/>
          <w:sz w:val="19"/>
          <w:szCs w:val="19"/>
          <w:lang/>
        </w:rPr>
        <w:footnoteReference w:id="2"/>
      </w:r>
      <w:r>
        <w:rPr>
          <w:rFonts w:ascii="Lucida Sans Unicode" w:hAnsi="Lucida Sans Unicode" w:cs="Lucida Sans Unicode"/>
          <w:color w:val="151515"/>
          <w:sz w:val="19"/>
          <w:szCs w:val="19"/>
          <w:lang/>
        </w:rPr>
        <w:t xml:space="preserve"> </w:t>
      </w:r>
    </w:p>
    <w:p w:rsidR="00A035BA" w:rsidRDefault="00A035BA" w:rsidP="00A035BA">
      <w:pPr>
        <w:pStyle w:val="NormalWeb"/>
        <w:shd w:val="clear" w:color="auto" w:fill="FFFFFF"/>
        <w:rPr>
          <w:rFonts w:ascii="Lucida Sans Unicode" w:hAnsi="Lucida Sans Unicode" w:cs="Lucida Sans Unicode"/>
          <w:color w:val="151515"/>
          <w:sz w:val="19"/>
          <w:szCs w:val="19"/>
          <w:lang/>
        </w:rPr>
      </w:pPr>
      <w:r>
        <w:rPr>
          <w:rFonts w:ascii="Lucida Sans Unicode" w:hAnsi="Lucida Sans Unicode" w:cs="Lucida Sans Unicode"/>
          <w:color w:val="151515"/>
          <w:sz w:val="19"/>
          <w:szCs w:val="19"/>
          <w:lang/>
        </w:rPr>
        <w:t>EPA issued the final primary NAAQS for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on June 2, 2010.  In early June 2013, after the consideration of recommendations from air agencies, EPA intends to </w:t>
      </w:r>
      <w:hyperlink r:id="rId7" w:history="1">
        <w:r>
          <w:rPr>
            <w:rStyle w:val="Hyperlink"/>
            <w:rFonts w:ascii="Lucida Sans Unicode" w:hAnsi="Lucida Sans Unicode" w:cs="Lucida Sans Unicode"/>
            <w:sz w:val="19"/>
            <w:szCs w:val="19"/>
            <w:lang/>
          </w:rPr>
          <w:t>designate</w:t>
        </w:r>
      </w:hyperlink>
      <w:r>
        <w:rPr>
          <w:rFonts w:ascii="Lucida Sans Unicode" w:hAnsi="Lucida Sans Unicode" w:cs="Lucida Sans Unicode"/>
          <w:color w:val="151515"/>
          <w:sz w:val="19"/>
          <w:szCs w:val="19"/>
          <w:lang/>
        </w:rPr>
        <w:t xml:space="preserve"> as "nonattainment" those areas with air quality monitors that violate the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standard. EPA has also developed an updated strategy for identifying and addressing unhealthy levels of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in the rest of the country. This strategy recognizes that existing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monitors may not adequately characterize air quality around many of the largest SO</w:t>
      </w:r>
      <w:r>
        <w:rPr>
          <w:rFonts w:ascii="Lucida Sans Unicode" w:hAnsi="Lucida Sans Unicode" w:cs="Lucida Sans Unicode"/>
          <w:color w:val="151515"/>
          <w:sz w:val="19"/>
          <w:szCs w:val="19"/>
          <w:vertAlign w:val="subscript"/>
          <w:lang/>
        </w:rPr>
        <w:t>2</w:t>
      </w:r>
      <w:r>
        <w:rPr>
          <w:rFonts w:ascii="Lucida Sans Unicode" w:hAnsi="Lucida Sans Unicode" w:cs="Lucida Sans Unicode"/>
          <w:color w:val="151515"/>
          <w:sz w:val="19"/>
          <w:szCs w:val="19"/>
          <w:lang/>
        </w:rPr>
        <w:t xml:space="preserve"> sources across the country. Accordingly, the strategy presents a process and timetable by which states would characterize air quality in these areas, either through expanded air quality monitoring or air quality modeling techniques.</w:t>
      </w:r>
      <w:r>
        <w:rPr>
          <w:rStyle w:val="FootnoteReference"/>
          <w:rFonts w:ascii="Lucida Sans Unicode" w:hAnsi="Lucida Sans Unicode" w:cs="Lucida Sans Unicode"/>
          <w:color w:val="151515"/>
          <w:sz w:val="19"/>
          <w:szCs w:val="19"/>
          <w:lang/>
        </w:rPr>
        <w:footnoteReference w:id="3"/>
      </w:r>
    </w:p>
    <w:p w:rsidR="00A035BA" w:rsidRPr="00A035BA" w:rsidRDefault="00A035BA" w:rsidP="00A035BA">
      <w:pPr>
        <w:pStyle w:val="NormalWeb"/>
        <w:shd w:val="clear" w:color="auto" w:fill="FFFFFF"/>
        <w:rPr>
          <w:rFonts w:ascii="Lucida Sans Unicode" w:hAnsi="Lucida Sans Unicode" w:cs="Lucida Sans Unicode"/>
          <w:color w:val="151515"/>
          <w:sz w:val="19"/>
          <w:szCs w:val="19"/>
          <w:lang/>
        </w:rPr>
      </w:pPr>
    </w:p>
    <w:sectPr w:rsidR="00A035BA" w:rsidRPr="00A035BA" w:rsidSect="00CB48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1DE" w:rsidRDefault="00D701DE" w:rsidP="00A035BA">
      <w:pPr>
        <w:spacing w:after="0" w:line="240" w:lineRule="auto"/>
      </w:pPr>
      <w:r>
        <w:separator/>
      </w:r>
    </w:p>
  </w:endnote>
  <w:endnote w:type="continuationSeparator" w:id="0">
    <w:p w:rsidR="00D701DE" w:rsidRDefault="00D701DE" w:rsidP="00A03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1DE" w:rsidRDefault="00D701DE" w:rsidP="00A035BA">
      <w:pPr>
        <w:spacing w:after="0" w:line="240" w:lineRule="auto"/>
      </w:pPr>
      <w:r>
        <w:separator/>
      </w:r>
    </w:p>
  </w:footnote>
  <w:footnote w:type="continuationSeparator" w:id="0">
    <w:p w:rsidR="00D701DE" w:rsidRDefault="00D701DE" w:rsidP="00A035BA">
      <w:pPr>
        <w:spacing w:after="0" w:line="240" w:lineRule="auto"/>
      </w:pPr>
      <w:r>
        <w:continuationSeparator/>
      </w:r>
    </w:p>
  </w:footnote>
  <w:footnote w:id="1">
    <w:p w:rsidR="00A035BA" w:rsidRDefault="00A035BA">
      <w:pPr>
        <w:pStyle w:val="FootnoteText"/>
      </w:pPr>
      <w:r>
        <w:rPr>
          <w:rStyle w:val="FootnoteReference"/>
        </w:rPr>
        <w:footnoteRef/>
      </w:r>
      <w:r>
        <w:t xml:space="preserve"> </w:t>
      </w:r>
      <w:hyperlink r:id="rId1" w:history="1">
        <w:r w:rsidRPr="00E921D9">
          <w:rPr>
            <w:rStyle w:val="Hyperlink"/>
          </w:rPr>
          <w:t>http://www.epa.gov/airquality/sulfurdioxide/</w:t>
        </w:r>
      </w:hyperlink>
      <w:r>
        <w:t xml:space="preserve"> </w:t>
      </w:r>
    </w:p>
  </w:footnote>
  <w:footnote w:id="2">
    <w:p w:rsidR="00A035BA" w:rsidRDefault="00A035BA">
      <w:pPr>
        <w:pStyle w:val="FootnoteText"/>
      </w:pPr>
      <w:r>
        <w:rPr>
          <w:rStyle w:val="FootnoteReference"/>
        </w:rPr>
        <w:footnoteRef/>
      </w:r>
      <w:r>
        <w:t xml:space="preserve"> </w:t>
      </w:r>
      <w:hyperlink r:id="rId2" w:history="1">
        <w:r w:rsidRPr="00E921D9">
          <w:rPr>
            <w:rStyle w:val="Hyperlink"/>
          </w:rPr>
          <w:t>http://www.epa.gov/airquality/sulfurdioxide/health.html</w:t>
        </w:r>
      </w:hyperlink>
      <w:r>
        <w:t xml:space="preserve"> </w:t>
      </w:r>
    </w:p>
  </w:footnote>
  <w:footnote w:id="3">
    <w:p w:rsidR="00A035BA" w:rsidRDefault="00A035BA">
      <w:pPr>
        <w:pStyle w:val="FootnoteText"/>
      </w:pPr>
      <w:r>
        <w:rPr>
          <w:rStyle w:val="FootnoteReference"/>
        </w:rPr>
        <w:footnoteRef/>
      </w:r>
      <w:r>
        <w:t xml:space="preserve"> </w:t>
      </w:r>
      <w:hyperlink r:id="rId3" w:history="1">
        <w:r w:rsidRPr="00E921D9">
          <w:rPr>
            <w:rStyle w:val="Hyperlink"/>
          </w:rPr>
          <w:t>http://www.epa.gov/airquality/sulfurdioxide/implement.html</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footnotePr>
    <w:footnote w:id="-1"/>
    <w:footnote w:id="0"/>
  </w:footnotePr>
  <w:endnotePr>
    <w:endnote w:id="-1"/>
    <w:endnote w:id="0"/>
  </w:endnotePr>
  <w:compat/>
  <w:rsids>
    <w:rsidRoot w:val="00A035BA"/>
    <w:rsid w:val="00054DFA"/>
    <w:rsid w:val="0009194A"/>
    <w:rsid w:val="009B0DAD"/>
    <w:rsid w:val="00A035BA"/>
    <w:rsid w:val="00CB4862"/>
    <w:rsid w:val="00D52C4F"/>
    <w:rsid w:val="00D701DE"/>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35B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03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5BA"/>
    <w:rPr>
      <w:sz w:val="20"/>
      <w:szCs w:val="20"/>
    </w:rPr>
  </w:style>
  <w:style w:type="character" w:styleId="FootnoteReference">
    <w:name w:val="footnote reference"/>
    <w:basedOn w:val="DefaultParagraphFont"/>
    <w:uiPriority w:val="99"/>
    <w:semiHidden/>
    <w:unhideWhenUsed/>
    <w:rsid w:val="00A035BA"/>
    <w:rPr>
      <w:vertAlign w:val="superscript"/>
    </w:rPr>
  </w:style>
  <w:style w:type="character" w:styleId="Hyperlink">
    <w:name w:val="Hyperlink"/>
    <w:basedOn w:val="DefaultParagraphFont"/>
    <w:uiPriority w:val="99"/>
    <w:unhideWhenUsed/>
    <w:rsid w:val="00A035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439627">
      <w:bodyDiv w:val="1"/>
      <w:marLeft w:val="0"/>
      <w:marRight w:val="0"/>
      <w:marTop w:val="0"/>
      <w:marBottom w:val="0"/>
      <w:divBdr>
        <w:top w:val="none" w:sz="0" w:space="0" w:color="auto"/>
        <w:left w:val="none" w:sz="0" w:space="0" w:color="auto"/>
        <w:bottom w:val="none" w:sz="0" w:space="0" w:color="auto"/>
        <w:right w:val="none" w:sz="0" w:space="0" w:color="auto"/>
      </w:divBdr>
      <w:divsChild>
        <w:div w:id="2070299356">
          <w:marLeft w:val="0"/>
          <w:marRight w:val="0"/>
          <w:marTop w:val="0"/>
          <w:marBottom w:val="0"/>
          <w:divBdr>
            <w:top w:val="none" w:sz="0" w:space="0" w:color="auto"/>
            <w:left w:val="none" w:sz="0" w:space="0" w:color="auto"/>
            <w:bottom w:val="none" w:sz="0" w:space="0" w:color="auto"/>
            <w:right w:val="none" w:sz="0" w:space="0" w:color="auto"/>
          </w:divBdr>
          <w:divsChild>
            <w:div w:id="1118916246">
              <w:marLeft w:val="0"/>
              <w:marRight w:val="0"/>
              <w:marTop w:val="0"/>
              <w:marBottom w:val="0"/>
              <w:divBdr>
                <w:top w:val="none" w:sz="0" w:space="0" w:color="auto"/>
                <w:left w:val="none" w:sz="0" w:space="0" w:color="auto"/>
                <w:bottom w:val="none" w:sz="0" w:space="0" w:color="auto"/>
                <w:right w:val="none" w:sz="0" w:space="0" w:color="auto"/>
              </w:divBdr>
              <w:divsChild>
                <w:div w:id="1120686528">
                  <w:marLeft w:val="104"/>
                  <w:marRight w:val="104"/>
                  <w:marTop w:val="0"/>
                  <w:marBottom w:val="0"/>
                  <w:divBdr>
                    <w:top w:val="none" w:sz="0" w:space="0" w:color="auto"/>
                    <w:left w:val="none" w:sz="0" w:space="0" w:color="auto"/>
                    <w:bottom w:val="none" w:sz="0" w:space="0" w:color="auto"/>
                    <w:right w:val="none" w:sz="0" w:space="0" w:color="auto"/>
                  </w:divBdr>
                </w:div>
              </w:divsChild>
            </w:div>
          </w:divsChild>
        </w:div>
      </w:divsChild>
    </w:div>
    <w:div w:id="568466962">
      <w:bodyDiv w:val="1"/>
      <w:marLeft w:val="0"/>
      <w:marRight w:val="0"/>
      <w:marTop w:val="0"/>
      <w:marBottom w:val="0"/>
      <w:divBdr>
        <w:top w:val="none" w:sz="0" w:space="0" w:color="auto"/>
        <w:left w:val="none" w:sz="0" w:space="0" w:color="auto"/>
        <w:bottom w:val="none" w:sz="0" w:space="0" w:color="auto"/>
        <w:right w:val="none" w:sz="0" w:space="0" w:color="auto"/>
      </w:divBdr>
      <w:divsChild>
        <w:div w:id="1409418601">
          <w:marLeft w:val="0"/>
          <w:marRight w:val="0"/>
          <w:marTop w:val="0"/>
          <w:marBottom w:val="0"/>
          <w:divBdr>
            <w:top w:val="none" w:sz="0" w:space="0" w:color="auto"/>
            <w:left w:val="none" w:sz="0" w:space="0" w:color="auto"/>
            <w:bottom w:val="none" w:sz="0" w:space="0" w:color="auto"/>
            <w:right w:val="none" w:sz="0" w:space="0" w:color="auto"/>
          </w:divBdr>
          <w:divsChild>
            <w:div w:id="1863475669">
              <w:marLeft w:val="0"/>
              <w:marRight w:val="0"/>
              <w:marTop w:val="0"/>
              <w:marBottom w:val="0"/>
              <w:divBdr>
                <w:top w:val="none" w:sz="0" w:space="0" w:color="auto"/>
                <w:left w:val="none" w:sz="0" w:space="0" w:color="auto"/>
                <w:bottom w:val="none" w:sz="0" w:space="0" w:color="auto"/>
                <w:right w:val="none" w:sz="0" w:space="0" w:color="auto"/>
              </w:divBdr>
              <w:divsChild>
                <w:div w:id="1785732735">
                  <w:marLeft w:val="104"/>
                  <w:marRight w:val="104"/>
                  <w:marTop w:val="0"/>
                  <w:marBottom w:val="0"/>
                  <w:divBdr>
                    <w:top w:val="none" w:sz="0" w:space="0" w:color="auto"/>
                    <w:left w:val="none" w:sz="0" w:space="0" w:color="auto"/>
                    <w:bottom w:val="none" w:sz="0" w:space="0" w:color="auto"/>
                    <w:right w:val="none" w:sz="0" w:space="0" w:color="auto"/>
                  </w:divBdr>
                </w:div>
              </w:divsChild>
            </w:div>
          </w:divsChild>
        </w:div>
      </w:divsChild>
    </w:div>
    <w:div w:id="1758405365">
      <w:bodyDiv w:val="1"/>
      <w:marLeft w:val="0"/>
      <w:marRight w:val="0"/>
      <w:marTop w:val="0"/>
      <w:marBottom w:val="0"/>
      <w:divBdr>
        <w:top w:val="none" w:sz="0" w:space="0" w:color="auto"/>
        <w:left w:val="none" w:sz="0" w:space="0" w:color="auto"/>
        <w:bottom w:val="none" w:sz="0" w:space="0" w:color="auto"/>
        <w:right w:val="none" w:sz="0" w:space="0" w:color="auto"/>
      </w:divBdr>
      <w:divsChild>
        <w:div w:id="1621453364">
          <w:marLeft w:val="0"/>
          <w:marRight w:val="0"/>
          <w:marTop w:val="0"/>
          <w:marBottom w:val="0"/>
          <w:divBdr>
            <w:top w:val="none" w:sz="0" w:space="0" w:color="auto"/>
            <w:left w:val="none" w:sz="0" w:space="0" w:color="auto"/>
            <w:bottom w:val="none" w:sz="0" w:space="0" w:color="auto"/>
            <w:right w:val="none" w:sz="0" w:space="0" w:color="auto"/>
          </w:divBdr>
          <w:divsChild>
            <w:div w:id="1325859419">
              <w:marLeft w:val="0"/>
              <w:marRight w:val="0"/>
              <w:marTop w:val="0"/>
              <w:marBottom w:val="0"/>
              <w:divBdr>
                <w:top w:val="none" w:sz="0" w:space="0" w:color="auto"/>
                <w:left w:val="none" w:sz="0" w:space="0" w:color="auto"/>
                <w:bottom w:val="none" w:sz="0" w:space="0" w:color="auto"/>
                <w:right w:val="none" w:sz="0" w:space="0" w:color="auto"/>
              </w:divBdr>
              <w:divsChild>
                <w:div w:id="856961546">
                  <w:marLeft w:val="104"/>
                  <w:marRight w:val="1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gov/so2designat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airquality/sulfurdioxide/implement.html" TargetMode="External"/><Relationship Id="rId2" Type="http://schemas.openxmlformats.org/officeDocument/2006/relationships/hyperlink" Target="http://www.epa.gov/airquality/sulfurdioxide/health.html" TargetMode="External"/><Relationship Id="rId1" Type="http://schemas.openxmlformats.org/officeDocument/2006/relationships/hyperlink" Target="http://www.epa.gov/airquality/sulfurdiox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ADC6A-5CAA-4384-A477-91F8C7BB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2</cp:revision>
  <dcterms:created xsi:type="dcterms:W3CDTF">2013-03-05T17:25:00Z</dcterms:created>
  <dcterms:modified xsi:type="dcterms:W3CDTF">2013-03-06T01:27:00Z</dcterms:modified>
</cp:coreProperties>
</file>