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110(a)(1) and (2) for the </w:t>
      </w:r>
    </w:p>
    <w:p w:rsidR="001150C0" w:rsidRDefault="0025545D" w:rsidP="00953EC2">
      <w:pPr>
        <w:tabs>
          <w:tab w:val="center" w:pos="6480"/>
        </w:tabs>
        <w:jc w:val="center"/>
        <w:rPr>
          <w:b/>
          <w:bCs/>
        </w:rPr>
      </w:pPr>
      <w:r w:rsidRPr="00D3549D">
        <w:rPr>
          <w:b/>
          <w:bCs/>
        </w:rPr>
        <w:t>{insert year and NAAQS, e.g. 2008 Pb}</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742119">
          <w:rPr>
            <w:noProof/>
          </w:rPr>
          <w:t>March 27, 2013</w:t>
        </w:r>
      </w:fldSimple>
    </w:p>
    <w:p w:rsidR="001150C0" w:rsidRPr="0025545D" w:rsidRDefault="001150C0" w:rsidP="001150C0">
      <w:r>
        <w:t xml:space="preserve">Subject:     </w:t>
      </w:r>
      <w:r w:rsidR="006D66C6">
        <w:t xml:space="preserve">             </w:t>
      </w:r>
      <w:r w:rsidR="0025545D">
        <w:t>Clean Air Act sections</w:t>
      </w:r>
      <w:r>
        <w:t xml:space="preserve"> 110(a)(2)</w:t>
      </w:r>
      <w:r w:rsidR="0025545D">
        <w:t>(a)(2)</w:t>
      </w:r>
      <w:r>
        <w:t>(A)-(M) SIP</w:t>
      </w:r>
      <w:r w:rsidRPr="004A318F">
        <w:t xml:space="preserve"> </w:t>
      </w:r>
      <w:r w:rsidR="00624606">
        <w:t xml:space="preserve">Infrastructure </w:t>
      </w:r>
      <w:r w:rsidR="0025545D">
        <w:t xml:space="preserve">Elements for the </w:t>
      </w:r>
      <w:r w:rsidR="0025545D" w:rsidRPr="00D3549D">
        <w:rPr>
          <w:bCs/>
        </w:rPr>
        <w:t>{insert year and NAAQS, e.g. 2008 Pb}</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1150C0" w:rsidTr="0025545D">
        <w:tc>
          <w:tcPr>
            <w:tcW w:w="2448" w:type="dxa"/>
          </w:tcPr>
          <w:p w:rsidR="001150C0" w:rsidRPr="00474742" w:rsidRDefault="001150C0" w:rsidP="001150C0">
            <w:pPr>
              <w:rPr>
                <w:b/>
                <w:bCs/>
                <w:color w:val="000000"/>
              </w:rPr>
            </w:pPr>
            <w:r w:rsidRPr="00474742">
              <w:rPr>
                <w:b/>
                <w:bCs/>
                <w:color w:val="000000"/>
              </w:rPr>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756A49" w:rsidRPr="00474742" w:rsidRDefault="001150C0" w:rsidP="00B92FD8">
            <w:pPr>
              <w:spacing w:after="120"/>
              <w:rPr>
                <w:color w:val="000000"/>
              </w:rPr>
            </w:pPr>
            <w:r w:rsidRPr="00474742">
              <w:rPr>
                <w:b/>
                <w:color w:val="000000"/>
              </w:rPr>
              <w:t>ORS 468A.035</w:t>
            </w:r>
            <w:r w:rsidRPr="00474742">
              <w:rPr>
                <w:color w:val="000000"/>
              </w:rPr>
              <w:t xml:space="preserve"> </w:t>
            </w:r>
            <w:r w:rsidRPr="00474742">
              <w:rPr>
                <w:b/>
                <w:color w:val="000000"/>
              </w:rPr>
              <w:t xml:space="preserve">General </w:t>
            </w:r>
            <w:r w:rsidR="00756A49" w:rsidRPr="00474742">
              <w:rPr>
                <w:b/>
                <w:color w:val="000000"/>
              </w:rPr>
              <w:t>C</w:t>
            </w:r>
            <w:r w:rsidRPr="00474742">
              <w:rPr>
                <w:b/>
                <w:color w:val="000000"/>
              </w:rPr>
              <w:t xml:space="preserve">omprehensive </w:t>
            </w:r>
            <w:r w:rsidR="00756A49" w:rsidRPr="00474742">
              <w:rPr>
                <w:b/>
                <w:color w:val="000000"/>
              </w:rPr>
              <w:t>P</w:t>
            </w:r>
            <w:r w:rsidRPr="00474742">
              <w:rPr>
                <w:b/>
                <w:color w:val="000000"/>
              </w:rPr>
              <w:t>lan</w:t>
            </w:r>
            <w:r w:rsidR="006D7EA0">
              <w:rPr>
                <w:b/>
                <w:color w:val="000000"/>
              </w:rPr>
              <w:t>:</w:t>
            </w:r>
            <w:r w:rsidR="00756A49" w:rsidRPr="00474742">
              <w:rPr>
                <w:b/>
                <w:color w:val="000000"/>
              </w:rPr>
              <w:t xml:space="preserve"> </w:t>
            </w:r>
            <w:r w:rsidR="0025545D" w:rsidRPr="0025545D">
              <w:rPr>
                <w:color w:val="000000"/>
              </w:rPr>
              <w:t>Oregon Department of Environmental Quality (</w:t>
            </w:r>
            <w:r w:rsidR="00756A49" w:rsidRPr="0025545D">
              <w:rPr>
                <w:color w:val="000000"/>
              </w:rPr>
              <w:t>DEQ</w:t>
            </w:r>
            <w:r w:rsidR="0025545D">
              <w:rPr>
                <w:color w:val="000000"/>
              </w:rPr>
              <w:t>)</w:t>
            </w:r>
            <w:r w:rsidR="00756A49" w:rsidRPr="00474742">
              <w:rPr>
                <w:color w:val="000000"/>
              </w:rPr>
              <w:t xml:space="preserve"> shall develop a general comprehensive plan for the contro</w:t>
            </w:r>
            <w:r w:rsidR="0025545D">
              <w:rPr>
                <w:color w:val="000000"/>
              </w:rPr>
              <w:t>l or abatement of air pollution</w:t>
            </w:r>
          </w:p>
          <w:p w:rsidR="00756A49" w:rsidRPr="00474742" w:rsidRDefault="001150C0" w:rsidP="00B92FD8">
            <w:pPr>
              <w:spacing w:after="120"/>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spacing w:after="120"/>
              <w:ind w:left="360"/>
              <w:rPr>
                <w:color w:val="000000"/>
              </w:rPr>
            </w:pPr>
            <w:r w:rsidRPr="00474742">
              <w:rPr>
                <w:b/>
                <w:color w:val="000000"/>
              </w:rPr>
              <w:t>-(4</w:t>
            </w:r>
            <w:r w:rsidRPr="00474742">
              <w:rPr>
                <w:color w:val="000000"/>
              </w:rPr>
              <w:t>) emission treatment and control provisions</w:t>
            </w:r>
          </w:p>
          <w:p w:rsidR="000A7647" w:rsidRDefault="000A7647" w:rsidP="000A7647">
            <w:pPr>
              <w:spacing w:after="120"/>
              <w:rPr>
                <w:color w:val="000000"/>
              </w:rPr>
            </w:pPr>
            <w:r>
              <w:rPr>
                <w:b/>
                <w:color w:val="000000"/>
              </w:rPr>
              <w:t>ORS 468A.040 Permits; Rules</w:t>
            </w:r>
            <w:r w:rsidR="006D7EA0">
              <w:rPr>
                <w:b/>
                <w:color w:val="000000"/>
              </w:rPr>
              <w:t>:</w:t>
            </w:r>
            <w:r>
              <w:rPr>
                <w:b/>
                <w:color w:val="000000"/>
              </w:rPr>
              <w:t xml:space="preserve"> </w:t>
            </w:r>
            <w:r>
              <w:rPr>
                <w:color w:val="000000"/>
              </w:rPr>
              <w:t xml:space="preserve">Provides that the EQC may require permits for air contamination sources, type of </w:t>
            </w:r>
            <w:r>
              <w:rPr>
                <w:color w:val="000000"/>
              </w:rPr>
              <w:lastRenderedPageBreak/>
              <w:t>air contaminant, or specific areas of the State.</w:t>
            </w:r>
          </w:p>
          <w:p w:rsidR="000A7647" w:rsidRPr="000A7647" w:rsidRDefault="000A7647" w:rsidP="000A7647">
            <w:pPr>
              <w:spacing w:after="120"/>
              <w:rPr>
                <w:b/>
                <w:color w:val="000000"/>
              </w:rPr>
            </w:pPr>
            <w:r w:rsidRPr="000A7647">
              <w:rPr>
                <w:b/>
                <w:color w:val="000000"/>
              </w:rPr>
              <w:t>ORS 468A.045 Activities Prohibited Without Permit; Limit on Activities with Permit</w:t>
            </w:r>
          </w:p>
          <w:p w:rsidR="000A7647" w:rsidRPr="000A7647" w:rsidRDefault="000A7647" w:rsidP="000A7647">
            <w:pPr>
              <w:spacing w:after="120"/>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commentRangeStart w:id="0"/>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commentRangeEnd w:id="0"/>
            <w:r w:rsidR="006F3252">
              <w:rPr>
                <w:rStyle w:val="CommentReference"/>
              </w:rPr>
              <w:commentReference w:id="0"/>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commentRangeStart w:id="1"/>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commentRangeEnd w:id="1"/>
            <w:r w:rsidR="00AD2512">
              <w:rPr>
                <w:rStyle w:val="CommentReference"/>
              </w:rPr>
              <w:commentReference w:id="1"/>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commentRangeStart w:id="2"/>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commentRangeEnd w:id="2"/>
            <w:r w:rsidR="00AD2512">
              <w:rPr>
                <w:rStyle w:val="CommentReference"/>
              </w:rPr>
              <w:commentReference w:id="2"/>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commentRangeStart w:id="3"/>
            <w:r w:rsidRPr="00AD2512">
              <w:rPr>
                <w:rStyle w:val="f11s"/>
                <w:b/>
              </w:rPr>
              <w:t>ORS 468A.550 -.620 Field Burning and Propane Flaming</w:t>
            </w:r>
            <w:r w:rsidR="006F3252" w:rsidRPr="00AD2512">
              <w:rPr>
                <w:rStyle w:val="f11s"/>
                <w:b/>
              </w:rPr>
              <w:t xml:space="preserve">: </w:t>
            </w:r>
            <w:r w:rsidR="006F3252" w:rsidRPr="006F3252">
              <w:rPr>
                <w:rStyle w:val="f11s"/>
              </w:rPr>
              <w:t xml:space="preserve">Provides authority to regulate field burning and propane flaming including permits, inspections and </w:t>
            </w:r>
            <w:r w:rsidR="006F3252" w:rsidRPr="006F3252">
              <w:rPr>
                <w:rStyle w:val="f11s"/>
              </w:rPr>
              <w:lastRenderedPageBreak/>
              <w:t>penalties.</w:t>
            </w:r>
            <w:commentRangeEnd w:id="3"/>
            <w:r w:rsidR="00AD2512">
              <w:rPr>
                <w:rStyle w:val="CommentReference"/>
              </w:rPr>
              <w:commentReference w:id="3"/>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Pr="00474742" w:rsidRDefault="001150C0"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commentRangeStart w:id="4"/>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r w:rsidR="00AB1CF5" w:rsidRPr="000736AF">
              <w:rPr>
                <w:rStyle w:val="f11s"/>
              </w:rPr>
              <w:t>NOx and SO2 as precursors to PM2.5</w:t>
            </w:r>
            <w:r w:rsidR="00B309DB">
              <w:rPr>
                <w:rStyle w:val="f11s"/>
              </w:rPr>
              <w:t xml:space="preserve"> at (71)</w:t>
            </w:r>
            <w:r w:rsidR="00AB1CF5" w:rsidRPr="000736AF">
              <w:rPr>
                <w:rStyle w:val="f11s"/>
              </w:rPr>
              <w:t xml:space="preserve">, </w:t>
            </w:r>
            <w:r w:rsidR="00B309DB">
              <w:rPr>
                <w:rStyle w:val="f11s"/>
              </w:rPr>
              <w:t xml:space="preserve">and </w:t>
            </w:r>
            <w:r w:rsidR="00AB1CF5" w:rsidRPr="000736AF">
              <w:rPr>
                <w:rStyle w:val="f11s"/>
              </w:rPr>
              <w:t>NOx and VOCs as precursors to ozone</w:t>
            </w:r>
            <w:r w:rsidR="00361283">
              <w:rPr>
                <w:rStyle w:val="f11s"/>
              </w:rPr>
              <w:t xml:space="preserve"> at (71)</w:t>
            </w:r>
            <w:r w:rsidR="00AB1CF5" w:rsidRPr="000736AF">
              <w:rPr>
                <w:rStyle w:val="f11s"/>
              </w:rPr>
              <w:t>. Defines significant emissions rates, de minimis emission levels, and plant site emission rates for specific air pollutants and precursors</w:t>
            </w:r>
            <w:commentRangeEnd w:id="4"/>
            <w:r w:rsidR="00361283">
              <w:rPr>
                <w:rStyle w:val="f11s"/>
              </w:rPr>
              <w:t>.</w:t>
            </w:r>
            <w:r w:rsidR="000736AF">
              <w:rPr>
                <w:rStyle w:val="CommentReference"/>
              </w:rPr>
              <w:commentReference w:id="4"/>
            </w:r>
          </w:p>
          <w:p w:rsidR="000A7647" w:rsidRDefault="000A7647" w:rsidP="001150C0">
            <w:pPr>
              <w:rPr>
                <w:b/>
                <w:color w:val="000000"/>
              </w:rPr>
            </w:pPr>
          </w:p>
          <w:p w:rsidR="00EF6025" w:rsidRPr="00474742"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0C7FC0" w:rsidRPr="00474742" w:rsidRDefault="000C7FC0" w:rsidP="001150C0">
            <w:pPr>
              <w:rPr>
                <w:color w:val="000000"/>
              </w:rPr>
            </w:pPr>
          </w:p>
          <w:p w:rsidR="000C7FC0" w:rsidRPr="00474742"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p>
          <w:p w:rsidR="00FD1FBE" w:rsidRPr="00474742" w:rsidRDefault="00FD1FBE" w:rsidP="001150C0">
            <w:pPr>
              <w:rPr>
                <w:color w:val="000000"/>
              </w:rPr>
            </w:pPr>
          </w:p>
          <w:p w:rsidR="00CF6336" w:rsidRDefault="0014239F"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w:t>
            </w:r>
            <w:r w:rsidR="00CF6336">
              <w:lastRenderedPageBreak/>
              <w:t xml:space="preserve">rate.  </w:t>
            </w:r>
          </w:p>
          <w:p w:rsidR="0014239F" w:rsidRDefault="0014239F"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D3549D" w:rsidRDefault="00D3549D" w:rsidP="001150C0">
            <w:pPr>
              <w:rPr>
                <w:color w:val="000000"/>
              </w:rPr>
            </w:pPr>
          </w:p>
          <w:p w:rsidR="00AB1CF5"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6770A5" w:rsidRPr="00474742" w:rsidRDefault="006770A5"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D31B39" w:rsidRPr="00474742" w:rsidRDefault="00D021D7" w:rsidP="00D021D7">
            <w:pPr>
              <w:ind w:left="360"/>
              <w:rPr>
                <w:b/>
                <w:color w:val="000000"/>
              </w:rPr>
            </w:pPr>
            <w:commentRangeStart w:id="5"/>
            <w:r w:rsidRPr="00EA6E00">
              <w:rPr>
                <w:b/>
                <w:color w:val="000000"/>
              </w:rPr>
              <w:t>-</w:t>
            </w:r>
            <w:r w:rsidR="00656CF6" w:rsidRPr="00EA6E00">
              <w:rPr>
                <w:b/>
                <w:color w:val="000000"/>
              </w:rPr>
              <w:t xml:space="preserve"> </w:t>
            </w:r>
            <w:r w:rsidR="00D31B39" w:rsidRPr="00EA6E00">
              <w:rPr>
                <w:b/>
                <w:color w:val="000000"/>
              </w:rPr>
              <w:t>0210 Particulate Emission Limitations for Sources Other Than Fuel Burning and Refuse Burning Equipment</w:t>
            </w:r>
            <w:r w:rsidR="00D31B39" w:rsidRPr="00474742">
              <w:rPr>
                <w:b/>
                <w:color w:val="000000"/>
              </w:rPr>
              <w:t xml:space="preserve"> </w:t>
            </w:r>
            <w:commentRangeEnd w:id="5"/>
            <w:r w:rsidR="00EA6E00">
              <w:rPr>
                <w:rStyle w:val="CommentReference"/>
              </w:rPr>
              <w:commentReference w:id="5"/>
            </w:r>
          </w:p>
          <w:p w:rsidR="00782274" w:rsidRPr="00474742" w:rsidRDefault="00782274" w:rsidP="00782274">
            <w:pPr>
              <w:rPr>
                <w:b/>
                <w:color w:val="000000"/>
              </w:rPr>
            </w:pPr>
          </w:p>
          <w:p w:rsidR="00782274" w:rsidRPr="00474742" w:rsidRDefault="00782274" w:rsidP="00782274">
            <w:pPr>
              <w:rPr>
                <w:b/>
                <w:color w:val="000000"/>
              </w:rPr>
            </w:pPr>
            <w:commentRangeStart w:id="6"/>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commentRangeEnd w:id="6"/>
            <w:r w:rsidR="00EA6E00">
              <w:rPr>
                <w:rStyle w:val="CommentReference"/>
              </w:rPr>
              <w:commentReference w:id="6"/>
            </w:r>
          </w:p>
          <w:p w:rsidR="004A48B6" w:rsidRPr="00474742" w:rsidRDefault="003F5350" w:rsidP="00782274">
            <w:pPr>
              <w:pStyle w:val="NormalWeb"/>
              <w:rPr>
                <w:color w:val="000000"/>
              </w:rPr>
            </w:pPr>
            <w:commentRangeStart w:id="7"/>
            <w:smartTag w:uri="urn:schemas-microsoft-com:office:smarttags" w:element="stockticker">
              <w:r w:rsidRPr="00EA6E00">
                <w:rPr>
                  <w:b/>
                  <w:color w:val="000000"/>
                </w:rPr>
                <w:t>OAR</w:t>
              </w:r>
            </w:smartTag>
            <w:r w:rsidRPr="00EA6E00">
              <w:rPr>
                <w:b/>
                <w:color w:val="000000"/>
              </w:rPr>
              <w:t xml:space="preserve"> 340-232 Emission Standards for VOC Point Sources</w:t>
            </w:r>
            <w:r w:rsidRPr="00474742">
              <w:rPr>
                <w:color w:val="000000"/>
              </w:rPr>
              <w:t xml:space="preserve">  </w:t>
            </w:r>
            <w:commentRangeEnd w:id="7"/>
            <w:r w:rsidR="00EA6E00">
              <w:rPr>
                <w:rStyle w:val="CommentReference"/>
              </w:rPr>
              <w:commentReference w:id="7"/>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8"/>
            <w:r w:rsidR="004A48B6" w:rsidRPr="006558AC">
              <w:rPr>
                <w:b/>
                <w:color w:val="000000"/>
              </w:rPr>
              <w:t>0210-0220</w:t>
            </w:r>
            <w:r w:rsidR="003F5350" w:rsidRPr="006558AC">
              <w:rPr>
                <w:b/>
                <w:color w:val="000000"/>
              </w:rPr>
              <w:t xml:space="preserve"> </w:t>
            </w:r>
            <w:r w:rsidR="004A48B6" w:rsidRPr="006558AC">
              <w:rPr>
                <w:b/>
                <w:color w:val="000000"/>
              </w:rPr>
              <w:t>Kraft Pulp Mills</w:t>
            </w:r>
            <w:commentRangeEnd w:id="8"/>
            <w:r w:rsidR="004824EE">
              <w:rPr>
                <w:rStyle w:val="CommentReference"/>
              </w:rPr>
              <w:commentReference w:id="8"/>
            </w:r>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9"/>
            <w:r w:rsidR="004A48B6" w:rsidRPr="006558AC">
              <w:rPr>
                <w:b/>
                <w:color w:val="000000"/>
              </w:rPr>
              <w:t>0310-0320 Neutral Sulfite Semi-Chemical  Pulp Mills</w:t>
            </w:r>
            <w:commentRangeEnd w:id="9"/>
            <w:r w:rsidR="004824EE">
              <w:rPr>
                <w:rStyle w:val="CommentReference"/>
              </w:rPr>
              <w:commentReference w:id="9"/>
            </w:r>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10"/>
            <w:r w:rsidR="004A48B6" w:rsidRPr="006558AC">
              <w:rPr>
                <w:b/>
                <w:color w:val="000000"/>
              </w:rPr>
              <w:t>0410 Sulfite Pulp Mills</w:t>
            </w:r>
            <w:commentRangeEnd w:id="10"/>
            <w:r w:rsidR="004824EE">
              <w:rPr>
                <w:rStyle w:val="CommentReference"/>
              </w:rPr>
              <w:commentReference w:id="10"/>
            </w:r>
          </w:p>
          <w:p w:rsidR="004E7113"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11"/>
            <w:r w:rsidRPr="006558AC">
              <w:rPr>
                <w:b/>
                <w:color w:val="000000"/>
              </w:rPr>
              <w:t>0500-0530 Board Products Industries</w:t>
            </w:r>
            <w:commentRangeEnd w:id="11"/>
            <w:r w:rsidR="004824EE">
              <w:rPr>
                <w:rStyle w:val="CommentReference"/>
              </w:rPr>
              <w:commentReference w:id="11"/>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commentRangeStart w:id="12"/>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1752B1" w:rsidRPr="006558AC" w:rsidRDefault="001752B1" w:rsidP="0067555F">
            <w:pPr>
              <w:pStyle w:val="NormalWeb"/>
              <w:spacing w:before="0" w:beforeAutospacing="0" w:after="0" w:afterAutospacing="0"/>
              <w:ind w:left="360"/>
              <w:rPr>
                <w:b/>
                <w:color w:val="000000"/>
              </w:rPr>
            </w:pPr>
            <w:r w:rsidRPr="006558AC">
              <w:rPr>
                <w:b/>
                <w:color w:val="000000"/>
              </w:rPr>
              <w:t>- 0120-0130 Aluminum Plants</w:t>
            </w:r>
          </w:p>
          <w:p w:rsidR="001752B1" w:rsidRPr="006558AC" w:rsidRDefault="001752B1" w:rsidP="0067555F">
            <w:pPr>
              <w:pStyle w:val="NormalWeb"/>
              <w:spacing w:before="0" w:beforeAutospacing="0" w:after="0" w:afterAutospacing="0"/>
              <w:ind w:left="360"/>
              <w:rPr>
                <w:b/>
                <w:color w:val="000000"/>
              </w:rPr>
            </w:pPr>
            <w:r w:rsidRPr="006558AC">
              <w:rPr>
                <w:b/>
                <w:color w:val="000000"/>
              </w:rPr>
              <w:t xml:space="preserve">- 0220 </w:t>
            </w:r>
            <w:smartTag w:uri="urn:schemas-microsoft-com:office:smarttags" w:element="place">
              <w:smartTag w:uri="urn:schemas-microsoft-com:office:smarttags" w:element="City">
                <w:r w:rsidRPr="006558AC">
                  <w:rPr>
                    <w:b/>
                    <w:color w:val="000000"/>
                  </w:rPr>
                  <w:t>Laterite</w:t>
                </w:r>
              </w:smartTag>
              <w:r w:rsidRPr="006558AC">
                <w:rPr>
                  <w:b/>
                  <w:color w:val="000000"/>
                </w:rPr>
                <w:t xml:space="preserve"> </w:t>
              </w:r>
              <w:smartTag w:uri="urn:schemas-microsoft-com:office:smarttags" w:element="State">
                <w:r w:rsidRPr="006558AC">
                  <w:rPr>
                    <w:b/>
                    <w:color w:val="000000"/>
                  </w:rPr>
                  <w:t>Ore</w:t>
                </w:r>
              </w:smartTag>
            </w:smartTag>
            <w:r w:rsidRPr="006558AC">
              <w:rPr>
                <w:b/>
                <w:color w:val="000000"/>
              </w:rPr>
              <w:t xml:space="preserve"> Production of Ferronickel</w:t>
            </w:r>
          </w:p>
          <w:p w:rsidR="001752B1" w:rsidRPr="006558AC" w:rsidRDefault="001752B1" w:rsidP="0067555F">
            <w:pPr>
              <w:pStyle w:val="NormalWeb"/>
              <w:spacing w:before="0" w:beforeAutospacing="0" w:after="0" w:afterAutospacing="0"/>
              <w:ind w:left="360"/>
              <w:rPr>
                <w:b/>
                <w:color w:val="000000"/>
              </w:rPr>
            </w:pPr>
            <w:r w:rsidRPr="006558AC">
              <w:rPr>
                <w:b/>
                <w:color w:val="000000"/>
              </w:rPr>
              <w:t>- 0310 Reduction of Animal Matter</w:t>
            </w:r>
          </w:p>
          <w:p w:rsidR="001752B1" w:rsidRPr="006558AC" w:rsidRDefault="001752B1" w:rsidP="0067555F">
            <w:pPr>
              <w:pStyle w:val="NormalWeb"/>
              <w:spacing w:before="0" w:beforeAutospacing="0" w:after="0" w:afterAutospacing="0"/>
              <w:ind w:left="360"/>
              <w:rPr>
                <w:b/>
                <w:color w:val="000000"/>
              </w:rPr>
            </w:pPr>
            <w:r w:rsidRPr="006558AC">
              <w:rPr>
                <w:b/>
                <w:color w:val="000000"/>
              </w:rPr>
              <w:t>- 0410-0440 Hot Mix Asphalt Plants</w:t>
            </w:r>
          </w:p>
          <w:commentRangeEnd w:id="12"/>
          <w:p w:rsidR="001752B1" w:rsidRPr="00474742" w:rsidRDefault="004824EE" w:rsidP="00192CEF">
            <w:pPr>
              <w:pStyle w:val="NormalWeb"/>
              <w:spacing w:before="0" w:beforeAutospacing="0" w:after="0" w:afterAutospacing="0"/>
              <w:rPr>
                <w:b/>
                <w:color w:val="000000"/>
              </w:rPr>
            </w:pPr>
            <w:r>
              <w:rPr>
                <w:rStyle w:val="CommentReference"/>
              </w:rPr>
              <w:commentReference w:id="12"/>
            </w:r>
          </w:p>
          <w:p w:rsidR="0039532D" w:rsidRPr="00474742" w:rsidRDefault="0039532D" w:rsidP="001752B1">
            <w:pPr>
              <w:pStyle w:val="NormalWeb"/>
              <w:spacing w:before="0" w:beforeAutospacing="0" w:after="0" w:afterAutospacing="0"/>
              <w:rPr>
                <w:b/>
                <w:color w:val="000000"/>
              </w:rPr>
            </w:pPr>
          </w:p>
          <w:p w:rsidR="00E876A0" w:rsidRPr="00474742" w:rsidRDefault="00E876A0" w:rsidP="001752B1">
            <w:pPr>
              <w:pStyle w:val="NormalWeb"/>
              <w:spacing w:before="0" w:beforeAutospacing="0" w:after="0" w:afterAutospacing="0"/>
              <w:rPr>
                <w:color w:val="000000"/>
              </w:rPr>
            </w:pPr>
            <w:commentRangeStart w:id="13"/>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 xml:space="preserve">This division </w:t>
            </w:r>
            <w:r w:rsidR="00852148" w:rsidRPr="006558AC">
              <w:rPr>
                <w:color w:val="000000"/>
              </w:rPr>
              <w:t xml:space="preserve">limits visible and </w:t>
            </w:r>
            <w:r w:rsidRPr="006558AC">
              <w:rPr>
                <w:color w:val="000000"/>
              </w:rPr>
              <w:t>particulate 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requirements for operation &amp; maintenance plans for the Medford-Ashland, Grants Pass, La Grande &amp; Lakeview areas</w:t>
            </w:r>
            <w:r w:rsidR="00852148" w:rsidRPr="006558AC">
              <w:rPr>
                <w:color w:val="000000"/>
              </w:rPr>
              <w:t>.</w:t>
            </w:r>
            <w:commentRangeEnd w:id="13"/>
            <w:r w:rsidR="006558AC">
              <w:rPr>
                <w:rStyle w:val="CommentReference"/>
              </w:rPr>
              <w:commentReference w:id="13"/>
            </w:r>
          </w:p>
          <w:p w:rsidR="008F74C7" w:rsidRPr="00474742" w:rsidRDefault="008F74C7" w:rsidP="001752B1">
            <w:pPr>
              <w:pStyle w:val="NormalWeb"/>
              <w:spacing w:before="0" w:beforeAutospacing="0" w:after="0" w:afterAutospacing="0"/>
              <w:rPr>
                <w:color w:val="000000"/>
              </w:rPr>
            </w:pPr>
          </w:p>
          <w:p w:rsidR="005D090F" w:rsidRPr="006558AC" w:rsidRDefault="00282A0A" w:rsidP="005D090F">
            <w:pPr>
              <w:pStyle w:val="NormalWeb"/>
              <w:spacing w:before="0" w:beforeAutospacing="0" w:after="0" w:afterAutospacing="0"/>
              <w:rPr>
                <w:b/>
                <w:color w:val="000000"/>
              </w:rPr>
            </w:pPr>
            <w:commentRangeStart w:id="14"/>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w:t>
            </w:r>
            <w:smartTag w:uri="urn:schemas-microsoft-com:office:smarttags" w:element="City">
              <w:smartTag w:uri="urn:schemas-microsoft-com:office:smarttags" w:element="place">
                <w:r w:rsidRPr="006558AC">
                  <w:rPr>
                    <w:b/>
                    <w:color w:val="000000"/>
                  </w:rPr>
                  <w:t>Portland</w:t>
                </w:r>
              </w:smartTag>
            </w:smartTag>
            <w:r w:rsidRPr="006558AC">
              <w:rPr>
                <w:b/>
                <w:color w:val="000000"/>
              </w:rPr>
              <w:t xml:space="preserve"> Area </w:t>
            </w:r>
          </w:p>
          <w:p w:rsidR="00AD4161" w:rsidRPr="006558AC" w:rsidRDefault="00AD4161" w:rsidP="00AD4161">
            <w:pPr>
              <w:pStyle w:val="NormalWeb"/>
              <w:spacing w:before="0" w:beforeAutospacing="0" w:after="0" w:afterAutospacing="0"/>
              <w:ind w:left="360"/>
              <w:rPr>
                <w:color w:val="000000"/>
              </w:rPr>
            </w:pPr>
            <w:r w:rsidRPr="006558AC">
              <w:rPr>
                <w:b/>
                <w:color w:val="000000"/>
              </w:rPr>
              <w:t xml:space="preserve">- </w:t>
            </w:r>
            <w:r w:rsidR="006B301B" w:rsidRPr="006558AC">
              <w:rPr>
                <w:b/>
                <w:color w:val="000000"/>
              </w:rPr>
              <w:t>0010-</w:t>
            </w:r>
            <w:r w:rsidR="005D090F" w:rsidRPr="006558AC">
              <w:rPr>
                <w:b/>
                <w:color w:val="000000"/>
              </w:rPr>
              <w:t>0</w:t>
            </w:r>
            <w:r w:rsidR="006B301B" w:rsidRPr="006558AC">
              <w:rPr>
                <w:b/>
                <w:color w:val="000000"/>
              </w:rPr>
              <w:t xml:space="preserve">290 </w:t>
            </w:r>
            <w:r w:rsidR="00282A0A" w:rsidRPr="006558AC">
              <w:rPr>
                <w:b/>
                <w:color w:val="000000"/>
              </w:rPr>
              <w:t>Employee Commute Options (</w:t>
            </w:r>
            <w:smartTag w:uri="urn:schemas-microsoft-com:office:smarttags" w:element="stockticker">
              <w:r w:rsidR="00282A0A" w:rsidRPr="006558AC">
                <w:rPr>
                  <w:b/>
                  <w:color w:val="000000"/>
                </w:rPr>
                <w:t>ECO</w:t>
              </w:r>
            </w:smartTag>
            <w:r w:rsidR="00282A0A" w:rsidRPr="006558AC">
              <w:rPr>
                <w:b/>
                <w:color w:val="000000"/>
              </w:rPr>
              <w:t>) Program</w:t>
            </w:r>
            <w:r w:rsidR="006B301B" w:rsidRPr="006558AC">
              <w:rPr>
                <w:color w:val="000000"/>
              </w:rPr>
              <w:t>:</w:t>
            </w:r>
            <w:r w:rsidR="00282A0A" w:rsidRPr="006558AC">
              <w:rPr>
                <w:color w:val="000000"/>
              </w:rPr>
              <w:t xml:space="preserve"> requires larger employers to provide commute options to encourage employees to reduce auto trips to the work site</w:t>
            </w:r>
            <w:r w:rsidR="00D253A7" w:rsidRPr="006558AC">
              <w:rPr>
                <w:color w:val="000000"/>
              </w:rPr>
              <w:t>.</w:t>
            </w:r>
            <w:r w:rsidR="00282A0A" w:rsidRPr="006558AC">
              <w:rPr>
                <w:color w:val="000000"/>
              </w:rPr>
              <w:t xml:space="preserve"> </w:t>
            </w:r>
          </w:p>
          <w:p w:rsidR="001811B9" w:rsidRPr="006558AC" w:rsidRDefault="00AD4161" w:rsidP="00AD4161">
            <w:pPr>
              <w:ind w:left="360"/>
              <w:rPr>
                <w:color w:val="000000"/>
              </w:rPr>
            </w:pPr>
            <w:r w:rsidRPr="006558AC">
              <w:rPr>
                <w:b/>
                <w:color w:val="000000"/>
              </w:rPr>
              <w:t>- 0300-0390</w:t>
            </w:r>
            <w:r w:rsidR="00282A0A" w:rsidRPr="006558AC">
              <w:rPr>
                <w:b/>
                <w:color w:val="000000"/>
              </w:rPr>
              <w:t xml:space="preserve"> </w:t>
            </w:r>
            <w:r w:rsidRPr="006558AC">
              <w:rPr>
                <w:b/>
                <w:color w:val="000000"/>
              </w:rPr>
              <w:t xml:space="preserve">Voluntary Maximum Parking Ratio Program </w:t>
            </w:r>
            <w:r w:rsidRPr="006558AC">
              <w:rPr>
                <w:color w:val="000000"/>
              </w:rPr>
              <w:t>Encourages property owners to voluntarily locate and design facilities that need less parking by building in a more pedestrian, bicyc</w:t>
            </w:r>
            <w:r w:rsidR="00D253A7" w:rsidRPr="006558AC">
              <w:rPr>
                <w:color w:val="000000"/>
              </w:rPr>
              <w:t xml:space="preserve">le and transit friendly manner. </w:t>
            </w:r>
            <w:r w:rsidR="00C17C7C" w:rsidRPr="006558AC">
              <w:rPr>
                <w:color w:val="000000"/>
              </w:rPr>
              <w:t>Includes incentives (#0340)</w:t>
            </w:r>
          </w:p>
          <w:p w:rsidR="00AD4161" w:rsidRPr="006558AC" w:rsidRDefault="001811B9" w:rsidP="00AD4161">
            <w:pPr>
              <w:ind w:left="360"/>
              <w:rPr>
                <w:color w:val="000000"/>
              </w:rPr>
            </w:pPr>
            <w:r w:rsidRPr="006558AC">
              <w:rPr>
                <w:b/>
                <w:color w:val="000000"/>
              </w:rPr>
              <w:t>- 0400-</w:t>
            </w:r>
            <w:r w:rsidR="00736D54" w:rsidRPr="006558AC">
              <w:rPr>
                <w:b/>
                <w:color w:val="000000"/>
              </w:rPr>
              <w:t>0</w:t>
            </w:r>
            <w:r w:rsidRPr="006558AC">
              <w:rPr>
                <w:b/>
                <w:color w:val="000000"/>
              </w:rPr>
              <w:t xml:space="preserve">440 Industrial Emission Management Program </w:t>
            </w:r>
            <w:r w:rsidR="00A10961" w:rsidRPr="006558AC">
              <w:rPr>
                <w:color w:val="000000"/>
              </w:rPr>
              <w:t>Applies to VOC and NOx sources and to new major sources &amp; major modifications that emit CO in Portland Metro area</w:t>
            </w:r>
            <w:r w:rsidR="00736D54" w:rsidRPr="006558AC">
              <w:rPr>
                <w:color w:val="000000"/>
              </w:rPr>
              <w:t>.  Includes Unused PSEL Donation Program and Industrial Growth Allowance (incentives)</w:t>
            </w:r>
          </w:p>
          <w:p w:rsidR="006E048E" w:rsidRPr="006558AC" w:rsidRDefault="006E048E" w:rsidP="00AD4161">
            <w:pPr>
              <w:ind w:left="360"/>
              <w:rPr>
                <w:color w:val="000000"/>
              </w:rPr>
            </w:pPr>
            <w:r w:rsidRPr="006558AC">
              <w:rPr>
                <w:b/>
                <w:color w:val="000000"/>
              </w:rPr>
              <w:t>- 0500-0520 Gasoline Vapors from Gasoline Transfer and Dispensing Operations</w:t>
            </w:r>
            <w:r w:rsidRPr="006558AC">
              <w:rPr>
                <w:color w:val="000000"/>
              </w:rPr>
              <w:t xml:space="preserve"> </w:t>
            </w:r>
          </w:p>
          <w:p w:rsidR="00337C52" w:rsidRPr="006558AC" w:rsidRDefault="00337C52" w:rsidP="00AD4161">
            <w:pPr>
              <w:ind w:left="360"/>
              <w:rPr>
                <w:b/>
                <w:color w:val="000000"/>
              </w:rPr>
            </w:pPr>
            <w:r w:rsidRPr="006558AC">
              <w:rPr>
                <w:b/>
                <w:color w:val="000000"/>
              </w:rPr>
              <w:t>- 0600-0630 Motor Vehicle Refinishing</w:t>
            </w:r>
          </w:p>
          <w:p w:rsidR="00337C52" w:rsidRPr="006558AC" w:rsidRDefault="00337C52" w:rsidP="00AD4161">
            <w:pPr>
              <w:ind w:left="360"/>
              <w:rPr>
                <w:b/>
                <w:color w:val="000000"/>
              </w:rPr>
            </w:pPr>
            <w:r w:rsidRPr="006558AC">
              <w:rPr>
                <w:b/>
                <w:color w:val="000000"/>
              </w:rPr>
              <w:lastRenderedPageBreak/>
              <w:t>- 0700-0750 Spray Paint</w:t>
            </w:r>
          </w:p>
          <w:commentRangeEnd w:id="14"/>
          <w:p w:rsidR="00FD7DCE" w:rsidRPr="00EA4040" w:rsidRDefault="006558AC" w:rsidP="00AD4161">
            <w:pPr>
              <w:ind w:left="360"/>
              <w:rPr>
                <w:b/>
                <w:color w:val="000000"/>
                <w:highlight w:val="yellow"/>
              </w:rPr>
            </w:pPr>
            <w:r>
              <w:rPr>
                <w:rStyle w:val="CommentReference"/>
              </w:rPr>
              <w:commentReference w:id="14"/>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commentRangeStart w:id="15"/>
            <w:r w:rsidRPr="003C5804">
              <w:rPr>
                <w:rStyle w:val="f11s"/>
                <w:b/>
              </w:rPr>
              <w:t>OAR 340-250 General Conformity</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RPr="003C5589"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340-252 Transportation Conformity</w:t>
            </w:r>
          </w:p>
          <w:commentRangeEnd w:id="15"/>
          <w:p w:rsidR="003C5589" w:rsidRDefault="003C5804" w:rsidP="00FD7DCE">
            <w:pPr>
              <w:rPr>
                <w:b/>
                <w:color w:val="000000"/>
                <w:highlight w:val="yellow"/>
              </w:rPr>
            </w:pPr>
            <w:r>
              <w:rPr>
                <w:rStyle w:val="CommentReference"/>
              </w:rPr>
              <w:commentReference w:id="15"/>
            </w:r>
          </w:p>
          <w:p w:rsidR="00FD7DCE" w:rsidRPr="003C5804" w:rsidRDefault="00FD7DCE" w:rsidP="00FD7DCE">
            <w:pPr>
              <w:rPr>
                <w:color w:val="000000"/>
              </w:rPr>
            </w:pPr>
            <w:commentRangeStart w:id="16"/>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Air pollution control for mobile sources</w:t>
            </w:r>
          </w:p>
          <w:p w:rsidR="00FD7DCE" w:rsidRPr="003C5804" w:rsidRDefault="00FD7DCE" w:rsidP="00FD7DCE">
            <w:pPr>
              <w:rPr>
                <w:color w:val="000000"/>
              </w:rPr>
            </w:pPr>
            <w:r w:rsidRPr="003C5804">
              <w:rPr>
                <w:color w:val="000000"/>
              </w:rPr>
              <w:t>including motor vehicle inspection &amp; maintenance program and fee schedule (fees: 340-256-0320)</w:t>
            </w:r>
          </w:p>
          <w:commentRangeEnd w:id="16"/>
          <w:p w:rsidR="00FD7DCE" w:rsidRPr="00EA4040" w:rsidRDefault="003C5804" w:rsidP="00AD4161">
            <w:pPr>
              <w:ind w:left="360"/>
              <w:rPr>
                <w:color w:val="000000"/>
                <w:highlight w:val="yellow"/>
              </w:rPr>
            </w:pPr>
            <w:r>
              <w:rPr>
                <w:rStyle w:val="CommentReference"/>
              </w:rPr>
              <w:commentReference w:id="16"/>
            </w:r>
          </w:p>
          <w:p w:rsidR="006E15F1" w:rsidRPr="00474742" w:rsidRDefault="006E15F1" w:rsidP="001150C0">
            <w:pPr>
              <w:rPr>
                <w:color w:val="000000"/>
              </w:rPr>
            </w:pPr>
            <w:commentRangeStart w:id="17"/>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motor vehicle fuel content standards, operating permits, recordkeeping &amp; reporting persons or facilities who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commentRangeEnd w:id="17"/>
            <w:r w:rsidR="003C5804">
              <w:rPr>
                <w:rStyle w:val="CommentReference"/>
              </w:rPr>
              <w:commentReference w:id="17"/>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18"/>
            <w:r w:rsidRPr="003C5804">
              <w:rPr>
                <w:b/>
                <w:color w:val="000000"/>
              </w:rPr>
              <w:t>OAR 340-262 Residential Woodheating</w:t>
            </w:r>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commentRangeEnd w:id="18"/>
            <w:r w:rsidR="003C5804">
              <w:rPr>
                <w:rStyle w:val="CommentReference"/>
              </w:rPr>
              <w:commentReference w:id="18"/>
            </w:r>
          </w:p>
          <w:p w:rsidR="00F27C97" w:rsidRPr="00474742" w:rsidRDefault="00F27C97" w:rsidP="001150C0">
            <w:pPr>
              <w:rPr>
                <w:color w:val="000000"/>
              </w:rPr>
            </w:pPr>
          </w:p>
          <w:p w:rsidR="00F27C97" w:rsidRPr="00474742" w:rsidRDefault="00F27C97" w:rsidP="001150C0">
            <w:pPr>
              <w:rPr>
                <w:b/>
                <w:color w:val="000000"/>
              </w:rPr>
            </w:pPr>
            <w:commentRangeStart w:id="19"/>
            <w:smartTag w:uri="urn:schemas-microsoft-com:office:smarttags" w:element="stockticker">
              <w:r w:rsidRPr="003C5804">
                <w:rPr>
                  <w:b/>
                  <w:color w:val="000000"/>
                </w:rPr>
                <w:t>OAR</w:t>
              </w:r>
            </w:smartTag>
            <w:r w:rsidRPr="003C5804">
              <w:rPr>
                <w:b/>
                <w:color w:val="000000"/>
              </w:rPr>
              <w:t xml:space="preserve"> 340-266 Field Burning Rules</w:t>
            </w:r>
            <w:r w:rsidR="00775355" w:rsidRPr="003C5804">
              <w:rPr>
                <w:b/>
                <w:color w:val="000000"/>
              </w:rPr>
              <w:t xml:space="preserve"> (</w:t>
            </w:r>
            <w:smartTag w:uri="urn:schemas-microsoft-com:office:smarttags" w:element="place">
              <w:smartTag w:uri="urn:schemas-microsoft-com:office:smarttags" w:element="PlaceName">
                <w:r w:rsidR="00775355" w:rsidRPr="003C5804">
                  <w:rPr>
                    <w:b/>
                    <w:color w:val="000000"/>
                  </w:rPr>
                  <w:t>Willamette</w:t>
                </w:r>
              </w:smartTag>
              <w:r w:rsidR="00775355" w:rsidRPr="003C5804">
                <w:rPr>
                  <w:b/>
                  <w:color w:val="000000"/>
                </w:rPr>
                <w:t xml:space="preserve"> </w:t>
              </w:r>
              <w:smartTag w:uri="urn:schemas-microsoft-com:office:smarttags" w:element="PlaceType">
                <w:r w:rsidR="00775355" w:rsidRPr="003C5804">
                  <w:rPr>
                    <w:b/>
                    <w:color w:val="000000"/>
                  </w:rPr>
                  <w:t>Valley</w:t>
                </w:r>
              </w:smartTag>
            </w:smartTag>
            <w:r w:rsidR="00775355" w:rsidRPr="003C5804">
              <w:rPr>
                <w:b/>
                <w:color w:val="000000"/>
              </w:rPr>
              <w:t xml:space="preserve">)  </w:t>
            </w:r>
            <w:r w:rsidR="00775355" w:rsidRPr="003C5804">
              <w:rPr>
                <w:color w:val="000000"/>
              </w:rPr>
              <w:t xml:space="preserve">Applies to the open field burning, propane flaming, and stack and pile burning of all perennial and annual grass seed and cereal grain crops, and associated residue within the </w:t>
            </w:r>
            <w:smartTag w:uri="urn:schemas-microsoft-com:office:smarttags" w:element="PlaceName">
              <w:r w:rsidR="00775355" w:rsidRPr="003C5804">
                <w:rPr>
                  <w:color w:val="000000"/>
                </w:rPr>
                <w:t>Willamette</w:t>
              </w:r>
            </w:smartTag>
            <w:r w:rsidR="00775355" w:rsidRPr="003C5804">
              <w:rPr>
                <w:color w:val="000000"/>
              </w:rPr>
              <w:t xml:space="preserve"> Valley</w:t>
            </w:r>
            <w:commentRangeEnd w:id="19"/>
            <w:r w:rsidR="003C5804">
              <w:rPr>
                <w:rStyle w:val="CommentReference"/>
              </w:rPr>
              <w:commentReference w:id="19"/>
            </w:r>
          </w:p>
          <w:p w:rsidR="00C16117" w:rsidRPr="00474742" w:rsidRDefault="00C16117" w:rsidP="001150C0">
            <w:pPr>
              <w:rPr>
                <w:b/>
                <w:color w:val="000000"/>
              </w:rPr>
            </w:pPr>
          </w:p>
          <w:p w:rsidR="00C16117"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p>
          <w:p w:rsidR="007718FA" w:rsidRDefault="007718FA" w:rsidP="001150C0">
            <w:pPr>
              <w:rPr>
                <w:color w:val="000000"/>
              </w:rPr>
            </w:pPr>
          </w:p>
          <w:p w:rsidR="007718FA" w:rsidRDefault="007718FA" w:rsidP="001150C0">
            <w:pPr>
              <w:rPr>
                <w:color w:val="000000"/>
              </w:rPr>
            </w:pPr>
            <w:commentRangeStart w:id="20"/>
            <w:r>
              <w:rPr>
                <w:color w:val="000000"/>
              </w:rPr>
              <w:t>Add here any additional emission limits, controls related to Pb, NO2, SO2</w:t>
            </w:r>
            <w:commentRangeEnd w:id="20"/>
            <w:r>
              <w:rPr>
                <w:rStyle w:val="CommentReference"/>
              </w:rPr>
              <w:commentReference w:id="20"/>
            </w:r>
          </w:p>
          <w:p w:rsidR="0013608F" w:rsidRPr="00474742" w:rsidRDefault="0013608F"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commentRangeStart w:id="21"/>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r w:rsidR="00905D09" w:rsidRPr="000736AF">
              <w:rPr>
                <w:rStyle w:val="f11s"/>
              </w:rPr>
              <w:t>NOx and SO2 as precursors to PM2.5</w:t>
            </w:r>
            <w:r w:rsidR="00905D09">
              <w:rPr>
                <w:rStyle w:val="f11s"/>
              </w:rPr>
              <w:t xml:space="preserve"> at (71)</w:t>
            </w:r>
            <w:r w:rsidR="00905D09" w:rsidRPr="000736AF">
              <w:rPr>
                <w:rStyle w:val="f11s"/>
              </w:rPr>
              <w:t xml:space="preserve">, </w:t>
            </w:r>
            <w:r w:rsidR="00905D09">
              <w:rPr>
                <w:rStyle w:val="f11s"/>
              </w:rPr>
              <w:t xml:space="preserve">and </w:t>
            </w:r>
            <w:r w:rsidR="00905D09" w:rsidRPr="000736AF">
              <w:rPr>
                <w:rStyle w:val="f11s"/>
              </w:rPr>
              <w:t>NOx and VOCs as precursors to ozone</w:t>
            </w:r>
            <w:r w:rsidR="00905D09">
              <w:rPr>
                <w:rStyle w:val="f11s"/>
              </w:rPr>
              <w:t xml:space="preserve"> at (71)</w:t>
            </w:r>
            <w:r w:rsidR="00905D09" w:rsidRPr="000736AF">
              <w:rPr>
                <w:rStyle w:val="f11s"/>
              </w:rPr>
              <w:t>. Defines significant emissions rates, de minimis emission levels, and plant site emission rates for specific air pollutants and precursors.</w:t>
            </w:r>
            <w:commentRangeEnd w:id="21"/>
            <w:r w:rsidR="00192CEF">
              <w:rPr>
                <w:rStyle w:val="CommentReference"/>
              </w:rPr>
              <w:commentReference w:id="21"/>
            </w:r>
          </w:p>
          <w:p w:rsidR="0014239F" w:rsidRPr="00474742" w:rsidRDefault="0014239F" w:rsidP="001150C0">
            <w:pPr>
              <w:rPr>
                <w:b/>
                <w:color w:val="000000"/>
              </w:rPr>
            </w:pPr>
          </w:p>
          <w:p w:rsidR="001150C0" w:rsidRDefault="00A619C1" w:rsidP="00563CD6">
            <w:pPr>
              <w:autoSpaceDE w:val="0"/>
              <w:autoSpaceDN w:val="0"/>
              <w:adjustRightInd w:val="0"/>
            </w:pPr>
            <w:r>
              <w:rPr>
                <w:color w:val="000000"/>
              </w:rPr>
              <w:t>A comprehensive air quality monitoring plan, intended to meet the requirements of 40 CFR part 58</w:t>
            </w:r>
            <w:r w:rsidR="00563CD6">
              <w:rPr>
                <w:color w:val="000000"/>
              </w:rPr>
              <w:t>,</w:t>
            </w:r>
            <w:r>
              <w:rPr>
                <w:color w:val="000000"/>
              </w:rPr>
              <w:t xml:space="preserve"> was submitted by DEQ on December 27, 1979 (40 CFR 52.1970) and </w:t>
            </w:r>
            <w:r w:rsidR="00563CD6">
              <w:rPr>
                <w:color w:val="000000"/>
              </w:rPr>
              <w:t xml:space="preserve">was </w:t>
            </w:r>
            <w:r>
              <w:rPr>
                <w:color w:val="000000"/>
              </w:rPr>
              <w:t xml:space="preserve">approved by the EPA on March 4, 1981 (46 FR 15136).  This air quality monitoring plan has been subsequently updated, with the most recent submittal dated </w:t>
            </w:r>
            <w:commentRangeStart w:id="22"/>
            <w:r w:rsidRPr="00742119">
              <w:rPr>
                <w:color w:val="000000"/>
                <w:highlight w:val="yellow"/>
              </w:rPr>
              <w:t>July 1, 2012 and approved by</w:t>
            </w:r>
            <w:r>
              <w:rPr>
                <w:color w:val="000000"/>
              </w:rPr>
              <w:t xml:space="preserve"> the EPA on October 25. 2012.</w:t>
            </w:r>
            <w:r w:rsidR="006060BA" w:rsidRPr="00474742">
              <w:rPr>
                <w:color w:val="000000"/>
              </w:rPr>
              <w:t xml:space="preserve"> </w:t>
            </w:r>
            <w:commentRangeEnd w:id="22"/>
            <w:r w:rsidR="00563CD6">
              <w:rPr>
                <w:rStyle w:val="CommentReference"/>
              </w:rPr>
              <w:commentReference w:id="22"/>
            </w:r>
            <w:r>
              <w:rPr>
                <w:color w:val="000000"/>
              </w:rPr>
              <w:t xml:space="preserve">This plan includes, among other things, the locations </w:t>
            </w:r>
            <w:r>
              <w:rPr>
                <w:color w:val="000000"/>
              </w:rPr>
              <w:lastRenderedPageBreak/>
              <w:t xml:space="preserve">for the </w:t>
            </w:r>
            <w:commentRangeStart w:id="23"/>
            <w:r>
              <w:rPr>
                <w:color w:val="000000"/>
              </w:rPr>
              <w:t>{insert pollutant}</w:t>
            </w:r>
            <w:commentRangeEnd w:id="23"/>
            <w:r>
              <w:rPr>
                <w:rStyle w:val="CommentReference"/>
              </w:rPr>
              <w:commentReference w:id="23"/>
            </w:r>
            <w:r>
              <w:rPr>
                <w:color w:val="000000"/>
              </w:rPr>
              <w:t xml:space="preserve"> monitoring network.  </w:t>
            </w:r>
            <w:r>
              <w:t>Oregon</w:t>
            </w:r>
            <w:r w:rsidRPr="00F83365">
              <w:t xml:space="preserve"> </w:t>
            </w:r>
            <w:r>
              <w:t>provides an annual air quality data report to the public on the DEQ</w:t>
            </w:r>
            <w:r w:rsidRPr="00F83365">
              <w:t xml:space="preserve"> website at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24"/>
            <w:r>
              <w:t>ozone, particulate matter, and carbon monoxide</w:t>
            </w:r>
            <w:commentRangeEnd w:id="24"/>
            <w:r>
              <w:rPr>
                <w:rStyle w:val="CommentReference"/>
              </w:rPr>
              <w:commentReference w:id="24"/>
            </w:r>
            <w:r>
              <w:t xml:space="preserve"> to EPA’s AIRNow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25"/>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commentRangeEnd w:id="25"/>
            <w:r w:rsidR="00A93C25">
              <w:rPr>
                <w:rStyle w:val="CommentReference"/>
              </w:rPr>
              <w:commentReference w:id="25"/>
            </w:r>
          </w:p>
        </w:tc>
        <w:tc>
          <w:tcPr>
            <w:tcW w:w="5904"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w:t>
            </w:r>
          </w:p>
          <w:p w:rsidR="00326176" w:rsidRPr="00474742" w:rsidRDefault="00326176" w:rsidP="001150C0">
            <w:pPr>
              <w:rPr>
                <w:b/>
                <w:color w:val="000000"/>
              </w:rPr>
            </w:pPr>
          </w:p>
          <w:p w:rsidR="00563CD6" w:rsidRPr="00A93C25" w:rsidRDefault="001150C0" w:rsidP="004514E2">
            <w:pPr>
              <w:spacing w:after="120"/>
              <w:rPr>
                <w:b/>
                <w:color w:val="000000"/>
              </w:rPr>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-k </w:t>
            </w:r>
            <w:r w:rsidRPr="00474742">
              <w:rPr>
                <w:color w:val="000000"/>
              </w:rPr>
              <w:t>Shall compel compliance with any rule, standard, order, permit or condition</w:t>
            </w: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1150C0" w:rsidRPr="00474742" w:rsidRDefault="001150C0" w:rsidP="004514E2">
            <w:pPr>
              <w:autoSpaceDE w:val="0"/>
              <w:autoSpaceDN w:val="0"/>
              <w:adjustRightInd w:val="0"/>
              <w:spacing w:after="120"/>
              <w:rPr>
                <w:b/>
                <w:color w:val="000000"/>
              </w:rPr>
            </w:pPr>
          </w:p>
          <w:p w:rsidR="000D337D" w:rsidRPr="00474742" w:rsidRDefault="000D337D" w:rsidP="004514E2">
            <w:pPr>
              <w:autoSpaceDE w:val="0"/>
              <w:autoSpaceDN w:val="0"/>
              <w:adjustRightInd w:val="0"/>
              <w:spacing w:after="12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spacing w:after="120"/>
              <w:rPr>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Pr="00CF6336"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1150C0" w:rsidRPr="00474742" w:rsidRDefault="001150C0" w:rsidP="001150C0">
            <w:pPr>
              <w:autoSpaceDE w:val="0"/>
              <w:autoSpaceDN w:val="0"/>
              <w:adjustRightInd w:val="0"/>
              <w:rPr>
                <w:color w:val="000000"/>
              </w:rPr>
            </w:pPr>
          </w:p>
          <w:p w:rsidR="001150C0" w:rsidRPr="00474742" w:rsidRDefault="001150C0" w:rsidP="001150C0">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autoSpaceDE w:val="0"/>
              <w:autoSpaceDN w:val="0"/>
              <w:adjustRightInd w:val="0"/>
              <w:jc w:val="both"/>
              <w:rPr>
                <w:b/>
                <w:color w:val="000000"/>
              </w:rPr>
            </w:pPr>
          </w:p>
          <w:p w:rsidR="00F101BC"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p>
          <w:p w:rsidR="00F61C4E" w:rsidRDefault="00F61C4E" w:rsidP="001150C0">
            <w:pPr>
              <w:autoSpaceDE w:val="0"/>
              <w:autoSpaceDN w:val="0"/>
              <w:adjustRightInd w:val="0"/>
              <w:rPr>
                <w:color w:val="000000"/>
              </w:rPr>
            </w:pP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D03F23" w:rsidRPr="0020270F" w:rsidRDefault="00D03F23" w:rsidP="001150C0">
            <w:pPr>
              <w:autoSpaceDE w:val="0"/>
              <w:autoSpaceDN w:val="0"/>
              <w:adjustRightInd w:val="0"/>
              <w:rPr>
                <w:color w:val="000000"/>
              </w:rPr>
            </w:pPr>
          </w:p>
          <w:p w:rsidR="00F61C4E" w:rsidRPr="0020270F"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0120  Enforcement of Reporting requirements</w:t>
            </w: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w:t>
            </w:r>
            <w:r w:rsidR="00D03F23">
              <w:lastRenderedPageBreak/>
              <w:t xml:space="preserve">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commentRangeStart w:id="26"/>
            <w:r w:rsidRPr="00474742">
              <w:rPr>
                <w:color w:val="000000"/>
              </w:rPr>
              <w:t>Regulates construction &amp; modification of proposed major sources within nonattainment &amp; maintenance areas and federal major sources &amp; modifications within attainment &amp; unclassified areas.</w:t>
            </w:r>
            <w:commentRangeEnd w:id="26"/>
            <w:r w:rsidR="00A93C25">
              <w:rPr>
                <w:rStyle w:val="CommentReference"/>
              </w:rPr>
              <w:commentReference w:id="26"/>
            </w:r>
          </w:p>
          <w:p w:rsidR="00021C70" w:rsidRDefault="00021C70" w:rsidP="00021C70">
            <w:pPr>
              <w:autoSpaceDE w:val="0"/>
              <w:autoSpaceDN w:val="0"/>
              <w:adjustRightInd w:val="0"/>
              <w:ind w:left="360"/>
              <w:rPr>
                <w:color w:val="000000"/>
              </w:rPr>
            </w:pPr>
          </w:p>
          <w:p w:rsidR="00EE46C1" w:rsidRDefault="00EE46C1" w:rsidP="00EE46C1">
            <w:pPr>
              <w:autoSpaceDE w:val="0"/>
              <w:autoSpaceDN w:val="0"/>
              <w:adjustRightInd w:val="0"/>
              <w:jc w:val="both"/>
              <w:rPr>
                <w:color w:val="000000"/>
              </w:rPr>
            </w:pPr>
            <w:r>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27"/>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BC534F" w:rsidRDefault="00BC534F" w:rsidP="001150C0">
            <w:pPr>
              <w:rPr>
                <w:color w:val="000000"/>
              </w:rPr>
            </w:pPr>
          </w:p>
          <w:p w:rsidR="008F58BA" w:rsidRDefault="008F58BA" w:rsidP="0020270F">
            <w:pPr>
              <w:rPr>
                <w:color w:val="000000"/>
              </w:rPr>
            </w:pPr>
          </w:p>
          <w:p w:rsidR="008F58BA" w:rsidRDefault="008F58BA" w:rsidP="0020270F">
            <w:pPr>
              <w:rPr>
                <w:b/>
                <w:color w:val="000000"/>
              </w:rPr>
            </w:pPr>
          </w:p>
          <w:commentRangeEnd w:id="27"/>
          <w:p w:rsidR="0020270F" w:rsidRPr="00474742" w:rsidRDefault="00EE46C1" w:rsidP="0020270F">
            <w:pPr>
              <w:rPr>
                <w:color w:val="000000"/>
              </w:rPr>
            </w:pPr>
            <w:r>
              <w:rPr>
                <w:rStyle w:val="CommentReference"/>
              </w:rPr>
              <w:commentReference w:id="27"/>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28"/>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28"/>
            <w:r w:rsidR="00AB1762">
              <w:rPr>
                <w:rStyle w:val="CommentReference"/>
              </w:rPr>
              <w:commentReference w:id="28"/>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8F58BA" w:rsidRPr="008F58BA" w:rsidRDefault="008F58BA" w:rsidP="008F58BA">
            <w:pPr>
              <w:autoSpaceDE w:val="0"/>
              <w:autoSpaceDN w:val="0"/>
              <w:adjustRightInd w:val="0"/>
              <w:rPr>
                <w:color w:val="000000"/>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 xml:space="preserve">for all </w:t>
            </w:r>
            <w:r>
              <w:rPr>
                <w:color w:val="000000"/>
              </w:rPr>
              <w:lastRenderedPageBreak/>
              <w:t>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8F58BA" w:rsidP="008F58BA">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8F58BA" w:rsidRDefault="008F58BA" w:rsidP="008F58BA">
            <w:pPr>
              <w:rPr>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p>
          <w:p w:rsidR="008F58BA" w:rsidRDefault="008F58BA" w:rsidP="001150C0">
            <w:pPr>
              <w:rPr>
                <w:b/>
                <w:color w:val="000000"/>
                <w:u w:val="single"/>
              </w:rPr>
            </w:pPr>
          </w:p>
        </w:tc>
      </w:tr>
      <w:tr w:rsidR="008F58BA" w:rsidTr="0025545D">
        <w:tc>
          <w:tcPr>
            <w:tcW w:w="2448" w:type="dxa"/>
          </w:tcPr>
          <w:p w:rsidR="008F58BA" w:rsidRPr="00742119" w:rsidRDefault="008F58BA" w:rsidP="008F58BA">
            <w:pPr>
              <w:rPr>
                <w:b/>
                <w:bCs/>
                <w:color w:val="000000"/>
                <w:highlight w:val="yellow"/>
              </w:rPr>
            </w:pPr>
            <w:r w:rsidRPr="00742119">
              <w:rPr>
                <w:b/>
                <w:bCs/>
                <w:color w:val="000000"/>
                <w:highlight w:val="yellow"/>
              </w:rPr>
              <w:lastRenderedPageBreak/>
              <w:t>§110(a)(2)(D)(ii)</w:t>
            </w:r>
          </w:p>
          <w:p w:rsidR="008F58BA" w:rsidRPr="00474742" w:rsidRDefault="008F58BA" w:rsidP="008F58BA">
            <w:pPr>
              <w:rPr>
                <w:b/>
                <w:bCs/>
                <w:color w:val="000000"/>
              </w:rPr>
            </w:pPr>
            <w:r w:rsidRPr="00742119">
              <w:rPr>
                <w:b/>
                <w:bCs/>
                <w:color w:val="000000"/>
                <w:highlight w:val="yellow"/>
              </w:rPr>
              <w:t>Interstate and international pollution</w:t>
            </w:r>
          </w:p>
        </w:tc>
        <w:tc>
          <w:tcPr>
            <w:tcW w:w="4860" w:type="dxa"/>
          </w:tcPr>
          <w:p w:rsidR="008F58BA" w:rsidRPr="00474742" w:rsidRDefault="008F58BA" w:rsidP="008F58BA">
            <w:pPr>
              <w:ind w:left="23"/>
              <w:rPr>
                <w:i/>
                <w:iCs/>
                <w:color w:val="000000"/>
              </w:rPr>
            </w:pPr>
            <w:commentRangeStart w:id="29"/>
            <w:r w:rsidRPr="0020270F">
              <w:rPr>
                <w:i/>
                <w:iCs/>
                <w:color w:val="000000"/>
              </w:rPr>
              <w:t>(ii) insuring compliance with the applicable requirements of sections 126 and 115 (relating to interstate and international pollution abatement);</w:t>
            </w:r>
            <w:commentRangeEnd w:id="29"/>
            <w:r w:rsidR="00AB1762">
              <w:rPr>
                <w:rStyle w:val="CommentReference"/>
              </w:rPr>
              <w:commentReference w:id="29"/>
            </w:r>
          </w:p>
        </w:tc>
        <w:tc>
          <w:tcPr>
            <w:tcW w:w="5904" w:type="dxa"/>
          </w:tcPr>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permit actions and providing an opportunity for the public to participate in those permit 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D4F02">
              <w:rPr>
                <w:b/>
                <w:bCs/>
              </w:rPr>
              <w:t xml:space="preserve">-0060 Persons Required to be Notified:  </w:t>
            </w:r>
            <w:r>
              <w:rPr>
                <w:bCs/>
              </w:rPr>
              <w:t>includes state notification</w:t>
            </w:r>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 xml:space="preserve">Adequate personnel, </w:t>
            </w:r>
            <w:r w:rsidRPr="00474742">
              <w:rPr>
                <w:b/>
                <w:bCs/>
                <w:color w:val="000000"/>
              </w:rPr>
              <w:lastRenderedPageBreak/>
              <w:t>funding and authority to carry out plan</w:t>
            </w:r>
          </w:p>
        </w:tc>
        <w:tc>
          <w:tcPr>
            <w:tcW w:w="4860" w:type="dxa"/>
          </w:tcPr>
          <w:p w:rsidR="001150C0" w:rsidRPr="00474742" w:rsidRDefault="001150C0" w:rsidP="001150C0">
            <w:pPr>
              <w:rPr>
                <w:b/>
                <w:bCs/>
                <w:color w:val="000000"/>
              </w:rPr>
            </w:pPr>
            <w:r w:rsidRPr="00474742">
              <w:rPr>
                <w:i/>
                <w:iCs/>
                <w:color w:val="000000"/>
              </w:rPr>
              <w:lastRenderedPageBreak/>
              <w:t xml:space="preserve">provide (i) necessary assurances that the state (or, except where the Administrator deems </w:t>
            </w:r>
            <w:r w:rsidRPr="00474742">
              <w:rPr>
                <w:i/>
                <w:iCs/>
                <w:color w:val="000000"/>
              </w:rPr>
              <w:lastRenderedPageBreak/>
              <w:t xml:space="preserve">inappropriate, </w:t>
            </w:r>
            <w:r w:rsidRPr="00742119">
              <w:rPr>
                <w:i/>
                <w:iCs/>
                <w:color w:val="000000"/>
                <w:highlight w:val="yellow"/>
              </w:rPr>
              <w:t xml:space="preserve">the general purpose local government or governments, or a regional agency designated by the state or general purpose local governments for such </w:t>
            </w:r>
            <w:commentRangeStart w:id="30"/>
            <w:r w:rsidRPr="00742119">
              <w:rPr>
                <w:i/>
                <w:iCs/>
                <w:color w:val="000000"/>
                <w:highlight w:val="yellow"/>
              </w:rPr>
              <w:t>purpose</w:t>
            </w:r>
            <w:commentRangeEnd w:id="30"/>
            <w:r w:rsidR="00742119">
              <w:rPr>
                <w:rStyle w:val="CommentReference"/>
              </w:rPr>
              <w:commentReference w:id="30"/>
            </w:r>
            <w:r w:rsidRPr="00474742">
              <w:rPr>
                <w:i/>
                <w:iCs/>
                <w:color w:val="000000"/>
              </w:rPr>
              <w:t>)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lastRenderedPageBreak/>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8C51C3" w:rsidRDefault="008C51C3" w:rsidP="001150C0">
            <w:pPr>
              <w:rPr>
                <w:color w:val="000000"/>
              </w:rPr>
            </w:pPr>
            <w:r w:rsidRPr="007C39FA">
              <w:rPr>
                <w:color w:val="000000"/>
              </w:rPr>
              <w:t xml:space="preserve">EPA approved OAR 340-200-0100 through OAR 340-200-0120 as meeting the requirements of CAA section 128 on January 22, 2003 (68 FR 2891).  </w:t>
            </w:r>
          </w:p>
          <w:p w:rsidR="008C51C3" w:rsidRDefault="008C51C3"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p>
          <w:p w:rsidR="008C51C3" w:rsidRPr="00474742" w:rsidRDefault="008C51C3"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r w:rsidRPr="00474742">
              <w:rPr>
                <w:color w:val="000000"/>
                <w:u w:val="single"/>
              </w:rPr>
              <w:t>advise</w:t>
            </w:r>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 xml:space="preserve">Regional Air Quality Control </w:t>
            </w:r>
            <w:r w:rsidR="00032B7C" w:rsidRPr="00474742">
              <w:rPr>
                <w:b/>
                <w:color w:val="000000"/>
              </w:rPr>
              <w:lastRenderedPageBreak/>
              <w:t>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Pr="00474742" w:rsidRDefault="00064596" w:rsidP="00127B18">
            <w:pPr>
              <w:ind w:left="360"/>
              <w:rPr>
                <w:color w:val="000000"/>
              </w:rPr>
            </w:pPr>
            <w:r w:rsidRPr="00474742">
              <w:rPr>
                <w:b/>
                <w:color w:val="000000"/>
              </w:rPr>
              <w:t>-0010</w:t>
            </w:r>
            <w:r w:rsidRPr="00474742">
              <w:rPr>
                <w:color w:val="000000"/>
              </w:rPr>
              <w:t xml:space="preserve"> Specifies that Lane Regional Air Protection Agency (LRAPA) has authority in </w:t>
            </w:r>
            <w:smartTag w:uri="urn:schemas-microsoft-com:office:smarttags" w:element="place">
              <w:smartTag w:uri="urn:schemas-microsoft-com:office:smarttags" w:element="PlaceName">
                <w:r w:rsidRPr="00474742">
                  <w:rPr>
                    <w:color w:val="000000"/>
                  </w:rPr>
                  <w:t>Lane</w:t>
                </w:r>
              </w:smartTag>
              <w:r w:rsidRPr="00474742">
                <w:rPr>
                  <w:color w:val="000000"/>
                </w:rPr>
                <w:t xml:space="preserve"> </w:t>
              </w:r>
              <w:smartTag w:uri="urn:schemas-microsoft-com:office:smarttags" w:element="PlaceName">
                <w:r w:rsidRPr="00474742">
                  <w:rPr>
                    <w:color w:val="000000"/>
                  </w:rPr>
                  <w:t>County</w:t>
                </w:r>
              </w:smartTag>
            </w:smartTag>
            <w:r w:rsidRPr="00474742">
              <w:rPr>
                <w:color w:val="000000"/>
              </w:rPr>
              <w:t>.</w:t>
            </w:r>
          </w:p>
          <w:p w:rsidR="00127B18" w:rsidRPr="00474742" w:rsidRDefault="00064596" w:rsidP="00127B18">
            <w:pPr>
              <w:ind w:left="360"/>
              <w:rPr>
                <w:color w:val="000000"/>
              </w:rPr>
            </w:pPr>
            <w:r w:rsidRPr="00474742">
              <w:rPr>
                <w:b/>
                <w:color w:val="000000"/>
              </w:rPr>
              <w:t>-0020</w:t>
            </w:r>
            <w:r w:rsidRPr="00474742">
              <w:rPr>
                <w:color w:val="000000"/>
              </w:rPr>
              <w:t xml:space="preserve"> defines a “Regional Agency”</w:t>
            </w:r>
            <w:r w:rsidR="009B1BAC" w:rsidRPr="00474742">
              <w:rPr>
                <w:color w:val="000000"/>
              </w:rPr>
              <w:t xml:space="preserve">.  </w:t>
            </w:r>
          </w:p>
          <w:p w:rsidR="00064596" w:rsidRPr="00474742" w:rsidRDefault="00064596" w:rsidP="00127B18">
            <w:pPr>
              <w:ind w:left="360"/>
              <w:rPr>
                <w:color w:val="000000"/>
              </w:rPr>
            </w:pPr>
            <w:r w:rsidRPr="00474742">
              <w:rPr>
                <w:b/>
                <w:color w:val="000000"/>
              </w:rPr>
              <w:t>-0040</w:t>
            </w:r>
            <w:r w:rsidRPr="00474742">
              <w:rPr>
                <w:color w:val="000000"/>
              </w:rPr>
              <w:t xml:space="preserve"> describes inclusion of the regional agency’s actions into the SIP</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 xml:space="preserve">ncludes Designation of Control Areas within </w:t>
            </w:r>
            <w:smartTag w:uri="urn:schemas-microsoft-com:office:smarttags" w:element="place">
              <w:smartTag w:uri="urn:schemas-microsoft-com:office:smarttags" w:element="PlaceName">
                <w:r w:rsidRPr="00474742">
                  <w:rPr>
                    <w:color w:val="000000"/>
                  </w:rPr>
                  <w:t>Lane</w:t>
                </w:r>
              </w:smartTag>
              <w:r w:rsidRPr="00474742">
                <w:rPr>
                  <w:color w:val="000000"/>
                </w:rPr>
                <w:t xml:space="preserve"> </w:t>
              </w:r>
              <w:smartTag w:uri="urn:schemas-microsoft-com:office:smarttags" w:element="PlaceName">
                <w:r w:rsidRPr="00474742">
                  <w:rPr>
                    <w:color w:val="000000"/>
                  </w:rPr>
                  <w:t>County</w:t>
                </w:r>
              </w:smartTag>
            </w:smartTag>
            <w:r w:rsidRPr="00474742">
              <w:rPr>
                <w:color w:val="000000"/>
              </w:rPr>
              <w:t>.</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spacing w:after="120"/>
              <w:rPr>
                <w:b/>
                <w:color w:val="000000"/>
              </w:rPr>
            </w:pPr>
            <w:r w:rsidRPr="00474742">
              <w:rPr>
                <w:b/>
                <w:color w:val="000000"/>
              </w:rPr>
              <w:t>ORS 468A.070 Measurement and Testing of Contamination Sources; Rules</w:t>
            </w:r>
          </w:p>
          <w:p w:rsidR="00EE46C1" w:rsidRPr="00EE46C1" w:rsidRDefault="00EE46C1"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permittee must monitor and maintain records to demonstrate compliance. Specifies frequency and method of monitoring for PSELs.</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Pr="00474742" w:rsidRDefault="00931CF5" w:rsidP="00931CF5">
            <w:pPr>
              <w:autoSpaceDE w:val="0"/>
              <w:autoSpaceDN w:val="0"/>
              <w:adjustRightInd w:val="0"/>
              <w:rPr>
                <w:color w:val="000000"/>
              </w:rPr>
            </w:pPr>
            <w:r w:rsidRPr="00474742">
              <w:rPr>
                <w:color w:val="000000"/>
              </w:rPr>
              <w:t>(stationary source: mostly about modeling, but one section about monitoring)</w:t>
            </w:r>
          </w:p>
          <w:p w:rsidR="00931CF5" w:rsidRPr="00474742" w:rsidRDefault="00931CF5" w:rsidP="001150C0">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commentRangeStart w:id="31"/>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p>
          <w:p w:rsidR="004E7113" w:rsidRPr="007B2C6B" w:rsidRDefault="004E7113" w:rsidP="004E7113">
            <w:pPr>
              <w:pStyle w:val="NormalWeb"/>
              <w:spacing w:before="0" w:beforeAutospacing="0" w:after="0" w:afterAutospacing="0"/>
              <w:ind w:left="360"/>
              <w:rPr>
                <w:b/>
                <w:color w:val="000000"/>
              </w:rPr>
            </w:pPr>
            <w:r w:rsidRPr="007B2C6B">
              <w:rPr>
                <w:b/>
                <w:color w:val="000000"/>
              </w:rPr>
              <w:t xml:space="preserve">- 0340-0350 Neutral Sulfite Semi-Chemical  Pulp </w:t>
            </w:r>
            <w:r w:rsidRPr="007B2C6B">
              <w:rPr>
                <w:b/>
                <w:color w:val="000000"/>
              </w:rPr>
              <w:lastRenderedPageBreak/>
              <w:t>Mills</w:t>
            </w:r>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p>
          <w:p w:rsidR="004E7113" w:rsidRPr="007B2C6B" w:rsidRDefault="004E7113" w:rsidP="004E7113">
            <w:pPr>
              <w:pStyle w:val="NormalWeb"/>
              <w:spacing w:before="0" w:beforeAutospacing="0" w:after="0" w:afterAutospacing="0"/>
              <w:ind w:left="360"/>
              <w:rPr>
                <w:b/>
                <w:color w:val="000000"/>
              </w:rPr>
            </w:pPr>
            <w:r w:rsidRPr="007B2C6B">
              <w:rPr>
                <w:b/>
                <w:color w:val="000000"/>
              </w:rPr>
              <w:t>- 0500-0530 Board Products Industries</w:t>
            </w:r>
          </w:p>
          <w:commentRangeEnd w:id="31"/>
          <w:p w:rsidR="00C141AC" w:rsidRPr="007B2C6B" w:rsidRDefault="007B2C6B" w:rsidP="00C141AC">
            <w:pPr>
              <w:pStyle w:val="NormalWeb"/>
              <w:spacing w:before="0" w:beforeAutospacing="0" w:after="0" w:afterAutospacing="0"/>
              <w:rPr>
                <w:b/>
                <w:color w:val="000000"/>
              </w:rPr>
            </w:pPr>
            <w:r>
              <w:rPr>
                <w:rStyle w:val="CommentReference"/>
              </w:rPr>
              <w:commentReference w:id="31"/>
            </w:r>
          </w:p>
          <w:p w:rsidR="00C141AC" w:rsidRPr="007B2C6B" w:rsidRDefault="00C141AC" w:rsidP="00C141AC">
            <w:pPr>
              <w:pStyle w:val="NormalWeb"/>
              <w:spacing w:before="0" w:beforeAutospacing="0" w:after="0" w:afterAutospacing="0"/>
              <w:rPr>
                <w:b/>
                <w:color w:val="000000"/>
              </w:rPr>
            </w:pPr>
            <w:commentRangeStart w:id="32"/>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141AC" w:rsidRPr="007B2C6B" w:rsidRDefault="00C141AC" w:rsidP="000F4F1D">
            <w:pPr>
              <w:pStyle w:val="NormalWeb"/>
              <w:spacing w:before="0" w:beforeAutospacing="0" w:after="0" w:afterAutospacing="0"/>
              <w:ind w:left="360"/>
              <w:rPr>
                <w:b/>
                <w:color w:val="000000"/>
              </w:rPr>
            </w:pPr>
            <w:r w:rsidRPr="007B2C6B">
              <w:rPr>
                <w:b/>
                <w:color w:val="000000"/>
              </w:rPr>
              <w:t>- 0140-0150 Aluminum Plants</w:t>
            </w:r>
          </w:p>
          <w:p w:rsidR="00C141AC" w:rsidRPr="007B2C6B" w:rsidRDefault="00C141AC" w:rsidP="000F4F1D">
            <w:pPr>
              <w:pStyle w:val="NormalWeb"/>
              <w:spacing w:before="0" w:beforeAutospacing="0" w:after="0" w:afterAutospacing="0"/>
              <w:ind w:left="360"/>
              <w:rPr>
                <w:b/>
                <w:color w:val="000000"/>
              </w:rPr>
            </w:pPr>
            <w:r w:rsidRPr="007B2C6B">
              <w:rPr>
                <w:b/>
                <w:color w:val="000000"/>
              </w:rPr>
              <w:t xml:space="preserve">- 0230 </w:t>
            </w:r>
            <w:smartTag w:uri="urn:schemas-microsoft-com:office:smarttags" w:element="place">
              <w:smartTag w:uri="urn:schemas-microsoft-com:office:smarttags" w:element="City">
                <w:r w:rsidRPr="007B2C6B">
                  <w:rPr>
                    <w:b/>
                    <w:color w:val="000000"/>
                  </w:rPr>
                  <w:t>Laterite</w:t>
                </w:r>
              </w:smartTag>
              <w:r w:rsidRPr="007B2C6B">
                <w:rPr>
                  <w:b/>
                  <w:color w:val="000000"/>
                </w:rPr>
                <w:t xml:space="preserve"> </w:t>
              </w:r>
              <w:smartTag w:uri="urn:schemas-microsoft-com:office:smarttags" w:element="State">
                <w:r w:rsidRPr="007B2C6B">
                  <w:rPr>
                    <w:b/>
                    <w:color w:val="000000"/>
                  </w:rPr>
                  <w:t>Ore</w:t>
                </w:r>
              </w:smartTag>
            </w:smartTag>
            <w:r w:rsidRPr="007B2C6B">
              <w:rPr>
                <w:b/>
                <w:color w:val="000000"/>
              </w:rPr>
              <w:t xml:space="preserve"> Production of Ferronickel</w:t>
            </w:r>
          </w:p>
          <w:p w:rsidR="00C141AC" w:rsidRPr="00474742" w:rsidRDefault="00C141AC" w:rsidP="000F4F1D">
            <w:pPr>
              <w:pStyle w:val="NormalWeb"/>
              <w:spacing w:before="0" w:beforeAutospacing="0" w:after="0" w:afterAutospacing="0"/>
              <w:ind w:left="360"/>
              <w:rPr>
                <w:b/>
                <w:color w:val="000000"/>
              </w:rPr>
            </w:pPr>
            <w:r w:rsidRPr="007B2C6B">
              <w:rPr>
                <w:b/>
                <w:color w:val="000000"/>
              </w:rPr>
              <w:t>- 0320 Reduction of Animal Matter</w:t>
            </w:r>
          </w:p>
          <w:commentRangeEnd w:id="32"/>
          <w:p w:rsidR="00326176" w:rsidRPr="00474742" w:rsidRDefault="007B2C6B" w:rsidP="000F4F1D">
            <w:pPr>
              <w:pStyle w:val="NormalWeb"/>
              <w:spacing w:before="0" w:beforeAutospacing="0" w:after="0" w:afterAutospacing="0"/>
              <w:ind w:left="360"/>
              <w:rPr>
                <w:b/>
                <w:color w:val="000000"/>
              </w:rPr>
            </w:pPr>
            <w:r>
              <w:rPr>
                <w:rStyle w:val="CommentReference"/>
              </w:rPr>
              <w:commentReference w:id="32"/>
            </w:r>
          </w:p>
          <w:p w:rsidR="00326176" w:rsidRPr="00474742" w:rsidRDefault="00326176" w:rsidP="00326176">
            <w:pPr>
              <w:autoSpaceDE w:val="0"/>
              <w:autoSpaceDN w:val="0"/>
              <w:adjustRightInd w:val="0"/>
              <w:rPr>
                <w:b/>
                <w:color w:val="000000"/>
              </w:rPr>
            </w:pPr>
            <w:commentRangeStart w:id="33"/>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1150C0" w:rsidRDefault="00326176" w:rsidP="005B3A1A">
            <w:pPr>
              <w:pStyle w:val="NormalWeb"/>
              <w:spacing w:before="0" w:beforeAutospacing="0" w:after="0" w:afterAutospacing="0"/>
              <w:ind w:left="360"/>
              <w:rPr>
                <w:b/>
                <w:color w:val="000000"/>
              </w:rPr>
            </w:pPr>
            <w:r w:rsidRPr="005B3A1A">
              <w:rPr>
                <w:b/>
                <w:color w:val="000000"/>
              </w:rPr>
              <w:t>- 0430 Source Testing: Lakeview area</w:t>
            </w:r>
            <w:commentRangeEnd w:id="33"/>
            <w:r w:rsidR="00B63AFE">
              <w:rPr>
                <w:rStyle w:val="CommentReference"/>
              </w:rPr>
              <w:commentReference w:id="33"/>
            </w:r>
          </w:p>
          <w:p w:rsidR="007B2C6B" w:rsidRPr="005B3A1A" w:rsidRDefault="007B2C6B" w:rsidP="005B3A1A">
            <w:pPr>
              <w:pStyle w:val="NormalWeb"/>
              <w:spacing w:before="0" w:beforeAutospacing="0" w:after="0" w:afterAutospacing="0"/>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ORS 468-115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Pr="00D34C25" w:rsidRDefault="00A8214F" w:rsidP="00A8214F">
            <w:pPr>
              <w:numPr>
                <w:ilvl w:val="0"/>
                <w:numId w:val="5"/>
              </w:numPr>
              <w:autoSpaceDE w:val="0"/>
              <w:autoSpaceDN w:val="0"/>
              <w:adjustRightInd w:val="0"/>
              <w:rPr>
                <w:b/>
                <w:color w:val="000000"/>
              </w:rPr>
            </w:pPr>
            <w:commentRangeStart w:id="34"/>
            <w:r w:rsidRPr="00D34C25">
              <w:rPr>
                <w:b/>
                <w:color w:val="000000"/>
              </w:rPr>
              <w:t>0010 Air Pollution Emergencies</w:t>
            </w:r>
          </w:p>
          <w:p w:rsidR="00A8214F" w:rsidRPr="00D34C25" w:rsidRDefault="00A8214F" w:rsidP="00A8214F">
            <w:pPr>
              <w:numPr>
                <w:ilvl w:val="0"/>
                <w:numId w:val="5"/>
              </w:numPr>
              <w:autoSpaceDE w:val="0"/>
              <w:autoSpaceDN w:val="0"/>
              <w:adjustRightInd w:val="0"/>
              <w:rPr>
                <w:b/>
                <w:color w:val="000000"/>
              </w:rPr>
            </w:pPr>
            <w:r w:rsidRPr="00D34C25">
              <w:rPr>
                <w:b/>
                <w:color w:val="000000"/>
              </w:rPr>
              <w:lastRenderedPageBreak/>
              <w:t>0030 Episode Stage Criteria for Air Pollution Emergencies</w:t>
            </w:r>
          </w:p>
          <w:commentRangeEnd w:id="34"/>
          <w:p w:rsidR="00A8214F" w:rsidRDefault="005F4D21" w:rsidP="00A8214F">
            <w:pPr>
              <w:autoSpaceDE w:val="0"/>
              <w:autoSpaceDN w:val="0"/>
              <w:adjustRightInd w:val="0"/>
              <w:ind w:left="702"/>
              <w:rPr>
                <w:b/>
                <w:color w:val="000000"/>
              </w:rPr>
            </w:pPr>
            <w:r>
              <w:rPr>
                <w:rStyle w:val="CommentReference"/>
              </w:rPr>
              <w:commentReference w:id="34"/>
            </w: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150C0" w:rsidRDefault="007A04C3" w:rsidP="006060BA">
            <w:pPr>
              <w:autoSpaceDE w:val="0"/>
              <w:autoSpaceDN w:val="0"/>
              <w:adjustRightInd w:val="0"/>
              <w:ind w:left="360"/>
              <w:rPr>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1655B7" w:rsidRPr="00474742" w:rsidRDefault="001655B7" w:rsidP="001150C0">
            <w:pPr>
              <w:rPr>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w:t>
            </w:r>
            <w:smartTag w:uri="urn:schemas-microsoft-com:office:smarttags" w:element="State">
              <w:smartTag w:uri="urn:schemas-microsoft-com:office:smarttags" w:element="place">
                <w:r w:rsidR="007744A6" w:rsidRPr="00474742">
                  <w:rPr>
                    <w:b/>
                    <w:color w:val="000000"/>
                  </w:rPr>
                  <w:t>Oregon Clean Air Act Implementation Plan</w:t>
                </w:r>
              </w:smartTag>
            </w:smartTag>
            <w:r w:rsidR="007744A6" w:rsidRPr="00474742">
              <w:rPr>
                <w:b/>
                <w:color w:val="000000"/>
              </w:rPr>
              <w:t xml:space="preserve"> </w:t>
            </w:r>
            <w:r w:rsidRPr="00474742">
              <w:rPr>
                <w:color w:val="000000"/>
              </w:rPr>
              <w:t xml:space="preserve">Provides for revisions to </w:t>
            </w:r>
            <w:smartTag w:uri="urn:schemas-microsoft-com:office:smarttags" w:element="State">
              <w:smartTag w:uri="urn:schemas-microsoft-com:office:smarttags" w:element="place">
                <w:r w:rsidRPr="00474742">
                  <w:rPr>
                    <w:color w:val="000000"/>
                  </w:rPr>
                  <w:t>Oregon</w:t>
                </w:r>
              </w:smartTag>
            </w:smartTag>
            <w:r w:rsidRPr="00474742">
              <w:rPr>
                <w:color w:val="000000"/>
              </w:rPr>
              <w:t>’s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commentRangeStart w:id="35"/>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1150C0" w:rsidRDefault="001150C0" w:rsidP="001150C0">
            <w:pPr>
              <w:rPr>
                <w:color w:val="000000"/>
              </w:rPr>
            </w:pPr>
          </w:p>
          <w:p w:rsidR="00FD7DCE" w:rsidRPr="000C6325" w:rsidRDefault="00FD7DCE" w:rsidP="00FD7DCE">
            <w:pPr>
              <w:rPr>
                <w:b/>
                <w:color w:val="000000"/>
                <w:u w:val="single"/>
              </w:rPr>
            </w:pPr>
            <w:r w:rsidRPr="00474742">
              <w:rPr>
                <w:b/>
                <w:color w:val="000000"/>
                <w:u w:val="single"/>
              </w:rPr>
              <w:t>Oregon Revised Statues</w:t>
            </w:r>
            <w:r w:rsidRPr="00474742">
              <w:rPr>
                <w:color w:val="000000"/>
              </w:rPr>
              <w:t xml:space="preserve">: </w:t>
            </w:r>
          </w:p>
          <w:p w:rsidR="00FD7DCE" w:rsidRDefault="00FD7DCE" w:rsidP="00FD7DCE">
            <w:pPr>
              <w:rPr>
                <w:color w:val="000000"/>
              </w:rPr>
            </w:pPr>
          </w:p>
          <w:p w:rsidR="00FD7DCE" w:rsidRDefault="00FD7DCE" w:rsidP="00FD7DCE">
            <w:pPr>
              <w:spacing w:after="120"/>
            </w:pPr>
            <w:r>
              <w:rPr>
                <w:b/>
                <w:color w:val="000000"/>
              </w:rPr>
              <w:t xml:space="preserve">ORS 468A.025  </w:t>
            </w:r>
            <w:r>
              <w:rPr>
                <w:b/>
                <w:bCs/>
              </w:rPr>
              <w:t>Air purity standards; air quality standards; treatment and control of emissions; rules.</w:t>
            </w:r>
            <w:r>
              <w:t xml:space="preserve"> EQC may establish…</w:t>
            </w:r>
          </w:p>
          <w:p w:rsidR="00FD7DCE" w:rsidRDefault="00FD7DCE" w:rsidP="00FD7DCE">
            <w:pPr>
              <w:spacing w:after="120"/>
              <w:ind w:left="342"/>
            </w:pPr>
            <w:r>
              <w:t>(1) areas of the state &amp; prescribe the degree of air pollution or air contamination that may be permitted</w:t>
            </w:r>
          </w:p>
          <w:p w:rsidR="00FD7DCE" w:rsidRPr="00197AB6" w:rsidRDefault="00FD7DCE" w:rsidP="00FD7DCE">
            <w:pPr>
              <w:spacing w:after="120"/>
              <w:ind w:left="342"/>
              <w:rPr>
                <w:color w:val="000000"/>
              </w:rPr>
            </w:pPr>
            <w:r>
              <w:rPr>
                <w:color w:val="000000"/>
              </w:rPr>
              <w:t xml:space="preserve">(4) </w:t>
            </w:r>
            <w:r>
              <w:t xml:space="preserve">(c) require controls necessary to achieve air quality </w:t>
            </w:r>
            <w:r>
              <w:lastRenderedPageBreak/>
              <w:t>standards</w:t>
            </w:r>
          </w:p>
          <w:p w:rsidR="00FD7DCE" w:rsidRPr="00474742" w:rsidRDefault="00FD7DCE" w:rsidP="00FD7DCE">
            <w:pPr>
              <w:spacing w:after="120"/>
              <w:rPr>
                <w:color w:val="000000"/>
              </w:rPr>
            </w:pPr>
            <w:r w:rsidRPr="00474742">
              <w:rPr>
                <w:b/>
                <w:color w:val="000000"/>
              </w:rPr>
              <w:t>ORS 468A.035</w:t>
            </w:r>
            <w:r w:rsidRPr="00474742">
              <w:rPr>
                <w:color w:val="000000"/>
              </w:rPr>
              <w:t xml:space="preserve"> </w:t>
            </w:r>
            <w:r w:rsidRPr="00474742">
              <w:rPr>
                <w:b/>
                <w:color w:val="000000"/>
              </w:rPr>
              <w:t xml:space="preserve">General Comprehensive Plan </w:t>
            </w:r>
            <w:r>
              <w:rPr>
                <w:b/>
                <w:color w:val="000000"/>
              </w:rPr>
              <w:t xml:space="preserve"> </w:t>
            </w:r>
            <w:r w:rsidRPr="00474742">
              <w:rPr>
                <w:color w:val="000000"/>
              </w:rPr>
              <w:t xml:space="preserve">DEQ shall develop a general comprehensive plan for the control or abatement of air pollution </w:t>
            </w:r>
          </w:p>
          <w:p w:rsidR="0067534B" w:rsidRPr="00474742" w:rsidRDefault="0067534B" w:rsidP="0067534B">
            <w:pPr>
              <w:rPr>
                <w:b/>
                <w:color w:val="000000"/>
              </w:rPr>
            </w:pPr>
            <w:r w:rsidRPr="00474742">
              <w:rPr>
                <w:b/>
                <w:color w:val="000000"/>
                <w:u w:val="single"/>
              </w:rPr>
              <w:t>Oregon Administrative Rules</w:t>
            </w:r>
            <w:r w:rsidRPr="00474742">
              <w:rPr>
                <w:b/>
                <w:color w:val="000000"/>
              </w:rPr>
              <w:t>:</w:t>
            </w:r>
          </w:p>
          <w:p w:rsidR="00D34C25" w:rsidRPr="00474742" w:rsidRDefault="00D34C25" w:rsidP="00D34C25">
            <w:pPr>
              <w:rPr>
                <w:b/>
                <w:color w:val="000000"/>
              </w:rPr>
            </w:pPr>
          </w:p>
          <w:p w:rsidR="0067534B" w:rsidRDefault="0067534B" w:rsidP="0067534B">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r w:rsidRPr="00474742">
              <w:rPr>
                <w:color w:val="000000"/>
              </w:rPr>
              <w:t xml:space="preserve">Designates air quality areas in Oregon: Air Quality Control Regions and nonattainment, maintenance, </w:t>
            </w:r>
            <w:smartTag w:uri="urn:schemas-microsoft-com:office:smarttags" w:element="stockticker">
              <w:r w:rsidRPr="00FD7DCE">
                <w:rPr>
                  <w:color w:val="000000"/>
                </w:rPr>
                <w:t>PSD</w:t>
              </w:r>
            </w:smartTag>
            <w:r w:rsidRPr="00FD7DCE">
              <w:rPr>
                <w:color w:val="000000"/>
              </w:rPr>
              <w:t>,</w:t>
            </w:r>
            <w:r w:rsidRPr="00474742">
              <w:rPr>
                <w:color w:val="000000"/>
              </w:rPr>
              <w:t xml:space="preserve"> special control, motor vehicle inspection boundary and oxygenated gas control areas</w:t>
            </w:r>
            <w:r w:rsidR="00197AB6">
              <w:rPr>
                <w:color w:val="000000"/>
              </w:rPr>
              <w:t>.</w:t>
            </w:r>
          </w:p>
          <w:p w:rsidR="0067534B" w:rsidRPr="00474742" w:rsidRDefault="0067534B" w:rsidP="0067534B">
            <w:pPr>
              <w:rPr>
                <w:color w:val="000000"/>
              </w:rPr>
            </w:pPr>
          </w:p>
          <w:commentRangeEnd w:id="35"/>
          <w:p w:rsidR="0067534B" w:rsidRPr="00474742" w:rsidRDefault="00EE46C1" w:rsidP="00FD7DCE">
            <w:pPr>
              <w:spacing w:after="120"/>
              <w:rPr>
                <w:color w:val="000000"/>
              </w:rPr>
            </w:pPr>
            <w:r>
              <w:rPr>
                <w:rStyle w:val="CommentReference"/>
              </w:rPr>
              <w:commentReference w:id="35"/>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Pr="00474742" w:rsidRDefault="005B3A1A"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w:t>
            </w:r>
            <w:r w:rsidRPr="00474742">
              <w:rPr>
                <w:color w:val="000000"/>
              </w:rPr>
              <w:lastRenderedPageBreak/>
              <w:t>notification to, and participation by, the public in certain permit actions</w:t>
            </w:r>
            <w:r w:rsidR="00DF5536">
              <w:rPr>
                <w:color w:val="000000"/>
              </w:rPr>
              <w:t>.</w:t>
            </w:r>
          </w:p>
          <w:p w:rsidR="002E7F6C" w:rsidRPr="00474742" w:rsidRDefault="002E7F6C" w:rsidP="008626C5">
            <w:pPr>
              <w:rPr>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36"/>
            <w:r w:rsidRPr="00474742">
              <w:rPr>
                <w:b/>
                <w:bCs/>
                <w:color w:val="000000"/>
              </w:rPr>
              <w:t>visibility protection</w:t>
            </w:r>
            <w:commentRangeEnd w:id="36"/>
            <w:r w:rsidR="00E16600">
              <w:rPr>
                <w:rStyle w:val="CommentReference"/>
              </w:rPr>
              <w:commentReference w:id="36"/>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E16600" w:rsidP="00B63AFE">
            <w:pPr>
              <w:autoSpaceDE w:val="0"/>
              <w:autoSpaceDN w:val="0"/>
              <w:adjustRightInd w:val="0"/>
              <w:jc w:val="both"/>
              <w:rPr>
                <w:color w:val="000000"/>
              </w:rPr>
            </w:pPr>
            <w:r>
              <w:rPr>
                <w:color w:val="000000"/>
              </w:rPr>
              <w:t>EPA most recently approved revisions to Oregon’s PSD program on December 27, 2011 (76 FR 80747).</w:t>
            </w:r>
          </w:p>
          <w:p w:rsidR="00E16600" w:rsidRDefault="00E16600"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F31941" w:rsidP="00F31941">
            <w:pPr>
              <w:ind w:left="360"/>
              <w:rPr>
                <w:color w:val="000000"/>
              </w:rPr>
            </w:pPr>
            <w:r w:rsidRPr="00197AB6">
              <w:rPr>
                <w:b/>
                <w:color w:val="000000"/>
              </w:rPr>
              <w:t xml:space="preserve">- </w:t>
            </w:r>
            <w:r w:rsidR="00FD1FBE" w:rsidRPr="00197AB6">
              <w:rPr>
                <w:b/>
                <w:color w:val="000000"/>
              </w:rPr>
              <w:t>0070</w:t>
            </w:r>
            <w:r w:rsidR="00FD1FBE" w:rsidRPr="00197AB6">
              <w:rPr>
                <w:color w:val="000000"/>
              </w:rPr>
              <w:t xml:space="preserve">  Prevention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1D435A" w:rsidP="00CD678D">
            <w:pPr>
              <w:ind w:left="360"/>
              <w:rPr>
                <w:b/>
                <w:color w:val="000000"/>
              </w:rPr>
            </w:pPr>
            <w:r w:rsidRPr="00474742">
              <w:rPr>
                <w:b/>
                <w:color w:val="000000"/>
              </w:rPr>
              <w:t xml:space="preserve">- </w:t>
            </w:r>
            <w:r w:rsidR="00F31941" w:rsidRPr="00474742">
              <w:rPr>
                <w:b/>
                <w:color w:val="000000"/>
              </w:rPr>
              <w:t xml:space="preserve">0050 - 0060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p>
          <w:p w:rsidR="00FD1FBE" w:rsidRPr="00474742" w:rsidRDefault="00FD1FBE"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lastRenderedPageBreak/>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lastRenderedPageBreak/>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9D621F" w:rsidRPr="00474742" w:rsidRDefault="009D621F" w:rsidP="00074700">
            <w:pPr>
              <w:spacing w:after="120"/>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p>
          <w:p w:rsidR="001150C0" w:rsidRPr="00474742" w:rsidRDefault="00BA3745" w:rsidP="00BA3745">
            <w:pPr>
              <w:ind w:left="360"/>
              <w:rPr>
                <w:b/>
                <w:color w:val="000000"/>
              </w:rPr>
            </w:pPr>
            <w:r w:rsidRPr="00474742">
              <w:rPr>
                <w:b/>
                <w:color w:val="000000"/>
              </w:rPr>
              <w:t>- 0090 (Table 1) Sources Subject to ADCP and Fees</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Pr="00474742" w:rsidRDefault="006C1A3F"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RDefault="006C1A3F" w:rsidP="006C1A3F">
            <w:pPr>
              <w:ind w:left="360"/>
              <w:rPr>
                <w:color w:val="000000"/>
              </w:rPr>
            </w:pPr>
            <w:r w:rsidRPr="00474742">
              <w:rPr>
                <w:b/>
                <w:color w:val="000000"/>
              </w:rPr>
              <w:t>-0010</w:t>
            </w:r>
            <w:r w:rsidRPr="00474742">
              <w:rPr>
                <w:color w:val="000000"/>
              </w:rPr>
              <w:t xml:space="preserve"> Specifies that Lane Regional Air Protection Agency (LRAPA) has authority in </w:t>
            </w:r>
            <w:smartTag w:uri="urn:schemas-microsoft-com:office:smarttags" w:element="place">
              <w:smartTag w:uri="urn:schemas-microsoft-com:office:smarttags" w:element="PlaceName">
                <w:r w:rsidRPr="00474742">
                  <w:rPr>
                    <w:color w:val="000000"/>
                  </w:rPr>
                  <w:t>Lane</w:t>
                </w:r>
              </w:smartTag>
              <w:r w:rsidRPr="00474742">
                <w:rPr>
                  <w:color w:val="000000"/>
                </w:rPr>
                <w:t xml:space="preserve"> </w:t>
              </w:r>
              <w:smartTag w:uri="urn:schemas-microsoft-com:office:smarttags" w:element="PlaceName">
                <w:r w:rsidRPr="00474742">
                  <w:rPr>
                    <w:color w:val="000000"/>
                  </w:rPr>
                  <w:t>County</w:t>
                </w:r>
              </w:smartTag>
            </w:smartTag>
            <w:r w:rsidRPr="00474742">
              <w:rPr>
                <w:color w:val="000000"/>
              </w:rPr>
              <w:t>.</w:t>
            </w:r>
          </w:p>
          <w:p w:rsidR="006C1A3F" w:rsidRPr="00474742"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w:t>
            </w:r>
            <w:smartTag w:uri="urn:schemas-microsoft-com:office:smarttags" w:element="place">
              <w:smartTag w:uri="urn:schemas-microsoft-com:office:smarttags" w:element="PlaceName">
                <w:r w:rsidRPr="00474742">
                  <w:rPr>
                    <w:color w:val="000000"/>
                  </w:rPr>
                  <w:t>Lane</w:t>
                </w:r>
              </w:smartTag>
              <w:r w:rsidRPr="00474742">
                <w:rPr>
                  <w:color w:val="000000"/>
                </w:rPr>
                <w:t xml:space="preserve"> </w:t>
              </w:r>
              <w:smartTag w:uri="urn:schemas-microsoft-com:office:smarttags" w:element="PlaceName">
                <w:r w:rsidRPr="00474742">
                  <w:rPr>
                    <w:color w:val="000000"/>
                  </w:rPr>
                  <w:t>County</w:t>
                </w:r>
              </w:smartTag>
            </w:smartTag>
            <w:r w:rsidRPr="00474742">
              <w:rPr>
                <w:color w:val="000000"/>
              </w:rPr>
              <w:t>.</w:t>
            </w:r>
          </w:p>
          <w:p w:rsidR="006C1A3F" w:rsidRPr="00474742" w:rsidRDefault="006C1A3F" w:rsidP="006C1A3F">
            <w:pPr>
              <w:rPr>
                <w:color w:val="000000"/>
              </w:rPr>
            </w:pPr>
          </w:p>
          <w:p w:rsidR="001150C0"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p>
        </w:tc>
      </w:tr>
    </w:tbl>
    <w:p w:rsidR="004F3AEA" w:rsidRDefault="004F3AEA"/>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ristin Hall" w:date="2013-03-26T12:06:00Z" w:initials="KPH">
    <w:p w:rsidR="006F3252" w:rsidRDefault="006F3252">
      <w:pPr>
        <w:pStyle w:val="CommentText"/>
      </w:pPr>
      <w:r>
        <w:rPr>
          <w:rStyle w:val="CommentReference"/>
        </w:rPr>
        <w:annotationRef/>
      </w:r>
      <w:r w:rsidR="00A657F5">
        <w:t>Seems primarily specific to PM2.5, PM10, NO2…</w:t>
      </w:r>
    </w:p>
  </w:comment>
  <w:comment w:id="1" w:author="Kristin Hall" w:date="2013-03-26T12:05:00Z" w:initials="KPH">
    <w:p w:rsidR="00AD2512" w:rsidRDefault="00AD2512">
      <w:pPr>
        <w:pStyle w:val="CommentText"/>
      </w:pPr>
      <w:r>
        <w:rPr>
          <w:rStyle w:val="CommentReference"/>
        </w:rPr>
        <w:annotationRef/>
      </w:r>
      <w:r w:rsidR="00A657F5">
        <w:t>Seems primarily s</w:t>
      </w:r>
      <w:r>
        <w:t>pecific to PM2.5, NO</w:t>
      </w:r>
      <w:r w:rsidR="00A657F5">
        <w:t>2</w:t>
      </w:r>
      <w:r>
        <w:t>, ozone</w:t>
      </w:r>
      <w:r w:rsidR="00A657F5">
        <w:t>…</w:t>
      </w:r>
    </w:p>
  </w:comment>
  <w:comment w:id="2" w:author="Kristin Hall" w:date="2013-03-26T12:06:00Z" w:initials="KPH">
    <w:p w:rsidR="00AD2512" w:rsidRDefault="00AD2512">
      <w:pPr>
        <w:pStyle w:val="CommentText"/>
      </w:pPr>
      <w:r>
        <w:rPr>
          <w:rStyle w:val="CommentReference"/>
        </w:rPr>
        <w:annotationRef/>
      </w:r>
      <w:r w:rsidR="00A657F5">
        <w:t>Seems primarily s</w:t>
      </w:r>
      <w:r>
        <w:t>pecific to PM2.5, PM10</w:t>
      </w:r>
      <w:r w:rsidR="00A657F5">
        <w:t>, NO2…</w:t>
      </w:r>
    </w:p>
  </w:comment>
  <w:comment w:id="3" w:author="Kristin Hall" w:date="2013-03-26T12:06:00Z" w:initials="KPH">
    <w:p w:rsidR="00AD2512" w:rsidRDefault="00AD2512">
      <w:pPr>
        <w:pStyle w:val="CommentText"/>
      </w:pPr>
      <w:r>
        <w:rPr>
          <w:rStyle w:val="CommentReference"/>
        </w:rPr>
        <w:annotationRef/>
      </w:r>
      <w:r w:rsidR="00A657F5">
        <w:t>Seems primarily s</w:t>
      </w:r>
      <w:r>
        <w:t>pecific to PM2.5, PM10, NO2, ozone</w:t>
      </w:r>
      <w:r w:rsidR="00A657F5">
        <w:t>…</w:t>
      </w:r>
    </w:p>
  </w:comment>
  <w:comment w:id="4" w:author="Kristin Hall" w:date="2013-03-26T12:07:00Z" w:initials="KPH">
    <w:p w:rsidR="000736AF" w:rsidRDefault="000736AF">
      <w:pPr>
        <w:pStyle w:val="CommentText"/>
      </w:pPr>
      <w:r>
        <w:rPr>
          <w:rStyle w:val="CommentReference"/>
        </w:rPr>
        <w:annotationRef/>
      </w:r>
      <w:r>
        <w:t xml:space="preserve">Applicable to all NAAQS, but also </w:t>
      </w:r>
      <w:r w:rsidR="00A657F5">
        <w:t>some</w:t>
      </w:r>
      <w:r>
        <w:t xml:space="preserve"> definitions </w:t>
      </w:r>
      <w:r w:rsidR="00A657F5">
        <w:t>appear to be</w:t>
      </w:r>
      <w:r>
        <w:t xml:space="preserve"> pollutant-specific</w:t>
      </w:r>
      <w:r w:rsidR="00A657F5">
        <w:t>…</w:t>
      </w:r>
    </w:p>
  </w:comment>
  <w:comment w:id="5" w:author="Kristin Hall" w:date="2013-03-26T12:08:00Z" w:initials="KPH">
    <w:p w:rsidR="00EA6E00" w:rsidRDefault="00EA6E00">
      <w:pPr>
        <w:pStyle w:val="CommentText"/>
      </w:pPr>
      <w:r>
        <w:rPr>
          <w:rStyle w:val="CommentReference"/>
        </w:rPr>
        <w:annotationRef/>
      </w:r>
      <w:r w:rsidR="00361283">
        <w:t>Appears to be p</w:t>
      </w:r>
      <w:r>
        <w:t>ollutant-specific for PM2.5 and PM10</w:t>
      </w:r>
      <w:r w:rsidR="00361283">
        <w:t>…</w:t>
      </w:r>
    </w:p>
  </w:comment>
  <w:comment w:id="6" w:author="Kristin Hall" w:date="2013-03-26T12:08:00Z" w:initials="KPH">
    <w:p w:rsidR="00EA6E00" w:rsidRDefault="00EA6E00">
      <w:pPr>
        <w:pStyle w:val="CommentText"/>
      </w:pPr>
      <w:r>
        <w:rPr>
          <w:rStyle w:val="CommentReference"/>
        </w:rPr>
        <w:annotationRef/>
      </w:r>
      <w:r w:rsidR="00361283">
        <w:t>Appears to be p</w:t>
      </w:r>
      <w:r>
        <w:t>ollutant-specific for PM2.5, PM10, SO2</w:t>
      </w:r>
      <w:r w:rsidR="00361283">
        <w:t>…</w:t>
      </w:r>
    </w:p>
  </w:comment>
  <w:comment w:id="7" w:author="Kristin Hall" w:date="2013-03-26T12:17:00Z" w:initials="KPH">
    <w:p w:rsidR="00EA6E00" w:rsidRDefault="00EA6E00">
      <w:pPr>
        <w:pStyle w:val="CommentText"/>
      </w:pPr>
      <w:r>
        <w:rPr>
          <w:rStyle w:val="CommentReference"/>
        </w:rPr>
        <w:annotationRef/>
      </w:r>
      <w:r w:rsidR="004824EE">
        <w:t>Appears to be p</w:t>
      </w:r>
      <w:r>
        <w:t>ollutant-specific for ozone (VOCs as precursors).</w:t>
      </w:r>
    </w:p>
  </w:comment>
  <w:comment w:id="8" w:author="Kristin Hall" w:date="2013-03-26T12:19:00Z" w:initials="KPH">
    <w:p w:rsidR="004824EE" w:rsidRDefault="004824EE">
      <w:pPr>
        <w:pStyle w:val="CommentText"/>
      </w:pPr>
      <w:r>
        <w:rPr>
          <w:rStyle w:val="CommentReference"/>
        </w:rPr>
        <w:annotationRef/>
      </w:r>
      <w:r>
        <w:t>Specific to PM and SO2</w:t>
      </w:r>
    </w:p>
  </w:comment>
  <w:comment w:id="9" w:author="Kristin Hall" w:date="2013-03-26T12:20:00Z" w:initials="KPH">
    <w:p w:rsidR="004824EE" w:rsidRDefault="004824EE">
      <w:pPr>
        <w:pStyle w:val="CommentText"/>
      </w:pPr>
      <w:r>
        <w:rPr>
          <w:rStyle w:val="CommentReference"/>
        </w:rPr>
        <w:annotationRef/>
      </w:r>
      <w:r>
        <w:t>Specific to PM and SO2</w:t>
      </w:r>
    </w:p>
  </w:comment>
  <w:comment w:id="10" w:author="Kristin Hall" w:date="2013-03-26T12:21:00Z" w:initials="KPH">
    <w:p w:rsidR="004824EE" w:rsidRDefault="004824EE">
      <w:pPr>
        <w:pStyle w:val="CommentText"/>
      </w:pPr>
      <w:r>
        <w:rPr>
          <w:rStyle w:val="CommentReference"/>
        </w:rPr>
        <w:annotationRef/>
      </w:r>
      <w:r>
        <w:t>Specific to PM and SO2</w:t>
      </w:r>
    </w:p>
  </w:comment>
  <w:comment w:id="11" w:author="Kristin Hall" w:date="2013-03-26T12:22:00Z" w:initials="KPH">
    <w:p w:rsidR="004824EE" w:rsidRDefault="004824EE">
      <w:pPr>
        <w:pStyle w:val="CommentText"/>
      </w:pPr>
      <w:r>
        <w:rPr>
          <w:rStyle w:val="CommentReference"/>
        </w:rPr>
        <w:annotationRef/>
      </w:r>
      <w:r>
        <w:t>Specific to PM</w:t>
      </w:r>
    </w:p>
  </w:comment>
  <w:comment w:id="12" w:author="Kristin Hall" w:date="2013-03-26T12:24:00Z" w:initials="KPH">
    <w:p w:rsidR="004824EE" w:rsidRDefault="004824EE">
      <w:pPr>
        <w:pStyle w:val="CommentText"/>
      </w:pPr>
      <w:r>
        <w:rPr>
          <w:rStyle w:val="CommentReference"/>
        </w:rPr>
        <w:annotationRef/>
      </w:r>
      <w:r>
        <w:t>Specific to PM</w:t>
      </w:r>
    </w:p>
  </w:comment>
  <w:comment w:id="13" w:author="Kristin Hall" w:date="2013-03-26T12:27:00Z" w:initials="KPH">
    <w:p w:rsidR="006558AC" w:rsidRDefault="006558AC">
      <w:pPr>
        <w:pStyle w:val="CommentText"/>
      </w:pPr>
      <w:r>
        <w:rPr>
          <w:rStyle w:val="CommentReference"/>
        </w:rPr>
        <w:annotationRef/>
      </w:r>
      <w:r>
        <w:t xml:space="preserve">Pollutant-specific for </w:t>
      </w:r>
      <w:r w:rsidR="00905D09">
        <w:t>PM?</w:t>
      </w:r>
    </w:p>
  </w:comment>
  <w:comment w:id="14" w:author="Kristin Hall" w:date="2013-03-26T12:31:00Z" w:initials="KPH">
    <w:p w:rsidR="006558AC" w:rsidRDefault="006558AC">
      <w:pPr>
        <w:pStyle w:val="CommentText"/>
      </w:pPr>
      <w:r>
        <w:rPr>
          <w:rStyle w:val="CommentReference"/>
        </w:rPr>
        <w:annotationRef/>
      </w:r>
      <w:r w:rsidR="003C5804">
        <w:t>Pollutant</w:t>
      </w:r>
      <w:r>
        <w:t>-specific for ozone</w:t>
      </w:r>
      <w:r w:rsidR="00905D09">
        <w:t>?  NO2? PM2.5?</w:t>
      </w:r>
    </w:p>
  </w:comment>
  <w:comment w:id="15" w:author="Kristin Hall" w:date="2013-03-26T12:30:00Z" w:initials="KPH">
    <w:p w:rsidR="003C5804" w:rsidRDefault="003C5804">
      <w:pPr>
        <w:pStyle w:val="CommentText"/>
      </w:pPr>
      <w:r>
        <w:rPr>
          <w:rStyle w:val="CommentReference"/>
        </w:rPr>
        <w:annotationRef/>
      </w:r>
      <w:r>
        <w:t>Pollutant-specific for ozone</w:t>
      </w:r>
      <w:r w:rsidR="00905D09">
        <w:t>?  NO2?  PM2.5?</w:t>
      </w:r>
    </w:p>
  </w:comment>
  <w:comment w:id="16" w:author="Kristin Hall" w:date="2013-03-26T12:31:00Z" w:initials="KPH">
    <w:p w:rsidR="003C5804" w:rsidRDefault="003C5804">
      <w:pPr>
        <w:pStyle w:val="CommentText"/>
      </w:pPr>
      <w:r>
        <w:rPr>
          <w:rStyle w:val="CommentReference"/>
        </w:rPr>
        <w:annotationRef/>
      </w:r>
      <w:r w:rsidR="00905D09">
        <w:t>Pollutant-specific for ozone? NO2? PM2.5?</w:t>
      </w:r>
    </w:p>
  </w:comment>
  <w:comment w:id="17" w:author="Kristin Hall" w:date="2013-03-26T12:29:00Z" w:initials="KPH">
    <w:p w:rsidR="003C5804" w:rsidRDefault="003C5804">
      <w:pPr>
        <w:pStyle w:val="CommentText"/>
      </w:pPr>
      <w:r>
        <w:rPr>
          <w:rStyle w:val="CommentReference"/>
        </w:rPr>
        <w:annotationRef/>
      </w:r>
      <w:r>
        <w:t>Pollutant-specific for ozone</w:t>
      </w:r>
      <w:r w:rsidR="00905D09">
        <w:t>?</w:t>
      </w:r>
    </w:p>
  </w:comment>
  <w:comment w:id="18" w:author="Kristin Hall" w:date="2013-03-25T14:32:00Z" w:initials="KPH">
    <w:p w:rsidR="003C5804" w:rsidRDefault="003C5804">
      <w:pPr>
        <w:pStyle w:val="CommentText"/>
      </w:pPr>
      <w:r>
        <w:rPr>
          <w:rStyle w:val="CommentReference"/>
        </w:rPr>
        <w:annotationRef/>
      </w:r>
      <w:r>
        <w:t>Pollutant-specific for PM2.5 and PM10.</w:t>
      </w:r>
    </w:p>
  </w:comment>
  <w:comment w:id="19" w:author="Kristin Hall" w:date="2013-03-26T12:31:00Z" w:initials="KPH">
    <w:p w:rsidR="003C5804" w:rsidRDefault="003C5804">
      <w:pPr>
        <w:pStyle w:val="CommentText"/>
      </w:pPr>
      <w:r>
        <w:rPr>
          <w:rStyle w:val="CommentReference"/>
        </w:rPr>
        <w:annotationRef/>
      </w:r>
      <w:r>
        <w:t>Po</w:t>
      </w:r>
      <w:r w:rsidR="00905D09">
        <w:t>llutant-specific for PM2.5, PM10.  NO2?</w:t>
      </w:r>
    </w:p>
  </w:comment>
  <w:comment w:id="20" w:author="Kristin Hall" w:date="2013-03-27T11:10:00Z" w:initials="KPH">
    <w:p w:rsidR="007718FA" w:rsidRDefault="007718FA">
      <w:pPr>
        <w:pStyle w:val="CommentText"/>
      </w:pPr>
      <w:r>
        <w:rPr>
          <w:rStyle w:val="CommentReference"/>
        </w:rPr>
        <w:annotationRef/>
      </w:r>
      <w:r w:rsidRPr="00742119">
        <w:rPr>
          <w:highlight w:val="yellow"/>
        </w:rPr>
        <w:t>You will want to add here any additional provisions that address emission limits, controls related to the particular NAAQS for which you are submitting. From your spreadsheet?</w:t>
      </w:r>
    </w:p>
  </w:comment>
  <w:comment w:id="21" w:author="Kristin Hall" w:date="2013-03-26T13:50:00Z" w:initials="KPH">
    <w:p w:rsidR="00192CEF" w:rsidRDefault="00192CEF">
      <w:pPr>
        <w:pStyle w:val="CommentText"/>
      </w:pPr>
      <w:r>
        <w:rPr>
          <w:rStyle w:val="CommentReference"/>
        </w:rPr>
        <w:annotationRef/>
      </w:r>
      <w:r>
        <w:t>Definitions that apply to all criteria pollutants, in addition to pollutant-specific definitions…</w:t>
      </w:r>
    </w:p>
  </w:comment>
  <w:comment w:id="22" w:author="Kristin Hall" w:date="2013-03-25T15:21:00Z" w:initials="KPH">
    <w:p w:rsidR="00563CD6" w:rsidRDefault="00563CD6">
      <w:pPr>
        <w:pStyle w:val="CommentText"/>
      </w:pPr>
      <w:r>
        <w:rPr>
          <w:rStyle w:val="CommentReference"/>
        </w:rPr>
        <w:annotationRef/>
      </w:r>
      <w:r>
        <w:t>Update these dates for the most recent.</w:t>
      </w:r>
    </w:p>
  </w:comment>
  <w:comment w:id="23" w:author="Kristin Hall" w:date="2013-03-25T15:14:00Z" w:initials="KPH">
    <w:p w:rsidR="00A619C1" w:rsidRDefault="00A619C1">
      <w:pPr>
        <w:pStyle w:val="CommentText"/>
      </w:pPr>
      <w:r>
        <w:rPr>
          <w:rStyle w:val="CommentReference"/>
        </w:rPr>
        <w:annotationRef/>
      </w:r>
      <w:r>
        <w:t>Pollutant-specific</w:t>
      </w:r>
    </w:p>
  </w:comment>
  <w:comment w:id="24" w:author="Kristin Hall" w:date="2013-03-25T15:14:00Z" w:initials="KPH">
    <w:p w:rsidR="00A619C1" w:rsidRDefault="00A619C1">
      <w:pPr>
        <w:pStyle w:val="CommentText"/>
      </w:pPr>
      <w:r>
        <w:rPr>
          <w:rStyle w:val="CommentReference"/>
        </w:rPr>
        <w:annotationRef/>
      </w:r>
      <w:r>
        <w:t>Pollutant-specific for ozone, PM2.5, PM10, and CO</w:t>
      </w:r>
    </w:p>
  </w:comment>
  <w:comment w:id="25" w:author="Kristin Hall" w:date="2013-03-27T11:12:00Z" w:initials="KPH">
    <w:p w:rsidR="00A93C25" w:rsidRDefault="00A93C25">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26" w:author="Kristin Hall" w:date="2013-03-27T11:13:00Z" w:initials="KPH">
    <w:p w:rsidR="00A93C25" w:rsidRDefault="00A93C25">
      <w:pPr>
        <w:pStyle w:val="CommentText"/>
      </w:pPr>
      <w:r>
        <w:rPr>
          <w:rStyle w:val="CommentReference"/>
        </w:rPr>
        <w:annotationRef/>
      </w:r>
      <w:r>
        <w:t xml:space="preserve">Should only reference PSD – </w:t>
      </w:r>
      <w:r w:rsidRPr="00742119">
        <w:rPr>
          <w:highlight w:val="yellow"/>
        </w:rPr>
        <w:t>not nonattainment NSR.</w:t>
      </w:r>
    </w:p>
  </w:comment>
  <w:comment w:id="27" w:author="Kristin Hall" w:date="2013-03-27T11:14:00Z" w:initials="KPH">
    <w:p w:rsidR="00EE46C1" w:rsidRDefault="00EE46C1"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w:t>
      </w:r>
      <w:proofErr w:type="spellStart"/>
      <w:r w:rsidRPr="00742119">
        <w:rPr>
          <w:color w:val="000000"/>
          <w:sz w:val="20"/>
          <w:szCs w:val="20"/>
          <w:highlight w:val="yellow"/>
        </w:rPr>
        <w:t>i</w:t>
      </w:r>
      <w:proofErr w:type="spellEnd"/>
      <w:r w:rsidRPr="00742119">
        <w:rPr>
          <w:color w:val="000000"/>
          <w:sz w:val="20"/>
          <w:szCs w:val="20"/>
          <w:highlight w:val="yellow"/>
        </w:rPr>
        <w:t>)(I) at this time.  So – do not include this sub-element in your infrastructure SIP draft at this time.</w:t>
      </w:r>
      <w:r>
        <w:rPr>
          <w:color w:val="000000"/>
          <w:sz w:val="20"/>
          <w:szCs w:val="20"/>
        </w:rPr>
        <w:t xml:space="preserve"> The finding of failure to submit for 2008 </w:t>
      </w:r>
      <w:proofErr w:type="spellStart"/>
      <w:r>
        <w:rPr>
          <w:color w:val="000000"/>
          <w:sz w:val="20"/>
          <w:szCs w:val="20"/>
        </w:rPr>
        <w:t>Pb</w:t>
      </w:r>
      <w:proofErr w:type="spellEnd"/>
      <w:r>
        <w:rPr>
          <w:color w:val="000000"/>
          <w:sz w:val="20"/>
          <w:szCs w:val="20"/>
        </w:rPr>
        <w:t xml:space="preserve"> NAAQS for Oregon did not include 110(a</w:t>
      </w:r>
      <w:proofErr w:type="gramStart"/>
      <w:r>
        <w:rPr>
          <w:color w:val="000000"/>
          <w:sz w:val="20"/>
          <w:szCs w:val="20"/>
        </w:rPr>
        <w:t>)(</w:t>
      </w:r>
      <w:proofErr w:type="gramEnd"/>
      <w:r>
        <w:rPr>
          <w:color w:val="000000"/>
          <w:sz w:val="20"/>
          <w:szCs w:val="20"/>
        </w:rPr>
        <w:t>2)(D)(</w:t>
      </w:r>
      <w:proofErr w:type="spellStart"/>
      <w:r>
        <w:rPr>
          <w:color w:val="000000"/>
          <w:sz w:val="20"/>
          <w:szCs w:val="20"/>
        </w:rPr>
        <w:t>i</w:t>
      </w:r>
      <w:proofErr w:type="spellEnd"/>
      <w:r>
        <w:rPr>
          <w:color w:val="000000"/>
          <w:sz w:val="20"/>
          <w:szCs w:val="20"/>
        </w:rPr>
        <w:t xml:space="preserve">)(I).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w:t>
      </w:r>
      <w:proofErr w:type="spellStart"/>
      <w:r w:rsidRPr="00742119">
        <w:rPr>
          <w:color w:val="000000"/>
          <w:sz w:val="20"/>
          <w:szCs w:val="20"/>
          <w:highlight w:val="yellow"/>
        </w:rPr>
        <w:t>i</w:t>
      </w:r>
      <w:proofErr w:type="spellEnd"/>
      <w:r w:rsidRPr="00742119">
        <w:rPr>
          <w:color w:val="000000"/>
          <w:sz w:val="20"/>
          <w:szCs w:val="20"/>
          <w:highlight w:val="yellow"/>
        </w:rPr>
        <w:t>)(I) for NO2 or SO2 at this time – because EPA has not yet quantified any state’s obligation, per the court decision.</w:t>
      </w:r>
    </w:p>
    <w:p w:rsidR="00EE46C1" w:rsidRDefault="00EE46C1" w:rsidP="00EE46C1">
      <w:pPr>
        <w:rPr>
          <w:color w:val="000000"/>
          <w:sz w:val="20"/>
          <w:szCs w:val="20"/>
        </w:rPr>
      </w:pPr>
    </w:p>
    <w:p w:rsidR="00EE46C1" w:rsidRPr="00EE46C1" w:rsidRDefault="00EE46C1"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decision is reversed or otherwise modified by the Supreme Court, states are not required to submit 110(a)(2)(D)(</w:t>
      </w:r>
      <w:proofErr w:type="spellStart"/>
      <w:r>
        <w:rPr>
          <w:color w:val="000000"/>
          <w:sz w:val="20"/>
          <w:szCs w:val="20"/>
        </w:rPr>
        <w:t>i</w:t>
      </w:r>
      <w:proofErr w:type="spellEnd"/>
      <w:r>
        <w:rPr>
          <w:color w:val="000000"/>
          <w:sz w:val="20"/>
          <w:szCs w:val="20"/>
        </w:rPr>
        <w:t xml:space="preserve">)(I)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2)(D)(</w:t>
      </w:r>
      <w:proofErr w:type="spellStart"/>
      <w:r w:rsidRPr="00742119">
        <w:rPr>
          <w:b/>
          <w:color w:val="000000"/>
          <w:sz w:val="20"/>
          <w:szCs w:val="20"/>
          <w:highlight w:val="yellow"/>
        </w:rPr>
        <w:t>i</w:t>
      </w:r>
      <w:proofErr w:type="spellEnd"/>
      <w:r w:rsidRPr="00742119">
        <w:rPr>
          <w:b/>
          <w:color w:val="000000"/>
          <w:sz w:val="20"/>
          <w:szCs w:val="20"/>
          <w:highlight w:val="yellow"/>
        </w:rPr>
        <w:t xml:space="preserve">)(II)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28" w:author="Kristin Hall" w:date="2013-03-26T13:45:00Z" w:initials="KPH">
    <w:p w:rsidR="00AB1762" w:rsidRDefault="00AB1762">
      <w:pPr>
        <w:pStyle w:val="CommentText"/>
      </w:pPr>
      <w:r>
        <w:rPr>
          <w:rStyle w:val="CommentReference"/>
        </w:rPr>
        <w:annotationRef/>
      </w:r>
      <w:r>
        <w:t xml:space="preserve">This section is not affected by the Homer City decision. </w:t>
      </w:r>
      <w:r w:rsidR="00EE46C1">
        <w:t>So you should submit for this section.</w:t>
      </w:r>
    </w:p>
  </w:comment>
  <w:comment w:id="29" w:author="Kristin Hall" w:date="2013-03-26T12:55:00Z" w:initials="KPH">
    <w:p w:rsidR="00AB1762" w:rsidRDefault="00AB1762">
      <w:pPr>
        <w:pStyle w:val="CommentText"/>
      </w:pPr>
      <w:r>
        <w:rPr>
          <w:rStyle w:val="CommentReference"/>
        </w:rPr>
        <w:annotationRef/>
      </w:r>
      <w:r>
        <w:t>This section is not affected by the Homer City decision.</w:t>
      </w:r>
    </w:p>
  </w:comment>
  <w:comment w:id="30" w:author="ccapp" w:date="2013-03-27T11:18:00Z" w:initials="cc">
    <w:p w:rsidR="00742119" w:rsidRDefault="00742119">
      <w:pPr>
        <w:pStyle w:val="CommentText"/>
      </w:pPr>
      <w:r>
        <w:rPr>
          <w:rStyle w:val="CommentReference"/>
        </w:rPr>
        <w:annotationRef/>
      </w:r>
      <w:r>
        <w:t>Reference to LRAPA needed?</w:t>
      </w:r>
    </w:p>
  </w:comment>
  <w:comment w:id="31" w:author="Kristin Hall" w:date="2013-03-26T13:05:00Z" w:initials="KPH">
    <w:p w:rsidR="007B2C6B" w:rsidRDefault="007B2C6B">
      <w:pPr>
        <w:pStyle w:val="CommentText"/>
      </w:pPr>
      <w:r>
        <w:rPr>
          <w:rStyle w:val="CommentReference"/>
        </w:rPr>
        <w:annotationRef/>
      </w:r>
      <w:r w:rsidR="00B63AFE">
        <w:t>Pollutant-specific PM and SO2</w:t>
      </w:r>
    </w:p>
  </w:comment>
  <w:comment w:id="32" w:author="Kristin Hall" w:date="2013-03-26T13:05:00Z" w:initials="KPH">
    <w:p w:rsidR="007B2C6B" w:rsidRDefault="007B2C6B">
      <w:pPr>
        <w:pStyle w:val="CommentText"/>
      </w:pPr>
      <w:r>
        <w:rPr>
          <w:rStyle w:val="CommentReference"/>
        </w:rPr>
        <w:annotationRef/>
      </w:r>
      <w:r w:rsidR="00B63AFE">
        <w:t>Pollutant-specific PM</w:t>
      </w:r>
    </w:p>
  </w:comment>
  <w:comment w:id="33" w:author="Kristin Hall" w:date="2013-03-26T13:05:00Z" w:initials="KPH">
    <w:p w:rsidR="00B63AFE" w:rsidRDefault="00B63AFE">
      <w:pPr>
        <w:pStyle w:val="CommentText"/>
      </w:pPr>
      <w:r>
        <w:rPr>
          <w:rStyle w:val="CommentReference"/>
        </w:rPr>
        <w:annotationRef/>
      </w:r>
      <w:r>
        <w:t>Pollutant-specific PM.</w:t>
      </w:r>
    </w:p>
  </w:comment>
  <w:comment w:id="34" w:author="Kristin Hall" w:date="2013-03-25T16:17:00Z" w:initials="KPH">
    <w:p w:rsidR="005F4D21" w:rsidRDefault="005F4D21">
      <w:pPr>
        <w:pStyle w:val="CommentText"/>
      </w:pPr>
      <w:r>
        <w:rPr>
          <w:rStyle w:val="CommentReference"/>
        </w:rPr>
        <w:annotationRef/>
      </w:r>
      <w:r>
        <w:t>Pollutant-specific</w:t>
      </w:r>
    </w:p>
  </w:comment>
  <w:comment w:id="35" w:author="Kristin Hall" w:date="2013-03-26T13:39:00Z" w:initials="KPH">
    <w:p w:rsidR="00EE46C1" w:rsidRDefault="00EE46C1"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EE46C1" w:rsidRDefault="00EE46C1">
      <w:pPr>
        <w:pStyle w:val="CommentText"/>
      </w:pPr>
    </w:p>
  </w:comment>
  <w:comment w:id="36" w:author="Kristin Hall" w:date="2013-03-26T13:51:00Z" w:initials="KPH">
    <w:p w:rsidR="00E16600" w:rsidRDefault="00E16600">
      <w:pPr>
        <w:pStyle w:val="CommentText"/>
      </w:pPr>
      <w:r>
        <w:rPr>
          <w:rStyle w:val="CommentReference"/>
        </w:rPr>
        <w:annotationRef/>
      </w:r>
      <w:r>
        <w:t>Remove – not part of an infrastructure SIP</w:t>
      </w:r>
      <w:r w:rsidR="00B63AFE">
        <w:t>.  You do not need to address the visibility portion of this element in your submittal.</w:t>
      </w:r>
      <w:r w:rsidR="00192CEF">
        <w:t xml:space="preserve"> (But you do need to address the interstate transport visibility sub-element at 110(a</w:t>
      </w:r>
      <w:proofErr w:type="gramStart"/>
      <w:r w:rsidR="00192CEF">
        <w:t>)(</w:t>
      </w:r>
      <w:proofErr w:type="gramEnd"/>
      <w:r w:rsidR="00192CEF">
        <w:t>2)(D)(</w:t>
      </w:r>
      <w:proofErr w:type="spellStart"/>
      <w:r w:rsidR="00192CEF">
        <w:t>i</w:t>
      </w:r>
      <w:proofErr w:type="spellEnd"/>
      <w:r w:rsidR="00192CEF">
        <w:t>)(II).)</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670939"/>
    <w:rsid w:val="000004DC"/>
    <w:rsid w:val="00000BC1"/>
    <w:rsid w:val="0000516C"/>
    <w:rsid w:val="000061B0"/>
    <w:rsid w:val="00006260"/>
    <w:rsid w:val="00006B8C"/>
    <w:rsid w:val="00006F27"/>
    <w:rsid w:val="00010C28"/>
    <w:rsid w:val="00010EC2"/>
    <w:rsid w:val="000112A6"/>
    <w:rsid w:val="00011D1F"/>
    <w:rsid w:val="00012137"/>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B7C"/>
    <w:rsid w:val="00033D29"/>
    <w:rsid w:val="00034673"/>
    <w:rsid w:val="000346FF"/>
    <w:rsid w:val="000357DC"/>
    <w:rsid w:val="0003627C"/>
    <w:rsid w:val="00036967"/>
    <w:rsid w:val="00037066"/>
    <w:rsid w:val="00037D41"/>
    <w:rsid w:val="00037FFB"/>
    <w:rsid w:val="000409EE"/>
    <w:rsid w:val="000451E8"/>
    <w:rsid w:val="0004634B"/>
    <w:rsid w:val="00046C69"/>
    <w:rsid w:val="000472F3"/>
    <w:rsid w:val="00047C96"/>
    <w:rsid w:val="00047E62"/>
    <w:rsid w:val="00051AE7"/>
    <w:rsid w:val="00051BCA"/>
    <w:rsid w:val="00051D39"/>
    <w:rsid w:val="0005432E"/>
    <w:rsid w:val="000543D4"/>
    <w:rsid w:val="000573D2"/>
    <w:rsid w:val="00057A6C"/>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7647"/>
    <w:rsid w:val="000B1E9C"/>
    <w:rsid w:val="000B30F3"/>
    <w:rsid w:val="000B311B"/>
    <w:rsid w:val="000B3AF5"/>
    <w:rsid w:val="000B3B46"/>
    <w:rsid w:val="000B4123"/>
    <w:rsid w:val="000B4590"/>
    <w:rsid w:val="000B4925"/>
    <w:rsid w:val="000B74D7"/>
    <w:rsid w:val="000C0839"/>
    <w:rsid w:val="000C39E1"/>
    <w:rsid w:val="000C4A21"/>
    <w:rsid w:val="000C6325"/>
    <w:rsid w:val="000C6E52"/>
    <w:rsid w:val="000C7D28"/>
    <w:rsid w:val="000C7FC0"/>
    <w:rsid w:val="000D09B7"/>
    <w:rsid w:val="000D103B"/>
    <w:rsid w:val="000D2818"/>
    <w:rsid w:val="000D337D"/>
    <w:rsid w:val="000D3427"/>
    <w:rsid w:val="000D4F02"/>
    <w:rsid w:val="000D68AC"/>
    <w:rsid w:val="000D6986"/>
    <w:rsid w:val="000D7DEF"/>
    <w:rsid w:val="000E01D6"/>
    <w:rsid w:val="000E14A2"/>
    <w:rsid w:val="000E2CEB"/>
    <w:rsid w:val="000E3A9A"/>
    <w:rsid w:val="000E47B3"/>
    <w:rsid w:val="000E6E29"/>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24BD"/>
    <w:rsid w:val="00132557"/>
    <w:rsid w:val="001329FB"/>
    <w:rsid w:val="001332E0"/>
    <w:rsid w:val="00133585"/>
    <w:rsid w:val="0013527F"/>
    <w:rsid w:val="00135D31"/>
    <w:rsid w:val="0013608F"/>
    <w:rsid w:val="00140A78"/>
    <w:rsid w:val="00140D1B"/>
    <w:rsid w:val="001417E3"/>
    <w:rsid w:val="0014239F"/>
    <w:rsid w:val="00142694"/>
    <w:rsid w:val="001426D9"/>
    <w:rsid w:val="00142CB6"/>
    <w:rsid w:val="00144418"/>
    <w:rsid w:val="00144CA9"/>
    <w:rsid w:val="001454D2"/>
    <w:rsid w:val="001461C5"/>
    <w:rsid w:val="00146F8E"/>
    <w:rsid w:val="00150B79"/>
    <w:rsid w:val="00151DBF"/>
    <w:rsid w:val="0015358C"/>
    <w:rsid w:val="00154984"/>
    <w:rsid w:val="001564AE"/>
    <w:rsid w:val="001573C1"/>
    <w:rsid w:val="00161A59"/>
    <w:rsid w:val="0016226E"/>
    <w:rsid w:val="00162371"/>
    <w:rsid w:val="001648EC"/>
    <w:rsid w:val="001655B7"/>
    <w:rsid w:val="00166962"/>
    <w:rsid w:val="0016779A"/>
    <w:rsid w:val="001716EC"/>
    <w:rsid w:val="0017387C"/>
    <w:rsid w:val="001752B1"/>
    <w:rsid w:val="0017667B"/>
    <w:rsid w:val="00176B21"/>
    <w:rsid w:val="00177A38"/>
    <w:rsid w:val="00177A7C"/>
    <w:rsid w:val="001808B1"/>
    <w:rsid w:val="001811B9"/>
    <w:rsid w:val="0018180E"/>
    <w:rsid w:val="00183E1C"/>
    <w:rsid w:val="00184D70"/>
    <w:rsid w:val="00185872"/>
    <w:rsid w:val="0018592B"/>
    <w:rsid w:val="00185F38"/>
    <w:rsid w:val="00186CCE"/>
    <w:rsid w:val="00187F7F"/>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68C"/>
    <w:rsid w:val="001A65F4"/>
    <w:rsid w:val="001A6A0C"/>
    <w:rsid w:val="001B124A"/>
    <w:rsid w:val="001B197C"/>
    <w:rsid w:val="001B2C16"/>
    <w:rsid w:val="001B40D2"/>
    <w:rsid w:val="001B43F7"/>
    <w:rsid w:val="001B4CB4"/>
    <w:rsid w:val="001B4E8C"/>
    <w:rsid w:val="001C0754"/>
    <w:rsid w:val="001C1381"/>
    <w:rsid w:val="001C4830"/>
    <w:rsid w:val="001C5FB7"/>
    <w:rsid w:val="001C674D"/>
    <w:rsid w:val="001C68E9"/>
    <w:rsid w:val="001D3BED"/>
    <w:rsid w:val="001D435A"/>
    <w:rsid w:val="001D526E"/>
    <w:rsid w:val="001D5360"/>
    <w:rsid w:val="001D694E"/>
    <w:rsid w:val="001D6A46"/>
    <w:rsid w:val="001D6B73"/>
    <w:rsid w:val="001D7047"/>
    <w:rsid w:val="001D79AE"/>
    <w:rsid w:val="001E1C3C"/>
    <w:rsid w:val="001E2444"/>
    <w:rsid w:val="001E2859"/>
    <w:rsid w:val="001E35B8"/>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7CAA"/>
    <w:rsid w:val="00221567"/>
    <w:rsid w:val="002215B8"/>
    <w:rsid w:val="00221AE6"/>
    <w:rsid w:val="00222D22"/>
    <w:rsid w:val="00223422"/>
    <w:rsid w:val="00223EB4"/>
    <w:rsid w:val="002243F2"/>
    <w:rsid w:val="00224FF0"/>
    <w:rsid w:val="00225406"/>
    <w:rsid w:val="00225443"/>
    <w:rsid w:val="002271E2"/>
    <w:rsid w:val="002277F8"/>
    <w:rsid w:val="002279AB"/>
    <w:rsid w:val="00230604"/>
    <w:rsid w:val="00230B52"/>
    <w:rsid w:val="0023215D"/>
    <w:rsid w:val="00234929"/>
    <w:rsid w:val="00236C97"/>
    <w:rsid w:val="00240516"/>
    <w:rsid w:val="00240784"/>
    <w:rsid w:val="00240F0E"/>
    <w:rsid w:val="00241498"/>
    <w:rsid w:val="0024175E"/>
    <w:rsid w:val="0024225F"/>
    <w:rsid w:val="002429E9"/>
    <w:rsid w:val="002431D4"/>
    <w:rsid w:val="00243AD2"/>
    <w:rsid w:val="00245775"/>
    <w:rsid w:val="002460C6"/>
    <w:rsid w:val="00246CC0"/>
    <w:rsid w:val="00250256"/>
    <w:rsid w:val="002503FE"/>
    <w:rsid w:val="00250A3E"/>
    <w:rsid w:val="00250E5F"/>
    <w:rsid w:val="002522FD"/>
    <w:rsid w:val="002523E4"/>
    <w:rsid w:val="002530F6"/>
    <w:rsid w:val="00254BBF"/>
    <w:rsid w:val="0025545D"/>
    <w:rsid w:val="002555DF"/>
    <w:rsid w:val="002559EF"/>
    <w:rsid w:val="0026096E"/>
    <w:rsid w:val="002636F9"/>
    <w:rsid w:val="002646F6"/>
    <w:rsid w:val="00264AB4"/>
    <w:rsid w:val="00267A3F"/>
    <w:rsid w:val="002745C7"/>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53CA"/>
    <w:rsid w:val="002B5501"/>
    <w:rsid w:val="002C0B9F"/>
    <w:rsid w:val="002C0C07"/>
    <w:rsid w:val="002C1AEE"/>
    <w:rsid w:val="002C207B"/>
    <w:rsid w:val="002C3762"/>
    <w:rsid w:val="002C4804"/>
    <w:rsid w:val="002C66AD"/>
    <w:rsid w:val="002C692F"/>
    <w:rsid w:val="002C6DC6"/>
    <w:rsid w:val="002D16B8"/>
    <w:rsid w:val="002D33EA"/>
    <w:rsid w:val="002D41EE"/>
    <w:rsid w:val="002D46D5"/>
    <w:rsid w:val="002D536A"/>
    <w:rsid w:val="002D5566"/>
    <w:rsid w:val="002D79B3"/>
    <w:rsid w:val="002D7BA1"/>
    <w:rsid w:val="002E2C2E"/>
    <w:rsid w:val="002E458C"/>
    <w:rsid w:val="002E46AF"/>
    <w:rsid w:val="002E48FD"/>
    <w:rsid w:val="002E4DF2"/>
    <w:rsid w:val="002E681B"/>
    <w:rsid w:val="002E7F6C"/>
    <w:rsid w:val="002F048F"/>
    <w:rsid w:val="002F07CC"/>
    <w:rsid w:val="002F12FD"/>
    <w:rsid w:val="002F4763"/>
    <w:rsid w:val="002F4A22"/>
    <w:rsid w:val="002F5D3F"/>
    <w:rsid w:val="002F74E0"/>
    <w:rsid w:val="00302338"/>
    <w:rsid w:val="003034BD"/>
    <w:rsid w:val="003043FC"/>
    <w:rsid w:val="0030775B"/>
    <w:rsid w:val="00307DB7"/>
    <w:rsid w:val="003111CE"/>
    <w:rsid w:val="003121D6"/>
    <w:rsid w:val="0031267A"/>
    <w:rsid w:val="00313209"/>
    <w:rsid w:val="00316AD5"/>
    <w:rsid w:val="00316CC1"/>
    <w:rsid w:val="003210A7"/>
    <w:rsid w:val="00322207"/>
    <w:rsid w:val="0032333A"/>
    <w:rsid w:val="00323F05"/>
    <w:rsid w:val="00326176"/>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7265"/>
    <w:rsid w:val="00350795"/>
    <w:rsid w:val="003518F9"/>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532D"/>
    <w:rsid w:val="00395D58"/>
    <w:rsid w:val="00396892"/>
    <w:rsid w:val="003A0DE2"/>
    <w:rsid w:val="003A3996"/>
    <w:rsid w:val="003A4D24"/>
    <w:rsid w:val="003A5003"/>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C6D"/>
    <w:rsid w:val="00400CD6"/>
    <w:rsid w:val="004018F8"/>
    <w:rsid w:val="004029ED"/>
    <w:rsid w:val="00403446"/>
    <w:rsid w:val="0040429B"/>
    <w:rsid w:val="00404E45"/>
    <w:rsid w:val="00405938"/>
    <w:rsid w:val="00410C4F"/>
    <w:rsid w:val="00414DD8"/>
    <w:rsid w:val="00416415"/>
    <w:rsid w:val="00416451"/>
    <w:rsid w:val="004176C3"/>
    <w:rsid w:val="00417C42"/>
    <w:rsid w:val="00421EE3"/>
    <w:rsid w:val="00422390"/>
    <w:rsid w:val="0042494A"/>
    <w:rsid w:val="004259A2"/>
    <w:rsid w:val="00426AAA"/>
    <w:rsid w:val="00427D1D"/>
    <w:rsid w:val="00427F97"/>
    <w:rsid w:val="0043126B"/>
    <w:rsid w:val="00432190"/>
    <w:rsid w:val="00432191"/>
    <w:rsid w:val="00432B25"/>
    <w:rsid w:val="004340D2"/>
    <w:rsid w:val="0043453E"/>
    <w:rsid w:val="004370BB"/>
    <w:rsid w:val="00437655"/>
    <w:rsid w:val="00437EE6"/>
    <w:rsid w:val="00440FE7"/>
    <w:rsid w:val="00441EEA"/>
    <w:rsid w:val="00444D33"/>
    <w:rsid w:val="00444F3F"/>
    <w:rsid w:val="00445D8B"/>
    <w:rsid w:val="004460F9"/>
    <w:rsid w:val="00446962"/>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902DE"/>
    <w:rsid w:val="004912B5"/>
    <w:rsid w:val="00491411"/>
    <w:rsid w:val="00491449"/>
    <w:rsid w:val="00491594"/>
    <w:rsid w:val="00491BD1"/>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2AAD"/>
    <w:rsid w:val="004B3774"/>
    <w:rsid w:val="004B6D15"/>
    <w:rsid w:val="004B7891"/>
    <w:rsid w:val="004C384D"/>
    <w:rsid w:val="004C6DB2"/>
    <w:rsid w:val="004C75C3"/>
    <w:rsid w:val="004D0A92"/>
    <w:rsid w:val="004D1342"/>
    <w:rsid w:val="004D1E84"/>
    <w:rsid w:val="004D30DD"/>
    <w:rsid w:val="004D40E5"/>
    <w:rsid w:val="004D40F8"/>
    <w:rsid w:val="004D58FC"/>
    <w:rsid w:val="004D693E"/>
    <w:rsid w:val="004E074B"/>
    <w:rsid w:val="004E0C01"/>
    <w:rsid w:val="004E2530"/>
    <w:rsid w:val="004E266A"/>
    <w:rsid w:val="004E2F71"/>
    <w:rsid w:val="004E35E8"/>
    <w:rsid w:val="004E46AF"/>
    <w:rsid w:val="004E634F"/>
    <w:rsid w:val="004E7113"/>
    <w:rsid w:val="004E7291"/>
    <w:rsid w:val="004E7A4B"/>
    <w:rsid w:val="004F0B02"/>
    <w:rsid w:val="004F0FEC"/>
    <w:rsid w:val="004F128D"/>
    <w:rsid w:val="004F20A2"/>
    <w:rsid w:val="004F265F"/>
    <w:rsid w:val="004F2D0C"/>
    <w:rsid w:val="004F31AE"/>
    <w:rsid w:val="004F3AEA"/>
    <w:rsid w:val="004F5319"/>
    <w:rsid w:val="004F5B06"/>
    <w:rsid w:val="00500EBC"/>
    <w:rsid w:val="0050176B"/>
    <w:rsid w:val="00501AB5"/>
    <w:rsid w:val="00502E57"/>
    <w:rsid w:val="00504C8F"/>
    <w:rsid w:val="005063EA"/>
    <w:rsid w:val="005109F1"/>
    <w:rsid w:val="00510E6F"/>
    <w:rsid w:val="00512678"/>
    <w:rsid w:val="005134C5"/>
    <w:rsid w:val="00516394"/>
    <w:rsid w:val="005174CB"/>
    <w:rsid w:val="00523597"/>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6BF4"/>
    <w:rsid w:val="00547CC1"/>
    <w:rsid w:val="005500F0"/>
    <w:rsid w:val="005503E2"/>
    <w:rsid w:val="005535B4"/>
    <w:rsid w:val="005560AB"/>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23CD"/>
    <w:rsid w:val="00592934"/>
    <w:rsid w:val="0059360B"/>
    <w:rsid w:val="0059360E"/>
    <w:rsid w:val="005971D8"/>
    <w:rsid w:val="00597CBD"/>
    <w:rsid w:val="005A05ED"/>
    <w:rsid w:val="005A1CD2"/>
    <w:rsid w:val="005A2C8C"/>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F0A71"/>
    <w:rsid w:val="005F17F2"/>
    <w:rsid w:val="005F1856"/>
    <w:rsid w:val="005F1BA1"/>
    <w:rsid w:val="005F1F5B"/>
    <w:rsid w:val="005F2614"/>
    <w:rsid w:val="005F283E"/>
    <w:rsid w:val="005F365D"/>
    <w:rsid w:val="005F4D21"/>
    <w:rsid w:val="005F4F9D"/>
    <w:rsid w:val="005F5873"/>
    <w:rsid w:val="005F724B"/>
    <w:rsid w:val="005F7A3B"/>
    <w:rsid w:val="00600C90"/>
    <w:rsid w:val="00601C99"/>
    <w:rsid w:val="00602CD0"/>
    <w:rsid w:val="00603075"/>
    <w:rsid w:val="00603A2C"/>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1B26"/>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58AC"/>
    <w:rsid w:val="00655A49"/>
    <w:rsid w:val="00655C2E"/>
    <w:rsid w:val="00656591"/>
    <w:rsid w:val="00656CF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37D"/>
    <w:rsid w:val="0069096D"/>
    <w:rsid w:val="00692790"/>
    <w:rsid w:val="00692CE2"/>
    <w:rsid w:val="00693FE1"/>
    <w:rsid w:val="00694915"/>
    <w:rsid w:val="006949A8"/>
    <w:rsid w:val="00695329"/>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81C"/>
    <w:rsid w:val="006C4777"/>
    <w:rsid w:val="006C4FAD"/>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A91"/>
    <w:rsid w:val="006D7EA0"/>
    <w:rsid w:val="006E048E"/>
    <w:rsid w:val="006E15F1"/>
    <w:rsid w:val="006E699C"/>
    <w:rsid w:val="006E71E7"/>
    <w:rsid w:val="006F0236"/>
    <w:rsid w:val="006F0F80"/>
    <w:rsid w:val="006F185A"/>
    <w:rsid w:val="006F1A9E"/>
    <w:rsid w:val="006F31B1"/>
    <w:rsid w:val="006F3252"/>
    <w:rsid w:val="006F4149"/>
    <w:rsid w:val="006F41B7"/>
    <w:rsid w:val="00700336"/>
    <w:rsid w:val="00700E9E"/>
    <w:rsid w:val="00702C04"/>
    <w:rsid w:val="00703CEF"/>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3363"/>
    <w:rsid w:val="00733643"/>
    <w:rsid w:val="007337B6"/>
    <w:rsid w:val="007338A2"/>
    <w:rsid w:val="00733BCE"/>
    <w:rsid w:val="00733DDB"/>
    <w:rsid w:val="0073618C"/>
    <w:rsid w:val="0073672C"/>
    <w:rsid w:val="00736D54"/>
    <w:rsid w:val="00736FEB"/>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93B"/>
    <w:rsid w:val="007737F3"/>
    <w:rsid w:val="007744A6"/>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C6B"/>
    <w:rsid w:val="007B3488"/>
    <w:rsid w:val="007B3C6F"/>
    <w:rsid w:val="007B5935"/>
    <w:rsid w:val="007C054A"/>
    <w:rsid w:val="007C0711"/>
    <w:rsid w:val="007C3272"/>
    <w:rsid w:val="007C3D12"/>
    <w:rsid w:val="007C48A4"/>
    <w:rsid w:val="007C59CF"/>
    <w:rsid w:val="007D0214"/>
    <w:rsid w:val="007D210E"/>
    <w:rsid w:val="007D2501"/>
    <w:rsid w:val="007D2BB5"/>
    <w:rsid w:val="007D49A3"/>
    <w:rsid w:val="007D5B0C"/>
    <w:rsid w:val="007D5FAF"/>
    <w:rsid w:val="007D6B0C"/>
    <w:rsid w:val="007E1388"/>
    <w:rsid w:val="007E21ED"/>
    <w:rsid w:val="007E2389"/>
    <w:rsid w:val="007E4073"/>
    <w:rsid w:val="007E4FE8"/>
    <w:rsid w:val="007E5AC1"/>
    <w:rsid w:val="007F2A18"/>
    <w:rsid w:val="007F31A1"/>
    <w:rsid w:val="007F3255"/>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7684"/>
    <w:rsid w:val="00851E10"/>
    <w:rsid w:val="00852148"/>
    <w:rsid w:val="00852346"/>
    <w:rsid w:val="00852DD4"/>
    <w:rsid w:val="00854F04"/>
    <w:rsid w:val="00855DA7"/>
    <w:rsid w:val="00855F9C"/>
    <w:rsid w:val="00860103"/>
    <w:rsid w:val="008626C5"/>
    <w:rsid w:val="0086370B"/>
    <w:rsid w:val="0086402C"/>
    <w:rsid w:val="0086449A"/>
    <w:rsid w:val="00865C29"/>
    <w:rsid w:val="00867223"/>
    <w:rsid w:val="0086766C"/>
    <w:rsid w:val="008709A6"/>
    <w:rsid w:val="00871499"/>
    <w:rsid w:val="00871939"/>
    <w:rsid w:val="00871E78"/>
    <w:rsid w:val="00872B36"/>
    <w:rsid w:val="008730C2"/>
    <w:rsid w:val="00874272"/>
    <w:rsid w:val="0087442F"/>
    <w:rsid w:val="0087484F"/>
    <w:rsid w:val="00877C07"/>
    <w:rsid w:val="00881DE7"/>
    <w:rsid w:val="008826D3"/>
    <w:rsid w:val="00883539"/>
    <w:rsid w:val="0088356E"/>
    <w:rsid w:val="008852B0"/>
    <w:rsid w:val="008871A5"/>
    <w:rsid w:val="0088796B"/>
    <w:rsid w:val="00890B25"/>
    <w:rsid w:val="008923EB"/>
    <w:rsid w:val="00892D6B"/>
    <w:rsid w:val="008954B3"/>
    <w:rsid w:val="008955DD"/>
    <w:rsid w:val="00896725"/>
    <w:rsid w:val="0089708A"/>
    <w:rsid w:val="00897BED"/>
    <w:rsid w:val="008A1D65"/>
    <w:rsid w:val="008B01FC"/>
    <w:rsid w:val="008B0DDB"/>
    <w:rsid w:val="008B46A0"/>
    <w:rsid w:val="008B4FFA"/>
    <w:rsid w:val="008B54CA"/>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73B2"/>
    <w:rsid w:val="008D7880"/>
    <w:rsid w:val="008D7FE8"/>
    <w:rsid w:val="008E0BB4"/>
    <w:rsid w:val="008E31AA"/>
    <w:rsid w:val="008E3CBC"/>
    <w:rsid w:val="008E3F5F"/>
    <w:rsid w:val="008E45AB"/>
    <w:rsid w:val="008E5383"/>
    <w:rsid w:val="008E6CB0"/>
    <w:rsid w:val="008E75D5"/>
    <w:rsid w:val="008F0CB9"/>
    <w:rsid w:val="008F150A"/>
    <w:rsid w:val="008F16B3"/>
    <w:rsid w:val="008F354A"/>
    <w:rsid w:val="008F3F43"/>
    <w:rsid w:val="008F5581"/>
    <w:rsid w:val="008F57B9"/>
    <w:rsid w:val="008F58BA"/>
    <w:rsid w:val="008F6C0C"/>
    <w:rsid w:val="008F74C7"/>
    <w:rsid w:val="008F7F75"/>
    <w:rsid w:val="00900E9A"/>
    <w:rsid w:val="00901127"/>
    <w:rsid w:val="009036B0"/>
    <w:rsid w:val="009056BF"/>
    <w:rsid w:val="00905D09"/>
    <w:rsid w:val="0090619C"/>
    <w:rsid w:val="00910D8C"/>
    <w:rsid w:val="00912761"/>
    <w:rsid w:val="0091444F"/>
    <w:rsid w:val="00914E92"/>
    <w:rsid w:val="00915103"/>
    <w:rsid w:val="009156E8"/>
    <w:rsid w:val="00920C09"/>
    <w:rsid w:val="00921F24"/>
    <w:rsid w:val="00923111"/>
    <w:rsid w:val="00924834"/>
    <w:rsid w:val="00924FDD"/>
    <w:rsid w:val="00925A64"/>
    <w:rsid w:val="00925C9D"/>
    <w:rsid w:val="00925E87"/>
    <w:rsid w:val="00930E4A"/>
    <w:rsid w:val="00930EFF"/>
    <w:rsid w:val="009318D7"/>
    <w:rsid w:val="00931CF5"/>
    <w:rsid w:val="0093366C"/>
    <w:rsid w:val="0093409C"/>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44D6"/>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D0DFE"/>
    <w:rsid w:val="009D0F4F"/>
    <w:rsid w:val="009D1475"/>
    <w:rsid w:val="009D28C3"/>
    <w:rsid w:val="009D3006"/>
    <w:rsid w:val="009D3864"/>
    <w:rsid w:val="009D4061"/>
    <w:rsid w:val="009D4D84"/>
    <w:rsid w:val="009D591A"/>
    <w:rsid w:val="009D621F"/>
    <w:rsid w:val="009D6DD8"/>
    <w:rsid w:val="009D775D"/>
    <w:rsid w:val="009E1AB3"/>
    <w:rsid w:val="009E1FD4"/>
    <w:rsid w:val="009E31F9"/>
    <w:rsid w:val="009E6DCC"/>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104C"/>
    <w:rsid w:val="00A01665"/>
    <w:rsid w:val="00A019BB"/>
    <w:rsid w:val="00A01ABD"/>
    <w:rsid w:val="00A0286F"/>
    <w:rsid w:val="00A0299A"/>
    <w:rsid w:val="00A03966"/>
    <w:rsid w:val="00A04D12"/>
    <w:rsid w:val="00A05DC8"/>
    <w:rsid w:val="00A05E34"/>
    <w:rsid w:val="00A07FCE"/>
    <w:rsid w:val="00A10961"/>
    <w:rsid w:val="00A119B9"/>
    <w:rsid w:val="00A12675"/>
    <w:rsid w:val="00A12D38"/>
    <w:rsid w:val="00A12F16"/>
    <w:rsid w:val="00A13A48"/>
    <w:rsid w:val="00A160E1"/>
    <w:rsid w:val="00A20E80"/>
    <w:rsid w:val="00A21C4A"/>
    <w:rsid w:val="00A21D57"/>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FB5"/>
    <w:rsid w:val="00A368E4"/>
    <w:rsid w:val="00A36E90"/>
    <w:rsid w:val="00A42F2A"/>
    <w:rsid w:val="00A45221"/>
    <w:rsid w:val="00A454D9"/>
    <w:rsid w:val="00A46D4F"/>
    <w:rsid w:val="00A5180F"/>
    <w:rsid w:val="00A529E0"/>
    <w:rsid w:val="00A550AF"/>
    <w:rsid w:val="00A5544B"/>
    <w:rsid w:val="00A56A2E"/>
    <w:rsid w:val="00A619C1"/>
    <w:rsid w:val="00A61FA3"/>
    <w:rsid w:val="00A62F36"/>
    <w:rsid w:val="00A632E4"/>
    <w:rsid w:val="00A632F6"/>
    <w:rsid w:val="00A63305"/>
    <w:rsid w:val="00A63E0A"/>
    <w:rsid w:val="00A63E88"/>
    <w:rsid w:val="00A64332"/>
    <w:rsid w:val="00A652B8"/>
    <w:rsid w:val="00A657F5"/>
    <w:rsid w:val="00A65940"/>
    <w:rsid w:val="00A65F45"/>
    <w:rsid w:val="00A721F9"/>
    <w:rsid w:val="00A73075"/>
    <w:rsid w:val="00A73819"/>
    <w:rsid w:val="00A74208"/>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178F"/>
    <w:rsid w:val="00AA18EE"/>
    <w:rsid w:val="00AA1FE6"/>
    <w:rsid w:val="00AA22A8"/>
    <w:rsid w:val="00AA50D7"/>
    <w:rsid w:val="00AA5953"/>
    <w:rsid w:val="00AA60CA"/>
    <w:rsid w:val="00AA7F1F"/>
    <w:rsid w:val="00AB0526"/>
    <w:rsid w:val="00AB0AEB"/>
    <w:rsid w:val="00AB1363"/>
    <w:rsid w:val="00AB170D"/>
    <w:rsid w:val="00AB1762"/>
    <w:rsid w:val="00AB1CF5"/>
    <w:rsid w:val="00AB2FAF"/>
    <w:rsid w:val="00AB4D25"/>
    <w:rsid w:val="00AB5FEC"/>
    <w:rsid w:val="00AB61F4"/>
    <w:rsid w:val="00AB6462"/>
    <w:rsid w:val="00AB685D"/>
    <w:rsid w:val="00AB6FFB"/>
    <w:rsid w:val="00AB7470"/>
    <w:rsid w:val="00AC04E6"/>
    <w:rsid w:val="00AC0BC8"/>
    <w:rsid w:val="00AC195B"/>
    <w:rsid w:val="00AC237A"/>
    <w:rsid w:val="00AC3C23"/>
    <w:rsid w:val="00AC4FFA"/>
    <w:rsid w:val="00AC562D"/>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41D8"/>
    <w:rsid w:val="00AE4EB8"/>
    <w:rsid w:val="00AE5BBA"/>
    <w:rsid w:val="00AE7387"/>
    <w:rsid w:val="00AF2386"/>
    <w:rsid w:val="00AF4D69"/>
    <w:rsid w:val="00AF5FC7"/>
    <w:rsid w:val="00AF5FF4"/>
    <w:rsid w:val="00AF6838"/>
    <w:rsid w:val="00AF6E8A"/>
    <w:rsid w:val="00B008BC"/>
    <w:rsid w:val="00B01186"/>
    <w:rsid w:val="00B0158E"/>
    <w:rsid w:val="00B019FF"/>
    <w:rsid w:val="00B04469"/>
    <w:rsid w:val="00B04B6F"/>
    <w:rsid w:val="00B04E46"/>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670F"/>
    <w:rsid w:val="00B20BC5"/>
    <w:rsid w:val="00B20C9D"/>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805BE"/>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33CC"/>
    <w:rsid w:val="00BB451A"/>
    <w:rsid w:val="00BB69B0"/>
    <w:rsid w:val="00BC0EDD"/>
    <w:rsid w:val="00BC1528"/>
    <w:rsid w:val="00BC1551"/>
    <w:rsid w:val="00BC1597"/>
    <w:rsid w:val="00BC2409"/>
    <w:rsid w:val="00BC534F"/>
    <w:rsid w:val="00BC5750"/>
    <w:rsid w:val="00BC5CE7"/>
    <w:rsid w:val="00BC64C2"/>
    <w:rsid w:val="00BC7607"/>
    <w:rsid w:val="00BC7E82"/>
    <w:rsid w:val="00BD0F0B"/>
    <w:rsid w:val="00BD1E25"/>
    <w:rsid w:val="00BD2532"/>
    <w:rsid w:val="00BD27B2"/>
    <w:rsid w:val="00BD2EFD"/>
    <w:rsid w:val="00BD42E1"/>
    <w:rsid w:val="00BD6C4F"/>
    <w:rsid w:val="00BD6C5D"/>
    <w:rsid w:val="00BD712C"/>
    <w:rsid w:val="00BD7C54"/>
    <w:rsid w:val="00BE006A"/>
    <w:rsid w:val="00BE11B8"/>
    <w:rsid w:val="00BE3C20"/>
    <w:rsid w:val="00BE4846"/>
    <w:rsid w:val="00BE4C66"/>
    <w:rsid w:val="00BF139A"/>
    <w:rsid w:val="00BF3464"/>
    <w:rsid w:val="00BF3E79"/>
    <w:rsid w:val="00BF5716"/>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31C2"/>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843"/>
    <w:rsid w:val="00C42331"/>
    <w:rsid w:val="00C4323B"/>
    <w:rsid w:val="00C44C24"/>
    <w:rsid w:val="00C458D9"/>
    <w:rsid w:val="00C47074"/>
    <w:rsid w:val="00C50A40"/>
    <w:rsid w:val="00C51881"/>
    <w:rsid w:val="00C51CD6"/>
    <w:rsid w:val="00C51E37"/>
    <w:rsid w:val="00C5276D"/>
    <w:rsid w:val="00C53BB9"/>
    <w:rsid w:val="00C548BC"/>
    <w:rsid w:val="00C54C2A"/>
    <w:rsid w:val="00C55A48"/>
    <w:rsid w:val="00C55B43"/>
    <w:rsid w:val="00C622B0"/>
    <w:rsid w:val="00C658BC"/>
    <w:rsid w:val="00C65A72"/>
    <w:rsid w:val="00C67172"/>
    <w:rsid w:val="00C67F7F"/>
    <w:rsid w:val="00C70CB5"/>
    <w:rsid w:val="00C71194"/>
    <w:rsid w:val="00C71BDB"/>
    <w:rsid w:val="00C71DDC"/>
    <w:rsid w:val="00C723BB"/>
    <w:rsid w:val="00C74172"/>
    <w:rsid w:val="00C746CC"/>
    <w:rsid w:val="00C74EAB"/>
    <w:rsid w:val="00C75DA5"/>
    <w:rsid w:val="00C76A15"/>
    <w:rsid w:val="00C76F68"/>
    <w:rsid w:val="00C8119B"/>
    <w:rsid w:val="00C812AD"/>
    <w:rsid w:val="00C81E6D"/>
    <w:rsid w:val="00C82AA2"/>
    <w:rsid w:val="00C84014"/>
    <w:rsid w:val="00C86AEE"/>
    <w:rsid w:val="00C8762F"/>
    <w:rsid w:val="00C8793E"/>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19C"/>
    <w:rsid w:val="00CC6910"/>
    <w:rsid w:val="00CC7A24"/>
    <w:rsid w:val="00CD0302"/>
    <w:rsid w:val="00CD2464"/>
    <w:rsid w:val="00CD4390"/>
    <w:rsid w:val="00CD4BDE"/>
    <w:rsid w:val="00CD4FF4"/>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7E49"/>
    <w:rsid w:val="00D80A55"/>
    <w:rsid w:val="00D836D8"/>
    <w:rsid w:val="00D837A8"/>
    <w:rsid w:val="00D8514E"/>
    <w:rsid w:val="00D8642E"/>
    <w:rsid w:val="00D9277B"/>
    <w:rsid w:val="00D94A9F"/>
    <w:rsid w:val="00D958CC"/>
    <w:rsid w:val="00D96167"/>
    <w:rsid w:val="00D97627"/>
    <w:rsid w:val="00DA039D"/>
    <w:rsid w:val="00DA18F3"/>
    <w:rsid w:val="00DA1BCC"/>
    <w:rsid w:val="00DA2E9E"/>
    <w:rsid w:val="00DA541F"/>
    <w:rsid w:val="00DA544A"/>
    <w:rsid w:val="00DA606E"/>
    <w:rsid w:val="00DA66DE"/>
    <w:rsid w:val="00DB07BF"/>
    <w:rsid w:val="00DB0E42"/>
    <w:rsid w:val="00DB1554"/>
    <w:rsid w:val="00DB289F"/>
    <w:rsid w:val="00DB32F4"/>
    <w:rsid w:val="00DB3333"/>
    <w:rsid w:val="00DB344A"/>
    <w:rsid w:val="00DB6E34"/>
    <w:rsid w:val="00DC08A9"/>
    <w:rsid w:val="00DC15D5"/>
    <w:rsid w:val="00DC3373"/>
    <w:rsid w:val="00DC404F"/>
    <w:rsid w:val="00DC5730"/>
    <w:rsid w:val="00DC7771"/>
    <w:rsid w:val="00DD3409"/>
    <w:rsid w:val="00DD4495"/>
    <w:rsid w:val="00DD466E"/>
    <w:rsid w:val="00DD6296"/>
    <w:rsid w:val="00DD6C4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9BE"/>
    <w:rsid w:val="00E121FB"/>
    <w:rsid w:val="00E12F87"/>
    <w:rsid w:val="00E13093"/>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9"/>
    <w:rsid w:val="00E331DB"/>
    <w:rsid w:val="00E33CE5"/>
    <w:rsid w:val="00E34C1A"/>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31E9"/>
    <w:rsid w:val="00E53651"/>
    <w:rsid w:val="00E545D7"/>
    <w:rsid w:val="00E609DC"/>
    <w:rsid w:val="00E612F2"/>
    <w:rsid w:val="00E62446"/>
    <w:rsid w:val="00E624E2"/>
    <w:rsid w:val="00E63E1B"/>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A2E"/>
    <w:rsid w:val="00ED2638"/>
    <w:rsid w:val="00ED2764"/>
    <w:rsid w:val="00ED332D"/>
    <w:rsid w:val="00ED3572"/>
    <w:rsid w:val="00ED4637"/>
    <w:rsid w:val="00ED71FB"/>
    <w:rsid w:val="00ED7F90"/>
    <w:rsid w:val="00EE0ACC"/>
    <w:rsid w:val="00EE22FC"/>
    <w:rsid w:val="00EE2C56"/>
    <w:rsid w:val="00EE46C1"/>
    <w:rsid w:val="00EE49B3"/>
    <w:rsid w:val="00EE4FEA"/>
    <w:rsid w:val="00EE6D1F"/>
    <w:rsid w:val="00EE6F4A"/>
    <w:rsid w:val="00EF140E"/>
    <w:rsid w:val="00EF18CC"/>
    <w:rsid w:val="00EF21D8"/>
    <w:rsid w:val="00EF32E4"/>
    <w:rsid w:val="00EF4B8D"/>
    <w:rsid w:val="00EF4F13"/>
    <w:rsid w:val="00EF526D"/>
    <w:rsid w:val="00EF5292"/>
    <w:rsid w:val="00EF5F89"/>
    <w:rsid w:val="00EF6025"/>
    <w:rsid w:val="00EF701D"/>
    <w:rsid w:val="00EF747D"/>
    <w:rsid w:val="00F00990"/>
    <w:rsid w:val="00F0171E"/>
    <w:rsid w:val="00F101BC"/>
    <w:rsid w:val="00F10B4D"/>
    <w:rsid w:val="00F121EE"/>
    <w:rsid w:val="00F13AB4"/>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335E"/>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2B"/>
    <w:rsid w:val="00F828C9"/>
    <w:rsid w:val="00F834E9"/>
    <w:rsid w:val="00F83BDE"/>
    <w:rsid w:val="00F8453C"/>
    <w:rsid w:val="00F84791"/>
    <w:rsid w:val="00F84D4E"/>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1FBE"/>
    <w:rsid w:val="00FD2273"/>
    <w:rsid w:val="00FD278E"/>
    <w:rsid w:val="00FD3B92"/>
    <w:rsid w:val="00FD6DC4"/>
    <w:rsid w:val="00FD6F1A"/>
    <w:rsid w:val="00FD7DCE"/>
    <w:rsid w:val="00FE10C0"/>
    <w:rsid w:val="00FE372A"/>
    <w:rsid w:val="00FE701E"/>
    <w:rsid w:val="00FE7425"/>
    <w:rsid w:val="00FF2A90"/>
    <w:rsid w:val="00FF39E2"/>
    <w:rsid w:val="00FF4241"/>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3" Type="http://schemas.openxmlformats.org/officeDocument/2006/relationships/styles" Target="styles.xml"/><Relationship Id="rId7" Type="http://schemas.openxmlformats.org/officeDocument/2006/relationships/hyperlink" Target="http://www.deq.state.or.us/aq/forms/annrp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1198-2FE4-45F8-AEF7-6190FF4A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4860</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32498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2013-03-27T18:22:00Z</dcterms:created>
  <dcterms:modified xsi:type="dcterms:W3CDTF">2013-03-27T18:22:00Z</dcterms:modified>
</cp:coreProperties>
</file>