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6"/>
        <w:gridCol w:w="4223"/>
        <w:gridCol w:w="8829"/>
        <w:gridCol w:w="6106"/>
        <w:gridCol w:w="31"/>
      </w:tblGrid>
      <w:tr w:rsidR="008168B1" w:rsidTr="000E2BC0">
        <w:trPr>
          <w:tblHeader/>
        </w:trPr>
        <w:tc>
          <w:tcPr>
            <w:tcW w:w="638" w:type="pct"/>
          </w:tcPr>
          <w:p w:rsidR="008168B1" w:rsidRPr="00474742" w:rsidRDefault="008168B1" w:rsidP="00B86219">
            <w:pPr>
              <w:rPr>
                <w:b/>
                <w:bCs/>
                <w:color w:val="000000"/>
              </w:rPr>
            </w:pPr>
            <w:r w:rsidRPr="00474742">
              <w:rPr>
                <w:b/>
                <w:bCs/>
                <w:color w:val="000000"/>
              </w:rPr>
              <w:t xml:space="preserve">Section 110(a) </w:t>
            </w:r>
            <w:r>
              <w:rPr>
                <w:b/>
                <w:bCs/>
                <w:color w:val="000000"/>
              </w:rPr>
              <w:t>E</w:t>
            </w:r>
            <w:r w:rsidRPr="00474742">
              <w:rPr>
                <w:b/>
                <w:bCs/>
                <w:color w:val="000000"/>
              </w:rPr>
              <w:t>lement</w:t>
            </w:r>
          </w:p>
        </w:tc>
        <w:tc>
          <w:tcPr>
            <w:tcW w:w="960" w:type="pct"/>
          </w:tcPr>
          <w:p w:rsidR="008168B1" w:rsidRPr="00474742" w:rsidRDefault="008168B1" w:rsidP="00B86219">
            <w:pPr>
              <w:rPr>
                <w:b/>
                <w:color w:val="000000"/>
              </w:rPr>
            </w:pPr>
            <w:r w:rsidRPr="00474742">
              <w:rPr>
                <w:b/>
                <w:color w:val="000000"/>
              </w:rPr>
              <w:t xml:space="preserve">Summary of </w:t>
            </w:r>
            <w:r>
              <w:rPr>
                <w:b/>
                <w:color w:val="000000"/>
              </w:rPr>
              <w:t>E</w:t>
            </w:r>
            <w:r w:rsidRPr="00474742">
              <w:rPr>
                <w:b/>
                <w:color w:val="000000"/>
              </w:rPr>
              <w:t>lement</w:t>
            </w:r>
          </w:p>
        </w:tc>
        <w:tc>
          <w:tcPr>
            <w:tcW w:w="2007" w:type="pct"/>
          </w:tcPr>
          <w:p w:rsidR="008168B1" w:rsidRPr="00474742" w:rsidRDefault="008168B1" w:rsidP="00B86219">
            <w:pPr>
              <w:rPr>
                <w:b/>
                <w:color w:val="000000"/>
              </w:rPr>
            </w:pPr>
            <w:r>
              <w:rPr>
                <w:b/>
                <w:color w:val="000000"/>
              </w:rPr>
              <w:t>Guidance Narrative</w:t>
            </w:r>
            <w:r w:rsidR="00FF29B4">
              <w:rPr>
                <w:rStyle w:val="FootnoteReference"/>
                <w:b/>
                <w:color w:val="000000"/>
              </w:rPr>
              <w:footnoteReference w:id="1"/>
            </w:r>
            <w:r w:rsidRPr="00474742">
              <w:rPr>
                <w:b/>
                <w:color w:val="000000"/>
              </w:rPr>
              <w:t xml:space="preserve"> </w:t>
            </w:r>
          </w:p>
        </w:tc>
        <w:tc>
          <w:tcPr>
            <w:tcW w:w="1395" w:type="pct"/>
            <w:gridSpan w:val="2"/>
          </w:tcPr>
          <w:p w:rsidR="008168B1" w:rsidRDefault="008168B1" w:rsidP="00B86219">
            <w:pPr>
              <w:rPr>
                <w:b/>
                <w:color w:val="000000"/>
              </w:rPr>
            </w:pPr>
          </w:p>
        </w:tc>
      </w:tr>
      <w:tr w:rsidR="008168B1" w:rsidRPr="00474742" w:rsidTr="000E2BC0">
        <w:trPr>
          <w:gridAfter w:val="1"/>
          <w:wAfter w:w="7" w:type="pct"/>
          <w:trHeight w:val="2411"/>
        </w:trPr>
        <w:tc>
          <w:tcPr>
            <w:tcW w:w="638" w:type="pct"/>
          </w:tcPr>
          <w:p w:rsidR="008168B1" w:rsidRPr="00474742" w:rsidRDefault="008168B1" w:rsidP="00B86219">
            <w:pPr>
              <w:rPr>
                <w:b/>
                <w:bCs/>
                <w:color w:val="000000"/>
              </w:rPr>
            </w:pPr>
            <w:r w:rsidRPr="00474742">
              <w:rPr>
                <w:b/>
                <w:bCs/>
                <w:color w:val="000000"/>
              </w:rPr>
              <w:t>§110(a)(2)(D)</w:t>
            </w:r>
          </w:p>
        </w:tc>
        <w:tc>
          <w:tcPr>
            <w:tcW w:w="960" w:type="pct"/>
          </w:tcPr>
          <w:p w:rsidR="008168B1" w:rsidRPr="008168B1" w:rsidRDefault="008168B1" w:rsidP="00B86219">
            <w:pPr>
              <w:ind w:left="23"/>
              <w:rPr>
                <w:b/>
                <w:iCs/>
                <w:color w:val="000000"/>
              </w:rPr>
            </w:pPr>
            <w:r w:rsidRPr="008168B1">
              <w:rPr>
                <w:b/>
                <w:iCs/>
                <w:color w:val="000000"/>
              </w:rPr>
              <w:t>Interstate Transport</w:t>
            </w:r>
          </w:p>
        </w:tc>
        <w:tc>
          <w:tcPr>
            <w:tcW w:w="2007" w:type="pct"/>
          </w:tcPr>
          <w:p w:rsidR="008168B1" w:rsidRPr="008168B1" w:rsidRDefault="008168B1" w:rsidP="0064760D">
            <w:pPr>
              <w:ind w:left="23" w:right="-142"/>
              <w:rPr>
                <w:iCs/>
                <w:color w:val="000000"/>
              </w:rPr>
            </w:pPr>
            <w:r>
              <w:rPr>
                <w:iCs/>
                <w:color w:val="000000"/>
              </w:rPr>
              <w:t>“</w:t>
            </w:r>
            <w:r>
              <w:rPr>
                <w:rFonts w:eastAsiaTheme="minorHAnsi"/>
                <w:bCs/>
                <w:color w:val="000000"/>
              </w:rPr>
              <w:t>The physical properties of Pb prevent Pb emissions from experiencing the same travel or</w:t>
            </w:r>
            <w:r w:rsidR="0064760D">
              <w:rPr>
                <w:rFonts w:eastAsiaTheme="minorHAnsi"/>
                <w:bCs/>
                <w:color w:val="000000"/>
              </w:rPr>
              <w:t xml:space="preserve"> </w:t>
            </w:r>
            <w:r>
              <w:rPr>
                <w:rFonts w:eastAsiaTheme="minorHAnsi"/>
                <w:bCs/>
                <w:color w:val="000000"/>
              </w:rPr>
              <w:t>formation phenomena as PM</w:t>
            </w:r>
            <w:r>
              <w:rPr>
                <w:rFonts w:eastAsiaTheme="minorHAnsi"/>
                <w:bCs/>
                <w:color w:val="000000"/>
                <w:sz w:val="16"/>
                <w:szCs w:val="16"/>
              </w:rPr>
              <w:t xml:space="preserve">2.5 </w:t>
            </w:r>
            <w:r>
              <w:rPr>
                <w:rFonts w:eastAsiaTheme="minorHAnsi"/>
                <w:bCs/>
                <w:color w:val="000000"/>
              </w:rPr>
              <w:t>or ozone. More specifically, there is a sharp decrease in Pb</w:t>
            </w:r>
            <w:r w:rsidR="0064760D">
              <w:rPr>
                <w:rFonts w:eastAsiaTheme="minorHAnsi"/>
                <w:bCs/>
                <w:color w:val="000000"/>
              </w:rPr>
              <w:t xml:space="preserve"> </w:t>
            </w:r>
            <w:r>
              <w:rPr>
                <w:rFonts w:eastAsiaTheme="minorHAnsi"/>
                <w:bCs/>
                <w:color w:val="000000"/>
              </w:rPr>
              <w:t>concentrations, at least in the coarse fraction, as the distance from a Pb source increases. Accordingly,</w:t>
            </w:r>
            <w:r w:rsidR="0064760D">
              <w:rPr>
                <w:rFonts w:eastAsiaTheme="minorHAnsi"/>
                <w:bCs/>
                <w:color w:val="000000"/>
              </w:rPr>
              <w:t xml:space="preserve"> </w:t>
            </w:r>
            <w:r>
              <w:rPr>
                <w:rFonts w:eastAsiaTheme="minorHAnsi"/>
                <w:bCs/>
                <w:color w:val="000000"/>
              </w:rPr>
              <w:t>while it may be possible for a source in a state to emit Pb in a location and in quantities that may</w:t>
            </w:r>
            <w:r w:rsidR="0064760D">
              <w:rPr>
                <w:rFonts w:eastAsiaTheme="minorHAnsi"/>
                <w:bCs/>
                <w:color w:val="000000"/>
              </w:rPr>
              <w:t xml:space="preserve"> </w:t>
            </w:r>
            <w:r>
              <w:rPr>
                <w:rFonts w:eastAsiaTheme="minorHAnsi"/>
                <w:bCs/>
                <w:color w:val="000000"/>
              </w:rPr>
              <w:t>contribute significantly to nonattainment in, or interfere with maintenance by, any other state, EPA</w:t>
            </w:r>
            <w:r w:rsidR="0064760D">
              <w:rPr>
                <w:rFonts w:eastAsiaTheme="minorHAnsi"/>
                <w:bCs/>
                <w:color w:val="000000"/>
              </w:rPr>
              <w:t xml:space="preserve"> </w:t>
            </w:r>
            <w:r>
              <w:rPr>
                <w:rFonts w:eastAsiaTheme="minorHAnsi"/>
                <w:bCs/>
                <w:color w:val="000000"/>
              </w:rPr>
              <w:t>anticipates that this would be a rare situation, e.g., where large sources are in close proximity to state</w:t>
            </w:r>
            <w:r w:rsidR="0064760D">
              <w:rPr>
                <w:rFonts w:eastAsiaTheme="minorHAnsi"/>
                <w:bCs/>
                <w:color w:val="000000"/>
              </w:rPr>
              <w:t xml:space="preserve"> </w:t>
            </w:r>
            <w:r>
              <w:rPr>
                <w:rFonts w:eastAsiaTheme="minorHAnsi"/>
                <w:bCs/>
                <w:color w:val="000000"/>
              </w:rPr>
              <w:t>boundaries.”</w:t>
            </w:r>
          </w:p>
        </w:tc>
        <w:tc>
          <w:tcPr>
            <w:tcW w:w="1388" w:type="pct"/>
          </w:tcPr>
          <w:p w:rsidR="008168B1" w:rsidRPr="00474742" w:rsidRDefault="008168B1" w:rsidP="00B86219">
            <w:pPr>
              <w:ind w:left="23"/>
              <w:rPr>
                <w:i/>
                <w:iCs/>
                <w:color w:val="000000"/>
              </w:rPr>
            </w:pPr>
          </w:p>
        </w:tc>
      </w:tr>
      <w:tr w:rsidR="008168B1" w:rsidRPr="00474742" w:rsidTr="000E2BC0">
        <w:trPr>
          <w:gridAfter w:val="1"/>
          <w:wAfter w:w="7" w:type="pct"/>
        </w:trPr>
        <w:tc>
          <w:tcPr>
            <w:tcW w:w="638" w:type="pct"/>
          </w:tcPr>
          <w:p w:rsidR="008168B1" w:rsidRPr="00474742" w:rsidRDefault="008168B1" w:rsidP="00B86219">
            <w:pPr>
              <w:rPr>
                <w:b/>
                <w:bCs/>
                <w:color w:val="000000"/>
              </w:rPr>
            </w:pPr>
            <w:r w:rsidRPr="00474742">
              <w:rPr>
                <w:b/>
                <w:bCs/>
                <w:color w:val="000000"/>
              </w:rPr>
              <w:t>§110(a)(2)(D)</w:t>
            </w:r>
            <w:r>
              <w:rPr>
                <w:b/>
                <w:bCs/>
                <w:color w:val="000000"/>
              </w:rPr>
              <w:t>(i)(I)</w:t>
            </w:r>
          </w:p>
          <w:p w:rsidR="008168B1" w:rsidRPr="00474742" w:rsidRDefault="008168B1" w:rsidP="00B86219">
            <w:pPr>
              <w:rPr>
                <w:b/>
                <w:bCs/>
                <w:color w:val="000000"/>
              </w:rPr>
            </w:pPr>
            <w:r w:rsidRPr="00474742">
              <w:rPr>
                <w:b/>
                <w:bCs/>
                <w:color w:val="000000"/>
              </w:rPr>
              <w:t>Interstate transport</w:t>
            </w:r>
            <w:r>
              <w:rPr>
                <w:b/>
                <w:bCs/>
                <w:color w:val="000000"/>
              </w:rPr>
              <w:t xml:space="preserve"> as it relates to significant contribution to nonattainment and interference with maintenance</w:t>
            </w:r>
          </w:p>
        </w:tc>
        <w:tc>
          <w:tcPr>
            <w:tcW w:w="960" w:type="pct"/>
          </w:tcPr>
          <w:p w:rsidR="008168B1" w:rsidRPr="00474742" w:rsidRDefault="008168B1" w:rsidP="00B86219">
            <w:pPr>
              <w:ind w:left="23"/>
              <w:rPr>
                <w:i/>
                <w:iCs/>
                <w:color w:val="000000"/>
              </w:rPr>
            </w:pPr>
            <w:r w:rsidRPr="00474742">
              <w:rPr>
                <w:i/>
                <w:iCs/>
                <w:color w:val="000000"/>
              </w:rPr>
              <w:t>contain adequate provisions</w:t>
            </w:r>
          </w:p>
          <w:p w:rsidR="008168B1" w:rsidRPr="00474742" w:rsidRDefault="008168B1" w:rsidP="00B86219">
            <w:pPr>
              <w:pStyle w:val="BodyTextIndent"/>
              <w:ind w:left="23"/>
              <w:rPr>
                <w:i/>
                <w:iCs/>
                <w:color w:val="000000"/>
              </w:rPr>
            </w:pPr>
            <w:r w:rsidRPr="00474742">
              <w:rPr>
                <w:i/>
                <w:iCs/>
                <w:color w:val="000000"/>
              </w:rPr>
              <w:t xml:space="preserve">   (i) prohibiting, consistent with the provisions of this</w:t>
            </w:r>
            <w:r>
              <w:rPr>
                <w:i/>
                <w:iCs/>
                <w:color w:val="000000"/>
              </w:rPr>
              <w:t xml:space="preserve"> subchapter</w:t>
            </w:r>
            <w:r w:rsidRPr="00474742">
              <w:rPr>
                <w:i/>
                <w:iCs/>
                <w:color w:val="000000"/>
              </w:rPr>
              <w:t>, any source or other type of emissions activity within the state from emitting any air pollutant in amounts which will</w:t>
            </w:r>
          </w:p>
          <w:p w:rsidR="008168B1" w:rsidRPr="00474742" w:rsidRDefault="008168B1" w:rsidP="00B86219">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8168B1" w:rsidRPr="00474742" w:rsidRDefault="008168B1" w:rsidP="00B86219">
            <w:pPr>
              <w:ind w:left="23"/>
              <w:rPr>
                <w:i/>
                <w:iCs/>
                <w:color w:val="000000"/>
              </w:rPr>
            </w:pPr>
            <w:r w:rsidRPr="00474742">
              <w:rPr>
                <w:i/>
                <w:iCs/>
                <w:color w:val="000000"/>
              </w:rPr>
              <w:t xml:space="preserve">       </w:t>
            </w:r>
          </w:p>
        </w:tc>
        <w:tc>
          <w:tcPr>
            <w:tcW w:w="2007" w:type="pct"/>
          </w:tcPr>
          <w:p w:rsidR="008168B1" w:rsidRPr="00474742" w:rsidRDefault="0055415D" w:rsidP="0064760D">
            <w:pPr>
              <w:ind w:left="23" w:right="-142"/>
              <w:rPr>
                <w:i/>
                <w:iCs/>
                <w:color w:val="000000"/>
              </w:rPr>
            </w:pPr>
            <w:r>
              <w:rPr>
                <w:i/>
                <w:iCs/>
                <w:color w:val="000000"/>
              </w:rPr>
              <w:t>“</w:t>
            </w:r>
            <w:r>
              <w:rPr>
                <w:rFonts w:eastAsiaTheme="minorHAnsi"/>
                <w:bCs/>
                <w:color w:val="000000"/>
              </w:rPr>
              <w:t>EPA believes that requirements of subsection (2)(D)(i)(I) (prongs 1 and 2) could be satisfied</w:t>
            </w:r>
            <w:r w:rsidR="0064760D">
              <w:rPr>
                <w:rFonts w:eastAsiaTheme="minorHAnsi"/>
                <w:bCs/>
                <w:color w:val="000000"/>
              </w:rPr>
              <w:t xml:space="preserve"> </w:t>
            </w:r>
            <w:r>
              <w:rPr>
                <w:rFonts w:eastAsiaTheme="minorHAnsi"/>
                <w:bCs/>
                <w:color w:val="000000"/>
              </w:rPr>
              <w:t>through a state’s assessment as to whether or not emissions from Pb sources located in close proximity to</w:t>
            </w:r>
            <w:r w:rsidR="0064760D">
              <w:rPr>
                <w:rFonts w:eastAsiaTheme="minorHAnsi"/>
                <w:bCs/>
                <w:color w:val="000000"/>
              </w:rPr>
              <w:t xml:space="preserve"> </w:t>
            </w:r>
            <w:r>
              <w:rPr>
                <w:rFonts w:eastAsiaTheme="minorHAnsi"/>
                <w:bCs/>
                <w:color w:val="000000"/>
              </w:rPr>
              <w:t>their state borders have emissions that impact the neighboring state such that they contribute significantly</w:t>
            </w:r>
            <w:r w:rsidR="0064760D">
              <w:rPr>
                <w:rFonts w:eastAsiaTheme="minorHAnsi"/>
                <w:bCs/>
                <w:color w:val="000000"/>
              </w:rPr>
              <w:t xml:space="preserve"> </w:t>
            </w:r>
            <w:r>
              <w:rPr>
                <w:rFonts w:eastAsiaTheme="minorHAnsi"/>
                <w:bCs/>
                <w:color w:val="000000"/>
              </w:rPr>
              <w:t>to nonattainment or interfere with maintenance in that state.</w:t>
            </w:r>
            <w:r>
              <w:rPr>
                <w:rFonts w:eastAsiaTheme="minorHAnsi"/>
                <w:bCs/>
                <w:color w:val="000000"/>
                <w:sz w:val="16"/>
                <w:szCs w:val="16"/>
              </w:rPr>
              <w:t xml:space="preserve">7 </w:t>
            </w:r>
            <w:r>
              <w:rPr>
                <w:rFonts w:eastAsiaTheme="minorHAnsi"/>
                <w:bCs/>
                <w:color w:val="000000"/>
              </w:rPr>
              <w:t>The states’ conclusions could be supported</w:t>
            </w:r>
            <w:r w:rsidR="0064760D">
              <w:rPr>
                <w:rFonts w:eastAsiaTheme="minorHAnsi"/>
                <w:bCs/>
                <w:color w:val="000000"/>
              </w:rPr>
              <w:t xml:space="preserve"> </w:t>
            </w:r>
            <w:r>
              <w:rPr>
                <w:rFonts w:eastAsiaTheme="minorHAnsi"/>
                <w:bCs/>
                <w:color w:val="000000"/>
              </w:rPr>
              <w:t>by the technical information or data used to support the initial area designations for Pb. Therefore, to</w:t>
            </w:r>
            <w:r w:rsidR="0064760D">
              <w:rPr>
                <w:rFonts w:eastAsiaTheme="minorHAnsi"/>
                <w:bCs/>
                <w:color w:val="000000"/>
              </w:rPr>
              <w:t xml:space="preserve"> </w:t>
            </w:r>
            <w:r>
              <w:rPr>
                <w:rFonts w:eastAsiaTheme="minorHAnsi"/>
                <w:bCs/>
                <w:color w:val="000000"/>
              </w:rPr>
              <w:t>address prongs 1 and 2 of section 110(a</w:t>
            </w:r>
            <w:proofErr w:type="gramStart"/>
            <w:r>
              <w:rPr>
                <w:rFonts w:eastAsiaTheme="minorHAnsi"/>
                <w:bCs/>
                <w:color w:val="000000"/>
              </w:rPr>
              <w:t>)(</w:t>
            </w:r>
            <w:proofErr w:type="gramEnd"/>
            <w:r>
              <w:rPr>
                <w:rFonts w:eastAsiaTheme="minorHAnsi"/>
                <w:bCs/>
                <w:color w:val="000000"/>
              </w:rPr>
              <w:t>2)(D)(i)(I) the state’s submission should include an explanation</w:t>
            </w:r>
            <w:r w:rsidR="0064760D">
              <w:rPr>
                <w:rFonts w:eastAsiaTheme="minorHAnsi"/>
                <w:bCs/>
                <w:color w:val="000000"/>
              </w:rPr>
              <w:t xml:space="preserve"> </w:t>
            </w:r>
            <w:r>
              <w:rPr>
                <w:rFonts w:eastAsiaTheme="minorHAnsi"/>
                <w:bCs/>
                <w:color w:val="000000"/>
              </w:rPr>
              <w:t>in support of the state’s conclusion and, if applicable, should address the impact in their submittal.”</w:t>
            </w:r>
          </w:p>
        </w:tc>
        <w:tc>
          <w:tcPr>
            <w:tcW w:w="1388" w:type="pct"/>
          </w:tcPr>
          <w:p w:rsidR="008168B1" w:rsidRPr="00474742" w:rsidRDefault="008168B1" w:rsidP="00B86219">
            <w:pPr>
              <w:ind w:left="23"/>
              <w:rPr>
                <w:i/>
                <w:iCs/>
                <w:color w:val="000000"/>
              </w:rPr>
            </w:pPr>
          </w:p>
        </w:tc>
      </w:tr>
      <w:tr w:rsidR="008168B1" w:rsidRPr="00474742" w:rsidTr="000E2BC0">
        <w:trPr>
          <w:gridAfter w:val="1"/>
          <w:wAfter w:w="7" w:type="pct"/>
        </w:trPr>
        <w:tc>
          <w:tcPr>
            <w:tcW w:w="638" w:type="pct"/>
          </w:tcPr>
          <w:p w:rsidR="008168B1" w:rsidRPr="00A32412" w:rsidRDefault="008168B1" w:rsidP="00B86219">
            <w:pPr>
              <w:rPr>
                <w:b/>
                <w:bCs/>
                <w:color w:val="000000" w:themeColor="text1"/>
              </w:rPr>
            </w:pPr>
            <w:r w:rsidRPr="00A32412">
              <w:rPr>
                <w:b/>
                <w:bCs/>
                <w:color w:val="000000" w:themeColor="text1"/>
              </w:rPr>
              <w:t>§110(a)(2)(D)(i)(II)</w:t>
            </w:r>
          </w:p>
          <w:p w:rsidR="008168B1" w:rsidRPr="00A32412" w:rsidRDefault="008168B1" w:rsidP="00B86219">
            <w:pPr>
              <w:rPr>
                <w:b/>
                <w:bCs/>
                <w:color w:val="000000" w:themeColor="text1"/>
              </w:rPr>
            </w:pPr>
            <w:r w:rsidRPr="00A32412">
              <w:rPr>
                <w:b/>
                <w:bCs/>
                <w:color w:val="000000" w:themeColor="text1"/>
              </w:rPr>
              <w:t>Interstate transport as it relates to PSD and visibility</w:t>
            </w:r>
          </w:p>
        </w:tc>
        <w:tc>
          <w:tcPr>
            <w:tcW w:w="960" w:type="pct"/>
          </w:tcPr>
          <w:p w:rsidR="008168B1" w:rsidRPr="00474742" w:rsidRDefault="008168B1" w:rsidP="00B86219">
            <w:pPr>
              <w:ind w:left="23"/>
              <w:rPr>
                <w:i/>
                <w:iCs/>
                <w:color w:val="000000"/>
              </w:rPr>
            </w:pPr>
            <w:r w:rsidRPr="00474742">
              <w:rPr>
                <w:i/>
                <w:iCs/>
                <w:color w:val="000000"/>
              </w:rPr>
              <w:t xml:space="preserve">(II) interfere with measures required to be included in the applicable implementation plan for any other State under part C </w:t>
            </w:r>
            <w:r>
              <w:rPr>
                <w:i/>
                <w:iCs/>
                <w:color w:val="000000"/>
              </w:rPr>
              <w:t xml:space="preserve">of this subchapter </w:t>
            </w:r>
            <w:r w:rsidRPr="00474742">
              <w:rPr>
                <w:i/>
                <w:iCs/>
                <w:color w:val="000000"/>
              </w:rPr>
              <w:t xml:space="preserve">to prevent significant deterioration of air quality or to protect visibility, </w:t>
            </w:r>
          </w:p>
          <w:p w:rsidR="008168B1" w:rsidRPr="00474742" w:rsidRDefault="008168B1" w:rsidP="00B86219">
            <w:pPr>
              <w:ind w:left="23"/>
              <w:rPr>
                <w:i/>
                <w:iCs/>
                <w:color w:val="000000"/>
              </w:rPr>
            </w:pPr>
          </w:p>
        </w:tc>
        <w:tc>
          <w:tcPr>
            <w:tcW w:w="2007" w:type="pct"/>
          </w:tcPr>
          <w:p w:rsidR="008168B1" w:rsidRPr="00474742" w:rsidRDefault="006E3F46" w:rsidP="009D4B89">
            <w:pPr>
              <w:ind w:left="23"/>
              <w:rPr>
                <w:i/>
                <w:iCs/>
                <w:color w:val="000000"/>
              </w:rPr>
            </w:pPr>
            <w:r>
              <w:rPr>
                <w:rFonts w:eastAsiaTheme="minorHAnsi"/>
                <w:bCs/>
                <w:color w:val="000000"/>
              </w:rPr>
              <w:t>“</w:t>
            </w:r>
            <w:r w:rsidR="0055415D" w:rsidRPr="009D4B89">
              <w:rPr>
                <w:rFonts w:eastAsiaTheme="minorHAnsi"/>
                <w:bCs/>
                <w:color w:val="000000"/>
                <w:u w:val="single"/>
              </w:rPr>
              <w:t>Under section 110(a)(2)(D)(i)(II), the PSD sub-element (prong 3) may be met by the state’s</w:t>
            </w:r>
            <w:r w:rsidR="0064760D">
              <w:rPr>
                <w:rFonts w:eastAsiaTheme="minorHAnsi"/>
                <w:bCs/>
                <w:color w:val="000000"/>
              </w:rPr>
              <w:t xml:space="preserve"> </w:t>
            </w:r>
            <w:r w:rsidR="0055415D">
              <w:rPr>
                <w:rFonts w:eastAsiaTheme="minorHAnsi"/>
                <w:bCs/>
                <w:color w:val="000000"/>
              </w:rPr>
              <w:t>confirmation in an infrastructure SIP submission that new major sources and major modifications in the</w:t>
            </w:r>
            <w:r w:rsidR="0064760D">
              <w:rPr>
                <w:rFonts w:eastAsiaTheme="minorHAnsi"/>
                <w:bCs/>
                <w:color w:val="000000"/>
              </w:rPr>
              <w:t xml:space="preserve"> </w:t>
            </w:r>
            <w:r w:rsidR="0055415D">
              <w:rPr>
                <w:rFonts w:eastAsiaTheme="minorHAnsi"/>
                <w:bCs/>
                <w:color w:val="000000"/>
              </w:rPr>
              <w:t>state are subject to PSD and (if the state contains a nonattainment area for the relevant pollutant) NNSR</w:t>
            </w:r>
            <w:r w:rsidR="0064760D">
              <w:rPr>
                <w:rFonts w:eastAsiaTheme="minorHAnsi"/>
                <w:bCs/>
                <w:color w:val="000000"/>
              </w:rPr>
              <w:t xml:space="preserve"> </w:t>
            </w:r>
            <w:r w:rsidR="0055415D">
              <w:rPr>
                <w:rFonts w:eastAsiaTheme="minorHAnsi"/>
                <w:bCs/>
                <w:color w:val="000000"/>
              </w:rPr>
              <w:t>programs that implement the 2008 Pb NAAQS.</w:t>
            </w:r>
            <w:r w:rsidR="0055415D">
              <w:rPr>
                <w:rFonts w:eastAsiaTheme="minorHAnsi"/>
                <w:bCs/>
                <w:color w:val="000000"/>
                <w:sz w:val="16"/>
                <w:szCs w:val="16"/>
              </w:rPr>
              <w:t>8</w:t>
            </w:r>
            <w:r w:rsidRPr="00AC4B99">
              <w:rPr>
                <w:rFonts w:eastAsiaTheme="minorHAnsi"/>
                <w:bCs/>
                <w:color w:val="000000"/>
                <w:sz w:val="22"/>
                <w:szCs w:val="22"/>
              </w:rPr>
              <w:t>”</w:t>
            </w:r>
            <w:r w:rsidR="009D4B89">
              <w:rPr>
                <w:rFonts w:eastAsiaTheme="minorHAnsi"/>
                <w:bCs/>
                <w:color w:val="000000"/>
                <w:sz w:val="22"/>
                <w:szCs w:val="22"/>
              </w:rPr>
              <w:t xml:space="preserve">                                                                                                                                                                                                     </w:t>
            </w:r>
            <w:r w:rsidR="009D4B89">
              <w:rPr>
                <w:i/>
                <w:iCs/>
                <w:color w:val="000000"/>
              </w:rPr>
              <w:t>“</w:t>
            </w:r>
            <w:r w:rsidR="009D4B89" w:rsidRPr="009D4B89">
              <w:rPr>
                <w:rFonts w:eastAsiaTheme="minorHAnsi"/>
                <w:bCs/>
                <w:color w:val="000000"/>
                <w:u w:val="single"/>
              </w:rPr>
              <w:t>With regard to the requirement of prong 4,</w:t>
            </w:r>
            <w:r w:rsidR="009D4B89">
              <w:rPr>
                <w:rFonts w:eastAsiaTheme="minorHAnsi"/>
                <w:bCs/>
                <w:color w:val="000000"/>
              </w:rPr>
              <w:t xml:space="preserve"> </w:t>
            </w:r>
            <w:r w:rsidR="009D4B89" w:rsidRPr="009D4B89">
              <w:rPr>
                <w:rFonts w:eastAsiaTheme="minorHAnsi"/>
                <w:bCs/>
                <w:i/>
                <w:iCs/>
                <w:color w:val="000000"/>
                <w:u w:val="single"/>
              </w:rPr>
              <w:t>i.e.</w:t>
            </w:r>
            <w:r w:rsidR="009D4B89" w:rsidRPr="009D4B89">
              <w:rPr>
                <w:rFonts w:eastAsiaTheme="minorHAnsi"/>
                <w:bCs/>
                <w:color w:val="000000"/>
                <w:u w:val="single"/>
              </w:rPr>
              <w:t>, visibility under subsection (2)(D)(i)(II),</w:t>
            </w:r>
            <w:r w:rsidR="0064760D">
              <w:rPr>
                <w:rFonts w:eastAsiaTheme="minorHAnsi"/>
                <w:bCs/>
                <w:color w:val="000000"/>
                <w:u w:val="single"/>
              </w:rPr>
              <w:t xml:space="preserve"> </w:t>
            </w:r>
            <w:r w:rsidR="009D4B89">
              <w:rPr>
                <w:rFonts w:eastAsiaTheme="minorHAnsi"/>
                <w:bCs/>
                <w:color w:val="000000"/>
              </w:rPr>
              <w:t>significant impacts from Pb emissions from stationary sources are expected to be limited to short distances from the source and most, if not all Pb stationary sources are located at distances from Class I</w:t>
            </w:r>
            <w:r w:rsidR="0064760D">
              <w:rPr>
                <w:rFonts w:eastAsiaTheme="minorHAnsi"/>
                <w:bCs/>
                <w:color w:val="000000"/>
              </w:rPr>
              <w:t xml:space="preserve"> </w:t>
            </w:r>
            <w:r w:rsidR="009D4B89">
              <w:rPr>
                <w:rFonts w:eastAsiaTheme="minorHAnsi"/>
                <w:bCs/>
                <w:color w:val="000000"/>
              </w:rPr>
              <w:t>areas such that visibility impacts would be negligible. Although Pb can be a component of coarse and</w:t>
            </w:r>
            <w:r w:rsidR="0064760D">
              <w:rPr>
                <w:rFonts w:eastAsiaTheme="minorHAnsi"/>
                <w:bCs/>
                <w:color w:val="000000"/>
              </w:rPr>
              <w:t xml:space="preserve"> </w:t>
            </w:r>
            <w:r w:rsidR="009D4B89">
              <w:rPr>
                <w:rFonts w:eastAsiaTheme="minorHAnsi"/>
                <w:bCs/>
                <w:color w:val="000000"/>
              </w:rPr>
              <w:t>fine particles, Pb generally comprises a small fraction of coarse and fine particles. Furthermore, when</w:t>
            </w:r>
            <w:r w:rsidR="0064760D">
              <w:rPr>
                <w:rFonts w:eastAsiaTheme="minorHAnsi"/>
                <w:bCs/>
                <w:color w:val="000000"/>
              </w:rPr>
              <w:t xml:space="preserve"> </w:t>
            </w:r>
            <w:r w:rsidR="009D4B89">
              <w:rPr>
                <w:rFonts w:eastAsiaTheme="minorHAnsi"/>
                <w:bCs/>
                <w:color w:val="000000"/>
              </w:rPr>
              <w:t>evaluating the extent that Pb could impact visibility, Pb-related visibility impacts were found to be</w:t>
            </w:r>
            <w:r w:rsidR="0064760D">
              <w:rPr>
                <w:rFonts w:eastAsiaTheme="minorHAnsi"/>
                <w:bCs/>
                <w:color w:val="000000"/>
              </w:rPr>
              <w:t xml:space="preserve"> </w:t>
            </w:r>
            <w:r w:rsidR="009D4B89">
              <w:rPr>
                <w:rFonts w:eastAsiaTheme="minorHAnsi"/>
                <w:bCs/>
                <w:color w:val="000000"/>
              </w:rPr>
              <w:t>insignificant (e.g., less than 0.10%</w:t>
            </w:r>
            <w:proofErr w:type="gramStart"/>
            <w:r w:rsidR="009D4B89">
              <w:rPr>
                <w:rFonts w:eastAsiaTheme="minorHAnsi"/>
                <w:bCs/>
                <w:color w:val="000000"/>
              </w:rPr>
              <w:t>) .</w:t>
            </w:r>
            <w:proofErr w:type="gramEnd"/>
            <w:r w:rsidR="009D4B89">
              <w:rPr>
                <w:rFonts w:eastAsiaTheme="minorHAnsi"/>
                <w:bCs/>
                <w:color w:val="000000"/>
                <w:sz w:val="16"/>
                <w:szCs w:val="16"/>
              </w:rPr>
              <w:t xml:space="preserve">9 </w:t>
            </w:r>
            <w:r w:rsidR="009D4B89">
              <w:rPr>
                <w:rFonts w:eastAsiaTheme="minorHAnsi"/>
                <w:bCs/>
                <w:color w:val="000000"/>
              </w:rPr>
              <w:t>Although we anticipate that Pb emissions will contribute only</w:t>
            </w:r>
            <w:r w:rsidR="0064760D">
              <w:rPr>
                <w:rFonts w:eastAsiaTheme="minorHAnsi"/>
                <w:bCs/>
                <w:color w:val="000000"/>
              </w:rPr>
              <w:t xml:space="preserve"> </w:t>
            </w:r>
            <w:r w:rsidR="009D4B89">
              <w:rPr>
                <w:rFonts w:eastAsiaTheme="minorHAnsi"/>
                <w:bCs/>
                <w:color w:val="000000"/>
              </w:rPr>
              <w:t>negligibly to visibility impairment at Class I areas, the state’s submission should include an explanation</w:t>
            </w:r>
            <w:r w:rsidR="0064760D">
              <w:rPr>
                <w:rFonts w:eastAsiaTheme="minorHAnsi"/>
                <w:bCs/>
                <w:color w:val="000000"/>
              </w:rPr>
              <w:t xml:space="preserve"> </w:t>
            </w:r>
            <w:r w:rsidR="009D4B89">
              <w:rPr>
                <w:rFonts w:eastAsiaTheme="minorHAnsi"/>
                <w:bCs/>
                <w:color w:val="000000"/>
              </w:rPr>
              <w:t>in support of the state’s conclusion (and, if applicable, should address the impact in their submittal).</w:t>
            </w:r>
            <w:r w:rsidR="0064760D">
              <w:rPr>
                <w:rFonts w:eastAsiaTheme="minorHAnsi"/>
                <w:bCs/>
                <w:color w:val="000000"/>
              </w:rPr>
              <w:t xml:space="preserve"> </w:t>
            </w:r>
            <w:r w:rsidR="009D4B89">
              <w:rPr>
                <w:rFonts w:eastAsiaTheme="minorHAnsi"/>
                <w:bCs/>
                <w:color w:val="000000"/>
              </w:rPr>
              <w:t>Where a state’s regional haze SIP has been approved as meeting all current obligations, a state may point</w:t>
            </w:r>
            <w:r w:rsidR="0064760D">
              <w:rPr>
                <w:rFonts w:eastAsiaTheme="minorHAnsi"/>
                <w:bCs/>
                <w:color w:val="000000"/>
              </w:rPr>
              <w:t xml:space="preserve"> </w:t>
            </w:r>
            <w:r w:rsidR="009D4B89">
              <w:rPr>
                <w:rFonts w:eastAsiaTheme="minorHAnsi"/>
                <w:bCs/>
                <w:color w:val="000000"/>
              </w:rPr>
              <w:t xml:space="preserve">to its approved plan to demonstrate that it meets the requirements of prong </w:t>
            </w:r>
            <w:r w:rsidR="009D4B89" w:rsidRPr="00AC4B99">
              <w:rPr>
                <w:rFonts w:eastAsiaTheme="minorHAnsi"/>
                <w:bCs/>
                <w:color w:val="000000"/>
                <w:vertAlign w:val="subscript"/>
              </w:rPr>
              <w:t>4</w:t>
            </w:r>
            <w:r w:rsidR="009D4B89">
              <w:rPr>
                <w:rFonts w:eastAsiaTheme="minorHAnsi"/>
                <w:bCs/>
                <w:color w:val="000000"/>
              </w:rPr>
              <w:t>.”</w:t>
            </w:r>
          </w:p>
        </w:tc>
        <w:tc>
          <w:tcPr>
            <w:tcW w:w="1388" w:type="pct"/>
          </w:tcPr>
          <w:p w:rsidR="008168B1" w:rsidRPr="00474742" w:rsidRDefault="008168B1" w:rsidP="00B86219">
            <w:pPr>
              <w:ind w:left="23"/>
              <w:rPr>
                <w:i/>
                <w:iCs/>
                <w:color w:val="000000"/>
              </w:rPr>
            </w:pPr>
          </w:p>
        </w:tc>
      </w:tr>
      <w:tr w:rsidR="008168B1" w:rsidRPr="00474742" w:rsidTr="000E2BC0">
        <w:trPr>
          <w:gridAfter w:val="1"/>
          <w:wAfter w:w="7" w:type="pct"/>
        </w:trPr>
        <w:tc>
          <w:tcPr>
            <w:tcW w:w="638" w:type="pct"/>
          </w:tcPr>
          <w:p w:rsidR="008168B1" w:rsidRPr="00A32412" w:rsidRDefault="008168B1" w:rsidP="00B86219">
            <w:pPr>
              <w:rPr>
                <w:b/>
                <w:bCs/>
                <w:color w:val="000000" w:themeColor="text1"/>
              </w:rPr>
            </w:pPr>
            <w:r w:rsidRPr="00A32412">
              <w:rPr>
                <w:b/>
                <w:bCs/>
                <w:color w:val="000000" w:themeColor="text1"/>
              </w:rPr>
              <w:t>§110(a)(2)(D)(ii)</w:t>
            </w:r>
          </w:p>
          <w:p w:rsidR="008168B1" w:rsidRPr="00A32412" w:rsidRDefault="008168B1" w:rsidP="00B86219">
            <w:pPr>
              <w:rPr>
                <w:b/>
                <w:bCs/>
                <w:color w:val="000000" w:themeColor="text1"/>
              </w:rPr>
            </w:pPr>
            <w:r w:rsidRPr="00A32412">
              <w:rPr>
                <w:b/>
                <w:bCs/>
                <w:color w:val="000000" w:themeColor="text1"/>
              </w:rPr>
              <w:t>Interstate and international pollution</w:t>
            </w:r>
          </w:p>
        </w:tc>
        <w:tc>
          <w:tcPr>
            <w:tcW w:w="960" w:type="pct"/>
          </w:tcPr>
          <w:p w:rsidR="008168B1" w:rsidRPr="00474742" w:rsidRDefault="008168B1" w:rsidP="00B86219">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2007" w:type="pct"/>
          </w:tcPr>
          <w:p w:rsidR="008168B1" w:rsidRPr="0020270F" w:rsidRDefault="009D4B89" w:rsidP="009D4B89">
            <w:pPr>
              <w:ind w:left="23"/>
              <w:rPr>
                <w:i/>
                <w:iCs/>
                <w:color w:val="000000"/>
              </w:rPr>
            </w:pPr>
            <w:r>
              <w:rPr>
                <w:rFonts w:eastAsiaTheme="minorHAnsi"/>
                <w:bCs/>
                <w:color w:val="000000"/>
              </w:rPr>
              <w:t>“Section 126(a) of the CAA directs each SIP to include provisions requiring a new or modified</w:t>
            </w:r>
            <w:r w:rsidR="0064760D">
              <w:rPr>
                <w:rFonts w:eastAsiaTheme="minorHAnsi"/>
                <w:bCs/>
                <w:color w:val="000000"/>
              </w:rPr>
              <w:t xml:space="preserve"> </w:t>
            </w:r>
            <w:r>
              <w:rPr>
                <w:rFonts w:eastAsiaTheme="minorHAnsi"/>
                <w:bCs/>
                <w:color w:val="000000"/>
              </w:rPr>
              <w:t>source to notify neighboring states of potential impacts from the source. States with SIP-approved PSD</w:t>
            </w:r>
            <w:r w:rsidR="0064760D">
              <w:rPr>
                <w:rFonts w:eastAsiaTheme="minorHAnsi"/>
                <w:bCs/>
                <w:color w:val="000000"/>
              </w:rPr>
              <w:t xml:space="preserve"> </w:t>
            </w:r>
            <w:r>
              <w:rPr>
                <w:rFonts w:eastAsiaTheme="minorHAnsi"/>
                <w:bCs/>
                <w:color w:val="000000"/>
              </w:rPr>
              <w:t xml:space="preserve">programs should have a regulatory provision in place, consistent with </w:t>
            </w:r>
            <w:r>
              <w:rPr>
                <w:rFonts w:eastAsiaTheme="minorHAnsi"/>
                <w:bCs/>
                <w:color w:val="0000FF"/>
              </w:rPr>
              <w:t>40 CFR 51.166(q</w:t>
            </w:r>
            <w:proofErr w:type="gramStart"/>
            <w:r>
              <w:rPr>
                <w:rFonts w:eastAsiaTheme="minorHAnsi"/>
                <w:bCs/>
                <w:color w:val="0000FF"/>
              </w:rPr>
              <w:t>)(</w:t>
            </w:r>
            <w:proofErr w:type="gramEnd"/>
            <w:r>
              <w:rPr>
                <w:rFonts w:eastAsiaTheme="minorHAnsi"/>
                <w:bCs/>
                <w:color w:val="0000FF"/>
              </w:rPr>
              <w:t>2)(iv)</w:t>
            </w:r>
            <w:r>
              <w:rPr>
                <w:rFonts w:eastAsiaTheme="minorHAnsi"/>
                <w:bCs/>
                <w:color w:val="000000"/>
              </w:rPr>
              <w:t>, that</w:t>
            </w:r>
            <w:r w:rsidR="0064760D">
              <w:rPr>
                <w:rFonts w:eastAsiaTheme="minorHAnsi"/>
                <w:bCs/>
                <w:color w:val="000000"/>
              </w:rPr>
              <w:t xml:space="preserve"> </w:t>
            </w:r>
            <w:r>
              <w:rPr>
                <w:rFonts w:eastAsiaTheme="minorHAnsi"/>
                <w:bCs/>
                <w:color w:val="000000"/>
              </w:rPr>
              <w:t xml:space="preserve">requires such notification of other state and local </w:t>
            </w:r>
            <w:r>
              <w:rPr>
                <w:rFonts w:eastAsiaTheme="minorHAnsi"/>
                <w:bCs/>
                <w:color w:val="000000"/>
              </w:rPr>
              <w:lastRenderedPageBreak/>
              <w:t>agencies. States relying on the federal program</w:t>
            </w:r>
            <w:r w:rsidR="0064760D">
              <w:rPr>
                <w:rFonts w:eastAsiaTheme="minorHAnsi"/>
                <w:bCs/>
                <w:color w:val="000000"/>
              </w:rPr>
              <w:t xml:space="preserve"> </w:t>
            </w:r>
            <w:r>
              <w:rPr>
                <w:rFonts w:eastAsiaTheme="minorHAnsi"/>
                <w:bCs/>
                <w:color w:val="000000"/>
              </w:rPr>
              <w:t xml:space="preserve">requirements of </w:t>
            </w:r>
            <w:r>
              <w:rPr>
                <w:rFonts w:eastAsiaTheme="minorHAnsi"/>
                <w:bCs/>
                <w:color w:val="0000FF"/>
              </w:rPr>
              <w:t>40 CFR 52.21(q)</w:t>
            </w:r>
            <w:r>
              <w:rPr>
                <w:rFonts w:eastAsiaTheme="minorHAnsi"/>
                <w:bCs/>
                <w:color w:val="000000"/>
              </w:rPr>
              <w:t>, which provide for notification of affected state and local air agencies,</w:t>
            </w:r>
            <w:r w:rsidR="0064760D">
              <w:rPr>
                <w:rFonts w:eastAsiaTheme="minorHAnsi"/>
                <w:bCs/>
                <w:color w:val="000000"/>
              </w:rPr>
              <w:t xml:space="preserve"> </w:t>
            </w:r>
            <w:r>
              <w:rPr>
                <w:rFonts w:eastAsiaTheme="minorHAnsi"/>
                <w:bCs/>
                <w:color w:val="000000"/>
              </w:rPr>
              <w:t>to satisfy this requirement have programs that are technically deficient and not approvable. Although</w:t>
            </w:r>
            <w:r w:rsidR="0064760D">
              <w:rPr>
                <w:rFonts w:eastAsiaTheme="minorHAnsi"/>
                <w:bCs/>
                <w:color w:val="000000"/>
              </w:rPr>
              <w:t xml:space="preserve"> </w:t>
            </w:r>
            <w:r>
              <w:rPr>
                <w:rFonts w:eastAsiaTheme="minorHAnsi"/>
                <w:bCs/>
                <w:color w:val="000000"/>
              </w:rPr>
              <w:t>these programs are deficient and these states have not “submitted” anything to EPA, EPA would not be</w:t>
            </w:r>
            <w:r w:rsidR="0064760D">
              <w:rPr>
                <w:rFonts w:eastAsiaTheme="minorHAnsi"/>
                <w:bCs/>
                <w:color w:val="000000"/>
              </w:rPr>
              <w:t xml:space="preserve"> </w:t>
            </w:r>
            <w:r>
              <w:rPr>
                <w:rFonts w:eastAsiaTheme="minorHAnsi"/>
                <w:bCs/>
                <w:color w:val="000000"/>
              </w:rPr>
              <w:t>required to take further action with respect to this element because the federal rules represent a FIP that</w:t>
            </w:r>
            <w:r w:rsidR="0064760D">
              <w:rPr>
                <w:rFonts w:eastAsiaTheme="minorHAnsi"/>
                <w:bCs/>
                <w:color w:val="000000"/>
              </w:rPr>
              <w:t xml:space="preserve"> </w:t>
            </w:r>
            <w:r>
              <w:rPr>
                <w:rFonts w:eastAsiaTheme="minorHAnsi"/>
                <w:bCs/>
                <w:color w:val="000000"/>
              </w:rPr>
              <w:t>fully addresses the notification issue. In addition, mandatory sanctions would not apply because the</w:t>
            </w:r>
            <w:r w:rsidR="0064760D">
              <w:rPr>
                <w:rFonts w:eastAsiaTheme="minorHAnsi"/>
                <w:bCs/>
                <w:color w:val="000000"/>
              </w:rPr>
              <w:t xml:space="preserve"> </w:t>
            </w:r>
            <w:r>
              <w:rPr>
                <w:rFonts w:eastAsiaTheme="minorHAnsi"/>
                <w:bCs/>
                <w:color w:val="000000"/>
              </w:rPr>
              <w:t>deficiencies are neither with regard to a required submittal under part D nor in response to an SIP call</w:t>
            </w:r>
            <w:r w:rsidR="0064760D">
              <w:rPr>
                <w:rFonts w:eastAsiaTheme="minorHAnsi"/>
                <w:bCs/>
                <w:color w:val="000000"/>
              </w:rPr>
              <w:t xml:space="preserve"> </w:t>
            </w:r>
            <w:r>
              <w:rPr>
                <w:rFonts w:eastAsiaTheme="minorHAnsi"/>
                <w:bCs/>
                <w:color w:val="000000"/>
              </w:rPr>
              <w:t xml:space="preserve">under </w:t>
            </w:r>
            <w:r>
              <w:rPr>
                <w:rFonts w:eastAsiaTheme="minorHAnsi"/>
                <w:bCs/>
                <w:color w:val="0000FF"/>
              </w:rPr>
              <w:t>CAA Section 110(k</w:t>
            </w:r>
            <w:proofErr w:type="gramStart"/>
            <w:r>
              <w:rPr>
                <w:rFonts w:eastAsiaTheme="minorHAnsi"/>
                <w:bCs/>
                <w:color w:val="0000FF"/>
              </w:rPr>
              <w:t>)(</w:t>
            </w:r>
            <w:proofErr w:type="gramEnd"/>
            <w:r>
              <w:rPr>
                <w:rFonts w:eastAsiaTheme="minorHAnsi"/>
                <w:bCs/>
                <w:color w:val="0000FF"/>
              </w:rPr>
              <w:t>5)</w:t>
            </w:r>
            <w:r>
              <w:rPr>
                <w:rFonts w:eastAsiaTheme="minorHAnsi"/>
                <w:bCs/>
                <w:color w:val="000000"/>
              </w:rPr>
              <w:t>. As described in this infrastructure SIP guidance for element (C), such</w:t>
            </w:r>
            <w:r w:rsidR="0064760D">
              <w:rPr>
                <w:rFonts w:eastAsiaTheme="minorHAnsi"/>
                <w:bCs/>
                <w:color w:val="000000"/>
              </w:rPr>
              <w:t xml:space="preserve"> </w:t>
            </w:r>
            <w:r>
              <w:rPr>
                <w:rFonts w:eastAsiaTheme="minorHAnsi"/>
                <w:bCs/>
                <w:color w:val="000000"/>
              </w:rPr>
              <w:t>states remain obligated to adopt and submit a PSD program for EPA approval that applies to all regulated</w:t>
            </w:r>
            <w:r w:rsidR="0064760D">
              <w:rPr>
                <w:rFonts w:eastAsiaTheme="minorHAnsi"/>
                <w:bCs/>
                <w:color w:val="000000"/>
              </w:rPr>
              <w:t xml:space="preserve"> </w:t>
            </w:r>
            <w:r>
              <w:rPr>
                <w:rFonts w:eastAsiaTheme="minorHAnsi"/>
                <w:bCs/>
                <w:color w:val="000000"/>
                <w:sz w:val="13"/>
                <w:szCs w:val="13"/>
              </w:rPr>
              <w:t xml:space="preserve">9 </w:t>
            </w:r>
            <w:r>
              <w:rPr>
                <w:rFonts w:eastAsiaTheme="minorHAnsi"/>
                <w:bCs/>
                <w:color w:val="000000"/>
                <w:sz w:val="20"/>
                <w:szCs w:val="20"/>
              </w:rPr>
              <w:t xml:space="preserve">Memorandum from Mark Schmidt, OAQPS, “Ambient </w:t>
            </w:r>
            <w:proofErr w:type="spellStart"/>
            <w:r>
              <w:rPr>
                <w:rFonts w:eastAsiaTheme="minorHAnsi"/>
                <w:bCs/>
                <w:color w:val="000000"/>
                <w:sz w:val="20"/>
                <w:szCs w:val="20"/>
              </w:rPr>
              <w:t>Pb’s</w:t>
            </w:r>
            <w:proofErr w:type="spellEnd"/>
            <w:r>
              <w:rPr>
                <w:rFonts w:eastAsiaTheme="minorHAnsi"/>
                <w:bCs/>
                <w:color w:val="000000"/>
                <w:sz w:val="20"/>
                <w:szCs w:val="20"/>
              </w:rPr>
              <w:t xml:space="preserve"> Contribution to Class 1 Area Visibility Impairment,” June 17,</w:t>
            </w:r>
            <w:r w:rsidR="0064760D">
              <w:rPr>
                <w:rFonts w:eastAsiaTheme="minorHAnsi"/>
                <w:bCs/>
                <w:color w:val="000000"/>
                <w:sz w:val="20"/>
                <w:szCs w:val="20"/>
              </w:rPr>
              <w:t xml:space="preserve"> </w:t>
            </w:r>
            <w:r>
              <w:rPr>
                <w:rFonts w:eastAsiaTheme="minorHAnsi"/>
                <w:bCs/>
                <w:color w:val="000000"/>
                <w:sz w:val="20"/>
                <w:szCs w:val="20"/>
              </w:rPr>
              <w:t>2011.</w:t>
            </w:r>
            <w:r w:rsidR="0064760D">
              <w:rPr>
                <w:rFonts w:eastAsiaTheme="minorHAnsi"/>
                <w:bCs/>
                <w:color w:val="000000"/>
                <w:sz w:val="20"/>
                <w:szCs w:val="20"/>
              </w:rPr>
              <w:t xml:space="preserve"> </w:t>
            </w:r>
            <w:r>
              <w:rPr>
                <w:rFonts w:eastAsiaTheme="minorHAnsi"/>
                <w:bCs/>
                <w:color w:val="000000"/>
              </w:rPr>
              <w:t>Attachment</w:t>
            </w:r>
            <w:r w:rsidR="0064760D">
              <w:rPr>
                <w:rFonts w:eastAsiaTheme="minorHAnsi"/>
                <w:bCs/>
                <w:color w:val="000000"/>
              </w:rPr>
              <w:t xml:space="preserve"> </w:t>
            </w:r>
            <w:r>
              <w:rPr>
                <w:rFonts w:eastAsiaTheme="minorHAnsi"/>
                <w:bCs/>
                <w:color w:val="000000"/>
              </w:rPr>
              <w:t>10</w:t>
            </w:r>
            <w:r w:rsidR="0064760D">
              <w:rPr>
                <w:rFonts w:eastAsiaTheme="minorHAnsi"/>
                <w:bCs/>
                <w:color w:val="000000"/>
              </w:rPr>
              <w:t xml:space="preserve"> </w:t>
            </w:r>
            <w:r>
              <w:rPr>
                <w:rFonts w:eastAsiaTheme="minorHAnsi"/>
                <w:bCs/>
                <w:color w:val="000000"/>
              </w:rPr>
              <w:t>NSR pollutants, including GHG. Until a state provides such a program, its infrastructure SIP would not</w:t>
            </w:r>
            <w:r w:rsidR="0064760D">
              <w:rPr>
                <w:rFonts w:eastAsiaTheme="minorHAnsi"/>
                <w:bCs/>
                <w:color w:val="000000"/>
              </w:rPr>
              <w:t xml:space="preserve"> </w:t>
            </w:r>
            <w:r>
              <w:rPr>
                <w:rFonts w:eastAsiaTheme="minorHAnsi"/>
                <w:bCs/>
                <w:color w:val="000000"/>
              </w:rPr>
              <w:t>be approvable with respect to section 110(a</w:t>
            </w:r>
            <w:proofErr w:type="gramStart"/>
            <w:r>
              <w:rPr>
                <w:rFonts w:eastAsiaTheme="minorHAnsi"/>
                <w:bCs/>
                <w:color w:val="000000"/>
              </w:rPr>
              <w:t>)(</w:t>
            </w:r>
            <w:proofErr w:type="gramEnd"/>
            <w:r>
              <w:rPr>
                <w:rFonts w:eastAsiaTheme="minorHAnsi"/>
                <w:bCs/>
                <w:color w:val="000000"/>
              </w:rPr>
              <w:t>2)(D)(ii).</w:t>
            </w:r>
            <w:r w:rsidR="0064760D">
              <w:rPr>
                <w:rFonts w:eastAsiaTheme="minorHAnsi"/>
                <w:bCs/>
                <w:color w:val="000000"/>
              </w:rPr>
              <w:t xml:space="preserve"> </w:t>
            </w:r>
            <w:r>
              <w:rPr>
                <w:rFonts w:eastAsiaTheme="minorHAnsi"/>
                <w:bCs/>
                <w:color w:val="000000"/>
              </w:rPr>
              <w:t>Sections 126(b) and 126(c) of the CAA affect a state only if the Administrator has been petitioned</w:t>
            </w:r>
            <w:r w:rsidR="0064760D">
              <w:rPr>
                <w:rFonts w:eastAsiaTheme="minorHAnsi"/>
                <w:bCs/>
                <w:color w:val="000000"/>
              </w:rPr>
              <w:t xml:space="preserve"> </w:t>
            </w:r>
            <w:r>
              <w:rPr>
                <w:rFonts w:eastAsiaTheme="minorHAnsi"/>
                <w:bCs/>
                <w:color w:val="000000"/>
              </w:rPr>
              <w:t>to make a finding of violation that is related to either interstate transport or international transport of</w:t>
            </w:r>
            <w:r w:rsidR="0064760D">
              <w:rPr>
                <w:rFonts w:eastAsiaTheme="minorHAnsi"/>
                <w:bCs/>
                <w:color w:val="000000"/>
              </w:rPr>
              <w:t xml:space="preserve"> </w:t>
            </w:r>
            <w:r>
              <w:rPr>
                <w:rFonts w:eastAsiaTheme="minorHAnsi"/>
                <w:bCs/>
                <w:color w:val="000000"/>
              </w:rPr>
              <w:t>emissions from sources in the state. Thus, unless a state has been the subject of such a petition, the state</w:t>
            </w:r>
            <w:r w:rsidR="0064760D">
              <w:rPr>
                <w:rFonts w:eastAsiaTheme="minorHAnsi"/>
                <w:bCs/>
                <w:color w:val="000000"/>
              </w:rPr>
              <w:t xml:space="preserve"> </w:t>
            </w:r>
            <w:r>
              <w:rPr>
                <w:rFonts w:eastAsiaTheme="minorHAnsi"/>
                <w:bCs/>
                <w:color w:val="000000"/>
              </w:rPr>
              <w:t>has no continuing obligation under sections 126(b) or 126(c).</w:t>
            </w:r>
            <w:r w:rsidR="0064760D">
              <w:rPr>
                <w:rFonts w:eastAsiaTheme="minorHAnsi"/>
                <w:bCs/>
                <w:color w:val="000000"/>
              </w:rPr>
              <w:t xml:space="preserve"> </w:t>
            </w:r>
            <w:r>
              <w:rPr>
                <w:rFonts w:eastAsiaTheme="minorHAnsi"/>
                <w:bCs/>
                <w:color w:val="000000"/>
              </w:rPr>
              <w:t>Section 115 of the CAA authorizes the Administrator to require a state to revise its SIP under</w:t>
            </w:r>
            <w:r w:rsidR="0064760D">
              <w:rPr>
                <w:rFonts w:eastAsiaTheme="minorHAnsi"/>
                <w:bCs/>
                <w:color w:val="000000"/>
              </w:rPr>
              <w:t xml:space="preserve"> </w:t>
            </w:r>
            <w:r>
              <w:rPr>
                <w:rFonts w:eastAsiaTheme="minorHAnsi"/>
                <w:bCs/>
                <w:color w:val="000000"/>
              </w:rPr>
              <w:t>certain conditions to alleviate international transport. Because there are no pending actions pursuant to</w:t>
            </w:r>
            <w:r w:rsidR="0064760D">
              <w:rPr>
                <w:rFonts w:eastAsiaTheme="minorHAnsi"/>
                <w:bCs/>
                <w:color w:val="000000"/>
              </w:rPr>
              <w:t xml:space="preserve"> </w:t>
            </w:r>
            <w:r>
              <w:rPr>
                <w:rFonts w:eastAsiaTheme="minorHAnsi"/>
                <w:bCs/>
                <w:color w:val="000000"/>
              </w:rPr>
              <w:t>Section 115 of the CAA, EPA has no expectation that the state would need to submit anything in regards</w:t>
            </w:r>
            <w:r w:rsidR="0064760D">
              <w:rPr>
                <w:rFonts w:eastAsiaTheme="minorHAnsi"/>
                <w:bCs/>
                <w:color w:val="000000"/>
              </w:rPr>
              <w:t xml:space="preserve"> </w:t>
            </w:r>
            <w:r>
              <w:rPr>
                <w:rFonts w:eastAsiaTheme="minorHAnsi"/>
                <w:bCs/>
                <w:color w:val="000000"/>
              </w:rPr>
              <w:t>to Section 115 at this time.”</w:t>
            </w:r>
          </w:p>
        </w:tc>
        <w:tc>
          <w:tcPr>
            <w:tcW w:w="1388" w:type="pct"/>
          </w:tcPr>
          <w:p w:rsidR="008168B1" w:rsidRPr="0020270F" w:rsidRDefault="008168B1" w:rsidP="00B86219">
            <w:pPr>
              <w:ind w:left="23"/>
              <w:rPr>
                <w:i/>
                <w:iCs/>
                <w:color w:val="000000"/>
              </w:rPr>
            </w:pPr>
          </w:p>
        </w:tc>
      </w:tr>
      <w:tr w:rsidR="000D474E" w:rsidRPr="00474742" w:rsidTr="000E2BC0">
        <w:trPr>
          <w:gridAfter w:val="1"/>
          <w:wAfter w:w="7" w:type="pct"/>
        </w:trPr>
        <w:tc>
          <w:tcPr>
            <w:tcW w:w="638" w:type="pct"/>
          </w:tcPr>
          <w:p w:rsidR="000D474E" w:rsidRPr="00A32412" w:rsidRDefault="000D474E" w:rsidP="00B86219">
            <w:pPr>
              <w:rPr>
                <w:b/>
                <w:bCs/>
                <w:color w:val="000000" w:themeColor="text1"/>
              </w:rPr>
            </w:pPr>
          </w:p>
        </w:tc>
        <w:tc>
          <w:tcPr>
            <w:tcW w:w="960" w:type="pct"/>
          </w:tcPr>
          <w:p w:rsidR="000D474E" w:rsidRPr="0020270F" w:rsidRDefault="000D474E" w:rsidP="00B86219">
            <w:pPr>
              <w:ind w:left="23"/>
              <w:rPr>
                <w:i/>
                <w:iCs/>
                <w:color w:val="000000"/>
              </w:rPr>
            </w:pPr>
          </w:p>
        </w:tc>
        <w:tc>
          <w:tcPr>
            <w:tcW w:w="2007" w:type="pct"/>
          </w:tcPr>
          <w:p w:rsidR="000D474E" w:rsidRDefault="000D474E" w:rsidP="009D4B89">
            <w:pPr>
              <w:ind w:left="23"/>
              <w:rPr>
                <w:rFonts w:eastAsiaTheme="minorHAnsi"/>
                <w:bCs/>
                <w:color w:val="000000"/>
              </w:rPr>
            </w:pPr>
          </w:p>
        </w:tc>
        <w:tc>
          <w:tcPr>
            <w:tcW w:w="1388" w:type="pct"/>
          </w:tcPr>
          <w:p w:rsidR="000D474E" w:rsidRPr="0020270F" w:rsidRDefault="000D474E" w:rsidP="00B86219">
            <w:pPr>
              <w:ind w:left="23"/>
              <w:rPr>
                <w:i/>
                <w:iCs/>
                <w:color w:val="000000"/>
              </w:rPr>
            </w:pPr>
          </w:p>
        </w:tc>
      </w:tr>
    </w:tbl>
    <w:p w:rsidR="00CB4862" w:rsidRDefault="0064760D">
      <w:r>
        <w:t xml:space="preserve"> </w:t>
      </w:r>
    </w:p>
    <w:sectPr w:rsidR="00CB4862" w:rsidSect="008168B1">
      <w:headerReference w:type="default" r:id="rId7"/>
      <w:pgSz w:w="24480" w:h="15840" w:orient="landscape" w:code="3"/>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6E3" w:rsidRDefault="00A146E3" w:rsidP="0055415D">
      <w:r>
        <w:separator/>
      </w:r>
    </w:p>
  </w:endnote>
  <w:endnote w:type="continuationSeparator" w:id="0">
    <w:p w:rsidR="00A146E3" w:rsidRDefault="00A146E3" w:rsidP="00554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6E3" w:rsidRDefault="00A146E3" w:rsidP="0055415D">
      <w:r>
        <w:separator/>
      </w:r>
    </w:p>
  </w:footnote>
  <w:footnote w:type="continuationSeparator" w:id="0">
    <w:p w:rsidR="00A146E3" w:rsidRDefault="00A146E3" w:rsidP="0055415D">
      <w:r>
        <w:continuationSeparator/>
      </w:r>
    </w:p>
  </w:footnote>
  <w:footnote w:id="1">
    <w:p w:rsidR="00FF29B4" w:rsidRDefault="00FF29B4">
      <w:pPr>
        <w:pStyle w:val="FootnoteText"/>
      </w:pPr>
      <w:r>
        <w:rPr>
          <w:rStyle w:val="FootnoteReference"/>
        </w:rPr>
        <w:footnoteRef/>
      </w:r>
      <w:r>
        <w:t xml:space="preserve"> Guidance on Infrastructure State Implementation Plan (SIP) Elements Required Under Sections 110(a)(1) and 110(a)(2) for the 2008 Lead (Pb) National Ambient Air Quality Standards (NAAQS)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5D" w:rsidRDefault="0055415D">
    <w:pPr>
      <w:pStyle w:val="Header"/>
    </w:pPr>
    <w:r>
      <w:t>Lead Interstate Transport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168B1"/>
    <w:rsid w:val="0009194A"/>
    <w:rsid w:val="000D474E"/>
    <w:rsid w:val="000E2BC0"/>
    <w:rsid w:val="003C0FFD"/>
    <w:rsid w:val="003E3F72"/>
    <w:rsid w:val="0055415D"/>
    <w:rsid w:val="005B4A53"/>
    <w:rsid w:val="0064760D"/>
    <w:rsid w:val="006E3F46"/>
    <w:rsid w:val="0074232D"/>
    <w:rsid w:val="008168B1"/>
    <w:rsid w:val="009B0DAD"/>
    <w:rsid w:val="009D4B89"/>
    <w:rsid w:val="00A146E3"/>
    <w:rsid w:val="00A32412"/>
    <w:rsid w:val="00AC4B99"/>
    <w:rsid w:val="00CB4862"/>
    <w:rsid w:val="00DB2AAB"/>
    <w:rsid w:val="00F218A5"/>
    <w:rsid w:val="00FB0517"/>
    <w:rsid w:val="00FF2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8B1"/>
    <w:pPr>
      <w:spacing w:after="0" w:line="240" w:lineRule="auto"/>
    </w:pPr>
    <w:rPr>
      <w:rFonts w:eastAsia="Times New Roman"/>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168B1"/>
    <w:pPr>
      <w:autoSpaceDE w:val="0"/>
      <w:autoSpaceDN w:val="0"/>
      <w:adjustRightInd w:val="0"/>
      <w:ind w:left="720"/>
    </w:pPr>
  </w:style>
  <w:style w:type="character" w:customStyle="1" w:styleId="BodyTextIndentChar">
    <w:name w:val="Body Text Indent Char"/>
    <w:basedOn w:val="DefaultParagraphFont"/>
    <w:link w:val="BodyTextIndent"/>
    <w:rsid w:val="008168B1"/>
    <w:rPr>
      <w:rFonts w:eastAsia="Times New Roman"/>
      <w:bCs w:val="0"/>
      <w:color w:val="auto"/>
    </w:rPr>
  </w:style>
  <w:style w:type="character" w:styleId="CommentReference">
    <w:name w:val="annotation reference"/>
    <w:basedOn w:val="DefaultParagraphFont"/>
    <w:semiHidden/>
    <w:rsid w:val="008168B1"/>
    <w:rPr>
      <w:sz w:val="16"/>
      <w:szCs w:val="16"/>
    </w:rPr>
  </w:style>
  <w:style w:type="paragraph" w:styleId="CommentText">
    <w:name w:val="annotation text"/>
    <w:basedOn w:val="Normal"/>
    <w:link w:val="CommentTextChar"/>
    <w:semiHidden/>
    <w:rsid w:val="008168B1"/>
    <w:rPr>
      <w:sz w:val="20"/>
      <w:szCs w:val="20"/>
    </w:rPr>
  </w:style>
  <w:style w:type="character" w:customStyle="1" w:styleId="CommentTextChar">
    <w:name w:val="Comment Text Char"/>
    <w:basedOn w:val="DefaultParagraphFont"/>
    <w:link w:val="CommentText"/>
    <w:uiPriority w:val="99"/>
    <w:semiHidden/>
    <w:rsid w:val="008168B1"/>
    <w:rPr>
      <w:rFonts w:eastAsia="Times New Roman"/>
      <w:bCs w:val="0"/>
      <w:color w:val="auto"/>
      <w:sz w:val="20"/>
      <w:szCs w:val="20"/>
    </w:rPr>
  </w:style>
  <w:style w:type="paragraph" w:styleId="BalloonText">
    <w:name w:val="Balloon Text"/>
    <w:basedOn w:val="Normal"/>
    <w:link w:val="BalloonTextChar"/>
    <w:uiPriority w:val="99"/>
    <w:semiHidden/>
    <w:unhideWhenUsed/>
    <w:rsid w:val="008168B1"/>
    <w:rPr>
      <w:rFonts w:ascii="Tahoma" w:hAnsi="Tahoma" w:cs="Tahoma"/>
      <w:sz w:val="16"/>
      <w:szCs w:val="16"/>
    </w:rPr>
  </w:style>
  <w:style w:type="character" w:customStyle="1" w:styleId="BalloonTextChar">
    <w:name w:val="Balloon Text Char"/>
    <w:basedOn w:val="DefaultParagraphFont"/>
    <w:link w:val="BalloonText"/>
    <w:uiPriority w:val="99"/>
    <w:semiHidden/>
    <w:rsid w:val="008168B1"/>
    <w:rPr>
      <w:rFonts w:ascii="Tahoma" w:eastAsia="Times New Roman" w:hAnsi="Tahoma" w:cs="Tahoma"/>
      <w:bCs w:val="0"/>
      <w:color w:val="auto"/>
      <w:sz w:val="16"/>
      <w:szCs w:val="16"/>
    </w:rPr>
  </w:style>
  <w:style w:type="paragraph" w:styleId="Header">
    <w:name w:val="header"/>
    <w:basedOn w:val="Normal"/>
    <w:link w:val="HeaderChar"/>
    <w:uiPriority w:val="99"/>
    <w:semiHidden/>
    <w:unhideWhenUsed/>
    <w:rsid w:val="0055415D"/>
    <w:pPr>
      <w:tabs>
        <w:tab w:val="center" w:pos="4680"/>
        <w:tab w:val="right" w:pos="9360"/>
      </w:tabs>
    </w:pPr>
  </w:style>
  <w:style w:type="character" w:customStyle="1" w:styleId="HeaderChar">
    <w:name w:val="Header Char"/>
    <w:basedOn w:val="DefaultParagraphFont"/>
    <w:link w:val="Header"/>
    <w:uiPriority w:val="99"/>
    <w:semiHidden/>
    <w:rsid w:val="0055415D"/>
    <w:rPr>
      <w:rFonts w:eastAsia="Times New Roman"/>
      <w:bCs w:val="0"/>
      <w:color w:val="auto"/>
    </w:rPr>
  </w:style>
  <w:style w:type="paragraph" w:styleId="Footer">
    <w:name w:val="footer"/>
    <w:basedOn w:val="Normal"/>
    <w:link w:val="FooterChar"/>
    <w:uiPriority w:val="99"/>
    <w:semiHidden/>
    <w:unhideWhenUsed/>
    <w:rsid w:val="0055415D"/>
    <w:pPr>
      <w:tabs>
        <w:tab w:val="center" w:pos="4680"/>
        <w:tab w:val="right" w:pos="9360"/>
      </w:tabs>
    </w:pPr>
  </w:style>
  <w:style w:type="character" w:customStyle="1" w:styleId="FooterChar">
    <w:name w:val="Footer Char"/>
    <w:basedOn w:val="DefaultParagraphFont"/>
    <w:link w:val="Footer"/>
    <w:uiPriority w:val="99"/>
    <w:semiHidden/>
    <w:rsid w:val="0055415D"/>
    <w:rPr>
      <w:rFonts w:eastAsia="Times New Roman"/>
      <w:bCs w:val="0"/>
      <w:color w:val="auto"/>
    </w:rPr>
  </w:style>
  <w:style w:type="paragraph" w:styleId="FootnoteText">
    <w:name w:val="footnote text"/>
    <w:basedOn w:val="Normal"/>
    <w:link w:val="FootnoteTextChar"/>
    <w:uiPriority w:val="99"/>
    <w:semiHidden/>
    <w:unhideWhenUsed/>
    <w:rsid w:val="00FF29B4"/>
    <w:rPr>
      <w:sz w:val="20"/>
      <w:szCs w:val="20"/>
    </w:rPr>
  </w:style>
  <w:style w:type="character" w:customStyle="1" w:styleId="FootnoteTextChar">
    <w:name w:val="Footnote Text Char"/>
    <w:basedOn w:val="DefaultParagraphFont"/>
    <w:link w:val="FootnoteText"/>
    <w:uiPriority w:val="99"/>
    <w:semiHidden/>
    <w:rsid w:val="00FF29B4"/>
    <w:rPr>
      <w:rFonts w:eastAsia="Times New Roman"/>
      <w:bCs w:val="0"/>
      <w:color w:val="auto"/>
      <w:sz w:val="20"/>
      <w:szCs w:val="20"/>
    </w:rPr>
  </w:style>
  <w:style w:type="character" w:styleId="FootnoteReference">
    <w:name w:val="footnote reference"/>
    <w:basedOn w:val="DefaultParagraphFont"/>
    <w:uiPriority w:val="99"/>
    <w:semiHidden/>
    <w:unhideWhenUsed/>
    <w:rsid w:val="00FF29B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0877F-5355-48C9-8CC1-FAF494FB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9</cp:revision>
  <dcterms:created xsi:type="dcterms:W3CDTF">2013-05-17T21:49:00Z</dcterms:created>
  <dcterms:modified xsi:type="dcterms:W3CDTF">2013-05-23T21:52:00Z</dcterms:modified>
</cp:coreProperties>
</file>