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3"/>
        <w:gridCol w:w="2395"/>
        <w:gridCol w:w="5176"/>
        <w:gridCol w:w="3550"/>
      </w:tblGrid>
      <w:tr w:rsidR="008606B1" w:rsidTr="00757553">
        <w:trPr>
          <w:tblHeader/>
        </w:trPr>
        <w:tc>
          <w:tcPr>
            <w:tcW w:w="638" w:type="pct"/>
          </w:tcPr>
          <w:p w:rsidR="008606B1" w:rsidRPr="00474742" w:rsidRDefault="008606B1" w:rsidP="00757553">
            <w:pPr>
              <w:rPr>
                <w:b/>
                <w:bCs/>
                <w:color w:val="000000"/>
              </w:rPr>
            </w:pPr>
            <w:r w:rsidRPr="00474742">
              <w:rPr>
                <w:b/>
                <w:bCs/>
                <w:color w:val="000000"/>
              </w:rPr>
              <w:t xml:space="preserve">Section 110(a) </w:t>
            </w:r>
            <w:r>
              <w:rPr>
                <w:b/>
                <w:bCs/>
                <w:color w:val="000000"/>
              </w:rPr>
              <w:t>E</w:t>
            </w:r>
            <w:r w:rsidRPr="00474742">
              <w:rPr>
                <w:b/>
                <w:bCs/>
                <w:color w:val="000000"/>
              </w:rPr>
              <w:t>lement</w:t>
            </w:r>
          </w:p>
        </w:tc>
        <w:tc>
          <w:tcPr>
            <w:tcW w:w="960" w:type="pct"/>
          </w:tcPr>
          <w:p w:rsidR="008606B1" w:rsidRPr="00474742" w:rsidRDefault="008606B1" w:rsidP="00757553">
            <w:pPr>
              <w:rPr>
                <w:b/>
                <w:color w:val="000000"/>
              </w:rPr>
            </w:pPr>
            <w:r w:rsidRPr="00474742">
              <w:rPr>
                <w:b/>
                <w:color w:val="000000"/>
              </w:rPr>
              <w:t xml:space="preserve">Summary of </w:t>
            </w:r>
            <w:r>
              <w:rPr>
                <w:b/>
                <w:color w:val="000000"/>
              </w:rPr>
              <w:t>E</w:t>
            </w:r>
            <w:r w:rsidRPr="00474742">
              <w:rPr>
                <w:b/>
                <w:color w:val="000000"/>
              </w:rPr>
              <w:t>lement</w:t>
            </w:r>
          </w:p>
        </w:tc>
        <w:tc>
          <w:tcPr>
            <w:tcW w:w="2007" w:type="pct"/>
          </w:tcPr>
          <w:p w:rsidR="008606B1" w:rsidRPr="00474742" w:rsidRDefault="008606B1" w:rsidP="008606B1">
            <w:pPr>
              <w:rPr>
                <w:b/>
                <w:color w:val="000000"/>
              </w:rPr>
            </w:pPr>
            <w:r>
              <w:rPr>
                <w:b/>
                <w:color w:val="000000"/>
              </w:rPr>
              <w:t>Guidance Narrative</w:t>
            </w:r>
          </w:p>
        </w:tc>
        <w:tc>
          <w:tcPr>
            <w:tcW w:w="1395" w:type="pct"/>
          </w:tcPr>
          <w:p w:rsidR="008606B1" w:rsidRDefault="008606B1" w:rsidP="00757553">
            <w:pPr>
              <w:rPr>
                <w:b/>
                <w:color w:val="000000"/>
              </w:rPr>
            </w:pPr>
          </w:p>
        </w:tc>
      </w:tr>
      <w:tr w:rsidR="008606B1" w:rsidRPr="00474742" w:rsidTr="00757553">
        <w:trPr>
          <w:trHeight w:val="2411"/>
        </w:trPr>
        <w:tc>
          <w:tcPr>
            <w:tcW w:w="638" w:type="pct"/>
          </w:tcPr>
          <w:p w:rsidR="008606B1" w:rsidRPr="00474742" w:rsidRDefault="008606B1" w:rsidP="00757553">
            <w:pPr>
              <w:rPr>
                <w:b/>
                <w:bCs/>
                <w:color w:val="000000"/>
              </w:rPr>
            </w:pPr>
            <w:r w:rsidRPr="00474742">
              <w:rPr>
                <w:b/>
                <w:bCs/>
                <w:color w:val="000000"/>
              </w:rPr>
              <w:t>§110(a)(2)(D)</w:t>
            </w:r>
          </w:p>
        </w:tc>
        <w:tc>
          <w:tcPr>
            <w:tcW w:w="960" w:type="pct"/>
          </w:tcPr>
          <w:p w:rsidR="008606B1" w:rsidRPr="008168B1" w:rsidRDefault="008606B1" w:rsidP="00757553">
            <w:pPr>
              <w:ind w:left="23"/>
              <w:rPr>
                <w:b/>
                <w:iCs/>
                <w:color w:val="000000"/>
              </w:rPr>
            </w:pPr>
            <w:r w:rsidRPr="008168B1">
              <w:rPr>
                <w:b/>
                <w:iCs/>
                <w:color w:val="000000"/>
              </w:rPr>
              <w:t>Interstate Transport</w:t>
            </w:r>
          </w:p>
        </w:tc>
        <w:tc>
          <w:tcPr>
            <w:tcW w:w="2007" w:type="pct"/>
          </w:tcPr>
          <w:p w:rsidR="009A173A" w:rsidRDefault="009A173A" w:rsidP="009A173A">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To address prongs 1 and 2 of section 110(a)(2)(D), the state’s submission should include</w:t>
            </w:r>
          </w:p>
          <w:p w:rsidR="009A173A" w:rsidRDefault="009A173A" w:rsidP="009A173A">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an assessment whether or not emissions from SO</w:t>
            </w:r>
            <w:r>
              <w:rPr>
                <w:rFonts w:ascii="TimesNewRomanPSMT" w:eastAsiaTheme="minorHAnsi" w:hAnsi="TimesNewRomanPSMT" w:cs="TimesNewRomanPSMT"/>
                <w:bCs/>
                <w:color w:val="000000"/>
                <w:sz w:val="16"/>
                <w:szCs w:val="16"/>
              </w:rPr>
              <w:t xml:space="preserve">2 </w:t>
            </w:r>
            <w:r>
              <w:rPr>
                <w:rFonts w:ascii="TimesNewRomanPSMT" w:eastAsiaTheme="minorHAnsi" w:hAnsi="TimesNewRomanPSMT" w:cs="TimesNewRomanPSMT"/>
                <w:bCs/>
                <w:color w:val="000000"/>
              </w:rPr>
              <w:t>sources located close to state borders (</w:t>
            </w:r>
            <w:r>
              <w:rPr>
                <w:rFonts w:eastAsiaTheme="minorHAnsi"/>
                <w:bCs/>
                <w:i/>
                <w:iCs/>
                <w:color w:val="000000"/>
              </w:rPr>
              <w:t>e.g.</w:t>
            </w:r>
            <w:r>
              <w:rPr>
                <w:rFonts w:ascii="TimesNewRomanPSMT" w:eastAsiaTheme="minorHAnsi" w:hAnsi="TimesNewRomanPSMT" w:cs="TimesNewRomanPSMT"/>
                <w:bCs/>
                <w:color w:val="000000"/>
              </w:rPr>
              <w:t>,</w:t>
            </w:r>
          </w:p>
          <w:p w:rsidR="009A173A" w:rsidRDefault="009A173A" w:rsidP="009A173A">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within the 50-km modeling domain used to assess source-specific SO</w:t>
            </w:r>
            <w:r>
              <w:rPr>
                <w:rFonts w:ascii="TimesNewRomanPSMT" w:eastAsiaTheme="minorHAnsi" w:hAnsi="TimesNewRomanPSMT" w:cs="TimesNewRomanPSMT"/>
                <w:bCs/>
                <w:color w:val="000000"/>
                <w:sz w:val="16"/>
                <w:szCs w:val="16"/>
              </w:rPr>
              <w:t xml:space="preserve">2 </w:t>
            </w:r>
            <w:r>
              <w:rPr>
                <w:rFonts w:ascii="TimesNewRomanPSMT" w:eastAsiaTheme="minorHAnsi" w:hAnsi="TimesNewRomanPSMT" w:cs="TimesNewRomanPSMT"/>
                <w:bCs/>
                <w:color w:val="000000"/>
              </w:rPr>
              <w:t>impacts</w:t>
            </w:r>
            <w:r>
              <w:rPr>
                <w:rFonts w:ascii="TimesNewRomanPSMT" w:eastAsiaTheme="minorHAnsi" w:hAnsi="TimesNewRomanPSMT" w:cs="TimesNewRomanPSMT"/>
                <w:bCs/>
                <w:color w:val="000000"/>
                <w:sz w:val="16"/>
                <w:szCs w:val="16"/>
              </w:rPr>
              <w:t>35</w:t>
            </w:r>
            <w:r>
              <w:rPr>
                <w:rFonts w:ascii="TimesNewRomanPSMT" w:eastAsiaTheme="minorHAnsi" w:hAnsi="TimesNewRomanPSMT" w:cs="TimesNewRomanPSMT"/>
                <w:bCs/>
                <w:color w:val="000000"/>
              </w:rPr>
              <w:t>) have associated</w:t>
            </w:r>
          </w:p>
          <w:p w:rsidR="009A173A" w:rsidRDefault="009A173A" w:rsidP="009A173A">
            <w:pPr>
              <w:autoSpaceDE w:val="0"/>
              <w:autoSpaceDN w:val="0"/>
              <w:adjustRightInd w:val="0"/>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interstate</w:t>
            </w:r>
            <w:proofErr w:type="gramEnd"/>
            <w:r>
              <w:rPr>
                <w:rFonts w:ascii="TimesNewRomanPSMT" w:eastAsiaTheme="minorHAnsi" w:hAnsi="TimesNewRomanPSMT" w:cs="TimesNewRomanPSMT"/>
                <w:bCs/>
                <w:color w:val="000000"/>
              </w:rPr>
              <w:t xml:space="preserve"> transport impacts and if so, address the impacts. The assessment might include, but is</w:t>
            </w:r>
          </w:p>
          <w:p w:rsidR="009A173A" w:rsidRDefault="009A173A" w:rsidP="009A173A">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not limited to, information concerning emissions in the state, meteorological conditions in the</w:t>
            </w:r>
          </w:p>
          <w:p w:rsidR="009A173A" w:rsidRDefault="009A173A" w:rsidP="009A173A">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state and the potentially impacted states, monitored ambient concentrations in the state and the</w:t>
            </w:r>
          </w:p>
          <w:p w:rsidR="009A173A" w:rsidRDefault="009A173A" w:rsidP="009A173A">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potentially impacted states, the distance to the nearest area that is not attaining the NAAQS in</w:t>
            </w:r>
          </w:p>
          <w:p w:rsidR="009A173A" w:rsidRDefault="009A173A" w:rsidP="009A173A">
            <w:pPr>
              <w:autoSpaceDE w:val="0"/>
              <w:autoSpaceDN w:val="0"/>
              <w:adjustRightInd w:val="0"/>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another</w:t>
            </w:r>
            <w:proofErr w:type="gramEnd"/>
            <w:r>
              <w:rPr>
                <w:rFonts w:ascii="TimesNewRomanPSMT" w:eastAsiaTheme="minorHAnsi" w:hAnsi="TimesNewRomanPSMT" w:cs="TimesNewRomanPSMT"/>
                <w:bCs/>
                <w:color w:val="000000"/>
              </w:rPr>
              <w:t xml:space="preserve"> state, and air quality modeling. For areas designated as unclassifiable, this assessment</w:t>
            </w:r>
          </w:p>
          <w:p w:rsidR="009A173A" w:rsidRDefault="009A173A" w:rsidP="009A173A">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could also be informed by the analysis conducted to satisfy 110(a)(1) maintenance SIP</w:t>
            </w:r>
          </w:p>
          <w:p w:rsidR="008606B1" w:rsidRPr="008168B1" w:rsidRDefault="009A173A" w:rsidP="009A173A">
            <w:pPr>
              <w:ind w:left="23" w:right="-142"/>
              <w:rPr>
                <w:iCs/>
                <w:color w:val="000000"/>
              </w:rPr>
            </w:pPr>
            <w:proofErr w:type="gramStart"/>
            <w:r>
              <w:rPr>
                <w:rFonts w:ascii="TimesNewRomanPSMT" w:eastAsiaTheme="minorHAnsi" w:hAnsi="TimesNewRomanPSMT" w:cs="TimesNewRomanPSMT"/>
                <w:bCs/>
                <w:color w:val="000000"/>
              </w:rPr>
              <w:t>requirements</w:t>
            </w:r>
            <w:proofErr w:type="gramEnd"/>
            <w:r>
              <w:rPr>
                <w:rFonts w:ascii="TimesNewRomanPSMT" w:eastAsiaTheme="minorHAnsi" w:hAnsi="TimesNewRomanPSMT" w:cs="TimesNewRomanPSMT"/>
                <w:bCs/>
                <w:color w:val="000000"/>
              </w:rPr>
              <w:t>.</w:t>
            </w:r>
            <w:r>
              <w:rPr>
                <w:rStyle w:val="FootnoteReference"/>
                <w:rFonts w:ascii="TimesNewRomanPSMT" w:eastAsiaTheme="minorHAnsi" w:hAnsi="TimesNewRomanPSMT" w:cs="TimesNewRomanPSMT"/>
                <w:bCs/>
                <w:color w:val="000000"/>
              </w:rPr>
              <w:footnoteReference w:id="1"/>
            </w:r>
          </w:p>
        </w:tc>
        <w:tc>
          <w:tcPr>
            <w:tcW w:w="1388" w:type="pct"/>
          </w:tcPr>
          <w:p w:rsidR="008606B1" w:rsidRPr="00474742" w:rsidRDefault="008606B1" w:rsidP="00757553">
            <w:pPr>
              <w:ind w:left="23"/>
              <w:rPr>
                <w:i/>
                <w:iCs/>
                <w:color w:val="000000"/>
              </w:rPr>
            </w:pPr>
          </w:p>
        </w:tc>
      </w:tr>
      <w:tr w:rsidR="008606B1" w:rsidRPr="00474742" w:rsidTr="00757553">
        <w:tc>
          <w:tcPr>
            <w:tcW w:w="638" w:type="pct"/>
          </w:tcPr>
          <w:p w:rsidR="008606B1" w:rsidRPr="00474742" w:rsidRDefault="008606B1" w:rsidP="00757553">
            <w:pPr>
              <w:rPr>
                <w:b/>
                <w:bCs/>
                <w:color w:val="000000"/>
              </w:rPr>
            </w:pPr>
            <w:r w:rsidRPr="00474742">
              <w:rPr>
                <w:b/>
                <w:bCs/>
                <w:color w:val="000000"/>
              </w:rPr>
              <w:t>§110(a)(2)(D)</w:t>
            </w:r>
            <w:r>
              <w:rPr>
                <w:b/>
                <w:bCs/>
                <w:color w:val="000000"/>
              </w:rPr>
              <w:t>(i)(I)</w:t>
            </w:r>
          </w:p>
          <w:p w:rsidR="008606B1" w:rsidRPr="00474742" w:rsidRDefault="008606B1" w:rsidP="00757553">
            <w:pPr>
              <w:rPr>
                <w:b/>
                <w:bCs/>
                <w:color w:val="000000"/>
              </w:rPr>
            </w:pPr>
            <w:r w:rsidRPr="00474742">
              <w:rPr>
                <w:b/>
                <w:bCs/>
                <w:color w:val="000000"/>
              </w:rPr>
              <w:t>Interstate transport</w:t>
            </w:r>
            <w:r>
              <w:rPr>
                <w:b/>
                <w:bCs/>
                <w:color w:val="000000"/>
              </w:rPr>
              <w:t xml:space="preserve"> as it relates to significant contribution to nonattainment and interference with maintenance</w:t>
            </w:r>
          </w:p>
        </w:tc>
        <w:tc>
          <w:tcPr>
            <w:tcW w:w="960" w:type="pct"/>
          </w:tcPr>
          <w:p w:rsidR="008606B1" w:rsidRPr="00474742" w:rsidRDefault="008606B1" w:rsidP="00757553">
            <w:pPr>
              <w:ind w:left="23"/>
              <w:rPr>
                <w:i/>
                <w:iCs/>
                <w:color w:val="000000"/>
              </w:rPr>
            </w:pPr>
            <w:r w:rsidRPr="00474742">
              <w:rPr>
                <w:i/>
                <w:iCs/>
                <w:color w:val="000000"/>
              </w:rPr>
              <w:t>contain adequate provisions</w:t>
            </w:r>
          </w:p>
          <w:p w:rsidR="008606B1" w:rsidRPr="00474742" w:rsidRDefault="008606B1" w:rsidP="00757553">
            <w:pPr>
              <w:pStyle w:val="BodyTextIndent"/>
              <w:ind w:left="23"/>
              <w:rPr>
                <w:i/>
                <w:iCs/>
                <w:color w:val="000000"/>
              </w:rPr>
            </w:pPr>
            <w:r w:rsidRPr="00474742">
              <w:rPr>
                <w:i/>
                <w:iCs/>
                <w:color w:val="000000"/>
              </w:rPr>
              <w:t xml:space="preserve">   (i) prohibiting, consistent with the provisions of this</w:t>
            </w:r>
            <w:r>
              <w:rPr>
                <w:i/>
                <w:iCs/>
                <w:color w:val="000000"/>
              </w:rPr>
              <w:t xml:space="preserve"> subchapter</w:t>
            </w:r>
            <w:r w:rsidRPr="00474742">
              <w:rPr>
                <w:i/>
                <w:iCs/>
                <w:color w:val="000000"/>
              </w:rPr>
              <w:t xml:space="preserve">, any source or other type of emissions activity within the state from emitting any air </w:t>
            </w:r>
            <w:r w:rsidRPr="00474742">
              <w:rPr>
                <w:i/>
                <w:iCs/>
                <w:color w:val="000000"/>
              </w:rPr>
              <w:lastRenderedPageBreak/>
              <w:t>pollutant in amounts which will</w:t>
            </w:r>
          </w:p>
          <w:p w:rsidR="008606B1" w:rsidRPr="00474742" w:rsidRDefault="008606B1" w:rsidP="00757553">
            <w:pPr>
              <w:ind w:left="23"/>
              <w:rPr>
                <w:i/>
                <w:iCs/>
                <w:color w:val="000000"/>
              </w:rPr>
            </w:pPr>
            <w:r w:rsidRPr="00474742">
              <w:rPr>
                <w:i/>
                <w:iCs/>
                <w:color w:val="000000"/>
              </w:rPr>
              <w:t xml:space="preserve">     (I) contribute significantly to nonattainment in, or interfere with maintenance by, any other state with respect to any such national primary or secondary ambient air quality standard, or</w:t>
            </w:r>
          </w:p>
          <w:p w:rsidR="008606B1" w:rsidRPr="00474742" w:rsidRDefault="008606B1" w:rsidP="00757553">
            <w:pPr>
              <w:ind w:left="23"/>
              <w:rPr>
                <w:i/>
                <w:iCs/>
                <w:color w:val="000000"/>
              </w:rPr>
            </w:pPr>
            <w:r w:rsidRPr="00474742">
              <w:rPr>
                <w:i/>
                <w:iCs/>
                <w:color w:val="000000"/>
              </w:rPr>
              <w:t xml:space="preserve">       </w:t>
            </w:r>
          </w:p>
        </w:tc>
        <w:tc>
          <w:tcPr>
            <w:tcW w:w="2007" w:type="pct"/>
          </w:tcPr>
          <w:p w:rsidR="009A173A" w:rsidRDefault="009A173A" w:rsidP="009A173A">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lastRenderedPageBreak/>
              <w:t>EPA has proposed several rules that will or may reduce emissions of SO</w:t>
            </w:r>
            <w:r>
              <w:rPr>
                <w:rFonts w:ascii="TimesNewRomanPSMT" w:eastAsiaTheme="minorHAnsi" w:hAnsi="TimesNewRomanPSMT" w:cs="TimesNewRomanPSMT"/>
                <w:bCs/>
                <w:color w:val="000000"/>
                <w:sz w:val="16"/>
                <w:szCs w:val="16"/>
              </w:rPr>
              <w:t>2</w:t>
            </w:r>
            <w:r>
              <w:rPr>
                <w:rFonts w:ascii="TimesNewRomanPSMT" w:eastAsiaTheme="minorHAnsi" w:hAnsi="TimesNewRomanPSMT" w:cs="TimesNewRomanPSMT"/>
                <w:bCs/>
                <w:color w:val="000000"/>
              </w:rPr>
              <w:t>, such as the</w:t>
            </w:r>
          </w:p>
          <w:p w:rsidR="009A173A" w:rsidRDefault="009A173A" w:rsidP="009A173A">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CSAPR, the Industrial Boilers MACT, and the MATS. The emissions reductions achieved under</w:t>
            </w:r>
          </w:p>
          <w:p w:rsidR="009A173A" w:rsidRDefault="009A173A" w:rsidP="009A173A">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these rules should result in reduced impacts from transported SO</w:t>
            </w:r>
            <w:r>
              <w:rPr>
                <w:rFonts w:ascii="TimesNewRomanPSMT" w:eastAsiaTheme="minorHAnsi" w:hAnsi="TimesNewRomanPSMT" w:cs="TimesNewRomanPSMT"/>
                <w:bCs/>
                <w:color w:val="000000"/>
                <w:sz w:val="16"/>
                <w:szCs w:val="16"/>
              </w:rPr>
              <w:t xml:space="preserve">2 </w:t>
            </w:r>
            <w:r>
              <w:rPr>
                <w:rFonts w:ascii="TimesNewRomanPSMT" w:eastAsiaTheme="minorHAnsi" w:hAnsi="TimesNewRomanPSMT" w:cs="TimesNewRomanPSMT"/>
                <w:bCs/>
                <w:color w:val="000000"/>
              </w:rPr>
              <w:t>emissions and states should</w:t>
            </w:r>
          </w:p>
          <w:p w:rsidR="009A173A" w:rsidRDefault="009A173A" w:rsidP="009A173A">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consider these measures, among others measures, in fulfilling the section 110(a)(2)(D)(i)(I)</w:t>
            </w:r>
          </w:p>
          <w:p w:rsidR="008606B1" w:rsidRPr="00474742" w:rsidRDefault="009A173A" w:rsidP="009A173A">
            <w:pPr>
              <w:ind w:left="23" w:right="-142"/>
              <w:rPr>
                <w:i/>
                <w:iCs/>
                <w:color w:val="000000"/>
              </w:rPr>
            </w:pPr>
            <w:proofErr w:type="gramStart"/>
            <w:r>
              <w:rPr>
                <w:rFonts w:ascii="TimesNewRomanPSMT" w:eastAsiaTheme="minorHAnsi" w:hAnsi="TimesNewRomanPSMT" w:cs="TimesNewRomanPSMT"/>
                <w:bCs/>
                <w:color w:val="000000"/>
              </w:rPr>
              <w:t>requirements</w:t>
            </w:r>
            <w:proofErr w:type="gramEnd"/>
            <w:r>
              <w:rPr>
                <w:rFonts w:ascii="TimesNewRomanPSMT" w:eastAsiaTheme="minorHAnsi" w:hAnsi="TimesNewRomanPSMT" w:cs="TimesNewRomanPSMT"/>
                <w:bCs/>
                <w:color w:val="000000"/>
              </w:rPr>
              <w:t>.</w:t>
            </w:r>
          </w:p>
        </w:tc>
        <w:tc>
          <w:tcPr>
            <w:tcW w:w="1388" w:type="pct"/>
          </w:tcPr>
          <w:p w:rsidR="008606B1" w:rsidRPr="00474742" w:rsidRDefault="008606B1" w:rsidP="00757553">
            <w:pPr>
              <w:ind w:left="23"/>
              <w:rPr>
                <w:i/>
                <w:iCs/>
                <w:color w:val="000000"/>
              </w:rPr>
            </w:pPr>
          </w:p>
        </w:tc>
      </w:tr>
      <w:tr w:rsidR="008606B1" w:rsidRPr="00474742" w:rsidTr="00757553">
        <w:tc>
          <w:tcPr>
            <w:tcW w:w="638" w:type="pct"/>
          </w:tcPr>
          <w:p w:rsidR="008606B1" w:rsidRPr="00A32412" w:rsidRDefault="008606B1" w:rsidP="00757553">
            <w:pPr>
              <w:rPr>
                <w:b/>
                <w:bCs/>
                <w:color w:val="000000" w:themeColor="text1"/>
              </w:rPr>
            </w:pPr>
            <w:r w:rsidRPr="00A32412">
              <w:rPr>
                <w:b/>
                <w:bCs/>
                <w:color w:val="000000" w:themeColor="text1"/>
              </w:rPr>
              <w:lastRenderedPageBreak/>
              <w:t>§110(a)(2)(D)(i)(II)</w:t>
            </w:r>
          </w:p>
          <w:p w:rsidR="008606B1" w:rsidRPr="00A32412" w:rsidRDefault="008606B1" w:rsidP="00757553">
            <w:pPr>
              <w:rPr>
                <w:b/>
                <w:bCs/>
                <w:color w:val="000000" w:themeColor="text1"/>
              </w:rPr>
            </w:pPr>
            <w:r w:rsidRPr="00A32412">
              <w:rPr>
                <w:b/>
                <w:bCs/>
                <w:color w:val="000000" w:themeColor="text1"/>
              </w:rPr>
              <w:t>Interstate transport as it relates to PSD and visibility</w:t>
            </w:r>
          </w:p>
        </w:tc>
        <w:tc>
          <w:tcPr>
            <w:tcW w:w="960" w:type="pct"/>
          </w:tcPr>
          <w:p w:rsidR="008606B1" w:rsidRPr="00474742" w:rsidRDefault="008606B1" w:rsidP="00757553">
            <w:pPr>
              <w:ind w:left="23"/>
              <w:rPr>
                <w:i/>
                <w:iCs/>
                <w:color w:val="000000"/>
              </w:rPr>
            </w:pPr>
            <w:r w:rsidRPr="00474742">
              <w:rPr>
                <w:i/>
                <w:iCs/>
                <w:color w:val="000000"/>
              </w:rPr>
              <w:t xml:space="preserve">(II) interfere with measures required to be included in the applicable implementation plan for any other State under part C </w:t>
            </w:r>
            <w:r>
              <w:rPr>
                <w:i/>
                <w:iCs/>
                <w:color w:val="000000"/>
              </w:rPr>
              <w:t xml:space="preserve">of this subchapter </w:t>
            </w:r>
            <w:r w:rsidRPr="00474742">
              <w:rPr>
                <w:i/>
                <w:iCs/>
                <w:color w:val="000000"/>
              </w:rPr>
              <w:t xml:space="preserve">to prevent significant deterioration of air quality or to protect visibility, </w:t>
            </w:r>
          </w:p>
          <w:p w:rsidR="008606B1" w:rsidRPr="00474742" w:rsidRDefault="008606B1" w:rsidP="00757553">
            <w:pPr>
              <w:ind w:left="23"/>
              <w:rPr>
                <w:i/>
                <w:iCs/>
                <w:color w:val="000000"/>
              </w:rPr>
            </w:pPr>
          </w:p>
        </w:tc>
        <w:tc>
          <w:tcPr>
            <w:tcW w:w="2007" w:type="pct"/>
          </w:tcPr>
          <w:p w:rsidR="009A173A" w:rsidRDefault="009A173A" w:rsidP="009A173A">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Under section 110(a)(2)(D)(i)(II), the PSD sub-element (prong 3) may be met by the</w:t>
            </w:r>
          </w:p>
          <w:p w:rsidR="009A173A" w:rsidRDefault="009A173A" w:rsidP="009A173A">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state’s confirmation in a SIP submission that new major sources and major modifications in the</w:t>
            </w:r>
          </w:p>
          <w:p w:rsidR="009A173A" w:rsidRDefault="009A173A" w:rsidP="009A173A">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state are subject to PSD and (if the state contains a nonattainment area for the relevant pollutant)</w:t>
            </w:r>
          </w:p>
          <w:p w:rsidR="008606B1" w:rsidRDefault="009A173A" w:rsidP="009A173A">
            <w:pPr>
              <w:ind w:left="23"/>
              <w:rPr>
                <w:rFonts w:ascii="TimesNewRomanPSMT" w:eastAsiaTheme="minorHAnsi" w:hAnsi="TimesNewRomanPSMT" w:cs="TimesNewRomanPSMT"/>
                <w:bCs/>
                <w:color w:val="000000"/>
                <w:sz w:val="16"/>
                <w:szCs w:val="16"/>
              </w:rPr>
            </w:pPr>
            <w:r>
              <w:rPr>
                <w:rFonts w:ascii="TimesNewRomanPSMT" w:eastAsiaTheme="minorHAnsi" w:hAnsi="TimesNewRomanPSMT" w:cs="TimesNewRomanPSMT"/>
                <w:bCs/>
                <w:color w:val="000000"/>
              </w:rPr>
              <w:t>NNSR programs that implement the 2010 1-hour SO</w:t>
            </w:r>
            <w:r>
              <w:rPr>
                <w:rFonts w:ascii="TimesNewRomanPSMT" w:eastAsiaTheme="minorHAnsi" w:hAnsi="TimesNewRomanPSMT" w:cs="TimesNewRomanPSMT"/>
                <w:bCs/>
                <w:color w:val="000000"/>
                <w:sz w:val="16"/>
                <w:szCs w:val="16"/>
              </w:rPr>
              <w:t xml:space="preserve">2 </w:t>
            </w:r>
            <w:r>
              <w:rPr>
                <w:rFonts w:ascii="TimesNewRomanPSMT" w:eastAsiaTheme="minorHAnsi" w:hAnsi="TimesNewRomanPSMT" w:cs="TimesNewRomanPSMT"/>
                <w:bCs/>
                <w:color w:val="000000"/>
              </w:rPr>
              <w:t>NAAQS.</w:t>
            </w:r>
            <w:r>
              <w:rPr>
                <w:rFonts w:ascii="TimesNewRomanPSMT" w:eastAsiaTheme="minorHAnsi" w:hAnsi="TimesNewRomanPSMT" w:cs="TimesNewRomanPSMT"/>
                <w:bCs/>
                <w:color w:val="000000"/>
                <w:sz w:val="16"/>
                <w:szCs w:val="16"/>
              </w:rPr>
              <w:t>36</w:t>
            </w:r>
          </w:p>
          <w:p w:rsidR="00E5004C" w:rsidRDefault="00E5004C" w:rsidP="00E5004C">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The sub-element providing for protection of visibility (prong 4) under</w:t>
            </w:r>
          </w:p>
          <w:p w:rsidR="00E5004C" w:rsidRDefault="00E5004C" w:rsidP="00E5004C">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section 110(a)(2)(D)(i)(II) may be met by the state’s confirmation that an approved regional haze</w:t>
            </w:r>
          </w:p>
          <w:p w:rsidR="00E5004C" w:rsidRDefault="00E5004C" w:rsidP="00E5004C">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SIP (or FIP) is in place. The development of the regional haze SIPs occurred in a collaborative</w:t>
            </w:r>
          </w:p>
          <w:p w:rsidR="00E5004C" w:rsidRDefault="00E5004C" w:rsidP="00E5004C">
            <w:pPr>
              <w:autoSpaceDE w:val="0"/>
              <w:autoSpaceDN w:val="0"/>
              <w:adjustRightInd w:val="0"/>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environment</w:t>
            </w:r>
            <w:proofErr w:type="gramEnd"/>
            <w:r>
              <w:rPr>
                <w:rFonts w:ascii="TimesNewRomanPSMT" w:eastAsiaTheme="minorHAnsi" w:hAnsi="TimesNewRomanPSMT" w:cs="TimesNewRomanPSMT"/>
                <w:bCs/>
                <w:color w:val="000000"/>
              </w:rPr>
              <w:t xml:space="preserve"> among the states. Through this process, the states coordinated on emissions</w:t>
            </w:r>
          </w:p>
          <w:p w:rsidR="00E5004C" w:rsidRDefault="00E5004C" w:rsidP="00E5004C">
            <w:pPr>
              <w:autoSpaceDE w:val="0"/>
              <w:autoSpaceDN w:val="0"/>
              <w:adjustRightInd w:val="0"/>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controls</w:t>
            </w:r>
            <w:proofErr w:type="gramEnd"/>
            <w:r>
              <w:rPr>
                <w:rFonts w:ascii="TimesNewRomanPSMT" w:eastAsiaTheme="minorHAnsi" w:hAnsi="TimesNewRomanPSMT" w:cs="TimesNewRomanPSMT"/>
                <w:bCs/>
                <w:color w:val="000000"/>
              </w:rPr>
              <w:t xml:space="preserve"> to protect visibility on an interstate basis. </w:t>
            </w:r>
            <w:r>
              <w:rPr>
                <w:rFonts w:ascii="TimesNewRomanPSMT" w:eastAsiaTheme="minorHAnsi" w:hAnsi="TimesNewRomanPSMT" w:cs="TimesNewRomanPSMT"/>
                <w:bCs/>
                <w:color w:val="000000"/>
              </w:rPr>
              <w:lastRenderedPageBreak/>
              <w:t>The regional haze rule also specifically</w:t>
            </w:r>
          </w:p>
          <w:p w:rsidR="00E5004C" w:rsidRDefault="00E5004C" w:rsidP="00E5004C">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requires that a state participating in a regional planning process include "all measures needed to</w:t>
            </w:r>
          </w:p>
          <w:p w:rsidR="00E5004C" w:rsidRDefault="00E5004C" w:rsidP="00E5004C">
            <w:pPr>
              <w:autoSpaceDE w:val="0"/>
              <w:autoSpaceDN w:val="0"/>
              <w:adjustRightInd w:val="0"/>
              <w:rPr>
                <w:rFonts w:ascii="TimesNewRomanPSMT" w:eastAsiaTheme="minorHAnsi" w:hAnsi="TimesNewRomanPSMT" w:cs="TimesNewRomanPSMT"/>
                <w:bCs/>
                <w:color w:val="000000"/>
                <w:sz w:val="16"/>
                <w:szCs w:val="16"/>
              </w:rPr>
            </w:pPr>
            <w:proofErr w:type="gramStart"/>
            <w:r>
              <w:rPr>
                <w:rFonts w:ascii="TimesNewRomanPSMT" w:eastAsiaTheme="minorHAnsi" w:hAnsi="TimesNewRomanPSMT" w:cs="TimesNewRomanPSMT"/>
                <w:bCs/>
                <w:color w:val="000000"/>
              </w:rPr>
              <w:t>achieve</w:t>
            </w:r>
            <w:proofErr w:type="gramEnd"/>
            <w:r>
              <w:rPr>
                <w:rFonts w:ascii="TimesNewRomanPSMT" w:eastAsiaTheme="minorHAnsi" w:hAnsi="TimesNewRomanPSMT" w:cs="TimesNewRomanPSMT"/>
                <w:bCs/>
                <w:color w:val="000000"/>
              </w:rPr>
              <w:t xml:space="preserve"> its apportionment of emission reduction obligations agreed upon through that process."</w:t>
            </w:r>
            <w:r>
              <w:rPr>
                <w:rFonts w:ascii="TimesNewRomanPSMT" w:eastAsiaTheme="minorHAnsi" w:hAnsi="TimesNewRomanPSMT" w:cs="TimesNewRomanPSMT"/>
                <w:bCs/>
                <w:color w:val="000000"/>
                <w:sz w:val="16"/>
                <w:szCs w:val="16"/>
              </w:rPr>
              <w:t>37</w:t>
            </w:r>
          </w:p>
          <w:p w:rsidR="00E5004C" w:rsidRDefault="00E5004C" w:rsidP="00E5004C">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We anticipate that an approved regional haze SIP (or FIP) addressing this requirement will</w:t>
            </w:r>
          </w:p>
          <w:p w:rsidR="00E5004C" w:rsidRDefault="00E5004C" w:rsidP="00E5004C">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ensure that emissions from sources within the state are not interfering with measures to protect</w:t>
            </w:r>
          </w:p>
          <w:p w:rsidR="00E5004C" w:rsidRPr="00474742" w:rsidRDefault="00E5004C" w:rsidP="00E5004C">
            <w:pPr>
              <w:ind w:left="23"/>
              <w:rPr>
                <w:i/>
                <w:iCs/>
                <w:color w:val="000000"/>
              </w:rPr>
            </w:pPr>
            <w:proofErr w:type="gramStart"/>
            <w:r>
              <w:rPr>
                <w:rFonts w:ascii="TimesNewRomanPSMT" w:eastAsiaTheme="minorHAnsi" w:hAnsi="TimesNewRomanPSMT" w:cs="TimesNewRomanPSMT"/>
                <w:bCs/>
                <w:color w:val="000000"/>
              </w:rPr>
              <w:t>visibility</w:t>
            </w:r>
            <w:proofErr w:type="gramEnd"/>
            <w:r>
              <w:rPr>
                <w:rFonts w:ascii="TimesNewRomanPSMT" w:eastAsiaTheme="minorHAnsi" w:hAnsi="TimesNewRomanPSMT" w:cs="TimesNewRomanPSMT"/>
                <w:bCs/>
                <w:color w:val="000000"/>
              </w:rPr>
              <w:t xml:space="preserve"> in other states.</w:t>
            </w:r>
          </w:p>
        </w:tc>
        <w:tc>
          <w:tcPr>
            <w:tcW w:w="1388" w:type="pct"/>
          </w:tcPr>
          <w:p w:rsidR="008606B1" w:rsidRPr="00474742" w:rsidRDefault="008606B1" w:rsidP="00757553">
            <w:pPr>
              <w:ind w:left="23"/>
              <w:rPr>
                <w:i/>
                <w:iCs/>
                <w:color w:val="000000"/>
              </w:rPr>
            </w:pPr>
          </w:p>
        </w:tc>
      </w:tr>
      <w:tr w:rsidR="008606B1" w:rsidRPr="00474742" w:rsidTr="00757553">
        <w:tc>
          <w:tcPr>
            <w:tcW w:w="638" w:type="pct"/>
          </w:tcPr>
          <w:p w:rsidR="008606B1" w:rsidRPr="00A32412" w:rsidRDefault="008606B1" w:rsidP="00757553">
            <w:pPr>
              <w:rPr>
                <w:b/>
                <w:bCs/>
                <w:color w:val="000000" w:themeColor="text1"/>
              </w:rPr>
            </w:pPr>
            <w:r w:rsidRPr="00A32412">
              <w:rPr>
                <w:b/>
                <w:bCs/>
                <w:color w:val="000000" w:themeColor="text1"/>
              </w:rPr>
              <w:lastRenderedPageBreak/>
              <w:t>§110(a)(2)(D)(ii)</w:t>
            </w:r>
          </w:p>
          <w:p w:rsidR="008606B1" w:rsidRPr="00A32412" w:rsidRDefault="008606B1" w:rsidP="00757553">
            <w:pPr>
              <w:rPr>
                <w:b/>
                <w:bCs/>
                <w:color w:val="000000" w:themeColor="text1"/>
              </w:rPr>
            </w:pPr>
            <w:r w:rsidRPr="00A32412">
              <w:rPr>
                <w:b/>
                <w:bCs/>
                <w:color w:val="000000" w:themeColor="text1"/>
              </w:rPr>
              <w:t>Interstate and international pollution</w:t>
            </w:r>
          </w:p>
        </w:tc>
        <w:tc>
          <w:tcPr>
            <w:tcW w:w="960" w:type="pct"/>
          </w:tcPr>
          <w:p w:rsidR="008606B1" w:rsidRPr="00474742" w:rsidRDefault="008606B1" w:rsidP="00757553">
            <w:pPr>
              <w:ind w:left="23"/>
              <w:rPr>
                <w:i/>
                <w:iCs/>
                <w:color w:val="000000"/>
              </w:rPr>
            </w:pPr>
            <w:r w:rsidRPr="0020270F">
              <w:rPr>
                <w:i/>
                <w:iCs/>
                <w:color w:val="000000"/>
              </w:rPr>
              <w:t>(ii) insuring compliance with the applicable requirements of sections 126 and 115 (relating to interstate and international pollution abatement);</w:t>
            </w:r>
          </w:p>
        </w:tc>
        <w:tc>
          <w:tcPr>
            <w:tcW w:w="2007" w:type="pct"/>
          </w:tcPr>
          <w:p w:rsidR="005E38F0" w:rsidRDefault="005E38F0" w:rsidP="005E38F0">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Section 126(a) of the CAA directs each SIP to include provisions requiring a new or</w:t>
            </w:r>
          </w:p>
          <w:p w:rsidR="005E38F0" w:rsidRDefault="005E38F0" w:rsidP="005E38F0">
            <w:pPr>
              <w:autoSpaceDE w:val="0"/>
              <w:autoSpaceDN w:val="0"/>
              <w:adjustRightInd w:val="0"/>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modified</w:t>
            </w:r>
            <w:proofErr w:type="gramEnd"/>
            <w:r>
              <w:rPr>
                <w:rFonts w:ascii="TimesNewRomanPSMT" w:eastAsiaTheme="minorHAnsi" w:hAnsi="TimesNewRomanPSMT" w:cs="TimesNewRomanPSMT"/>
                <w:bCs/>
                <w:color w:val="000000"/>
              </w:rPr>
              <w:t xml:space="preserve"> source to notify neighboring states of potential impacts from the source. States with</w:t>
            </w:r>
          </w:p>
          <w:p w:rsidR="005E38F0" w:rsidRDefault="005E38F0" w:rsidP="005E38F0">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SIP-approved PSD programs should have a regulatory provision in place, consistent with 40</w:t>
            </w:r>
          </w:p>
          <w:p w:rsidR="005E38F0" w:rsidRDefault="005E38F0" w:rsidP="005E38F0">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CFR 51.166(q)(2)(iv), that requires such notification of other state and local agencies……Sections 126(b) and 126(c) of the CAA affect a state only if the Administrator has been</w:t>
            </w:r>
          </w:p>
          <w:p w:rsidR="005E38F0" w:rsidRDefault="005E38F0" w:rsidP="005E38F0">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petitioned to make a finding of violation that is related to either interstate transport or</w:t>
            </w:r>
          </w:p>
          <w:p w:rsidR="005E38F0" w:rsidRDefault="005E38F0" w:rsidP="005E38F0">
            <w:pPr>
              <w:autoSpaceDE w:val="0"/>
              <w:autoSpaceDN w:val="0"/>
              <w:adjustRightInd w:val="0"/>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international</w:t>
            </w:r>
            <w:proofErr w:type="gramEnd"/>
            <w:r>
              <w:rPr>
                <w:rFonts w:ascii="TimesNewRomanPSMT" w:eastAsiaTheme="minorHAnsi" w:hAnsi="TimesNewRomanPSMT" w:cs="TimesNewRomanPSMT"/>
                <w:bCs/>
                <w:color w:val="000000"/>
              </w:rPr>
              <w:t xml:space="preserve"> transport of emissions from sources in the state. Thus, unless a state has been the</w:t>
            </w:r>
          </w:p>
          <w:p w:rsidR="005E38F0" w:rsidRDefault="005E38F0" w:rsidP="005E38F0">
            <w:pPr>
              <w:autoSpaceDE w:val="0"/>
              <w:autoSpaceDN w:val="0"/>
              <w:adjustRightInd w:val="0"/>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subject</w:t>
            </w:r>
            <w:proofErr w:type="gramEnd"/>
            <w:r>
              <w:rPr>
                <w:rFonts w:ascii="TimesNewRomanPSMT" w:eastAsiaTheme="minorHAnsi" w:hAnsi="TimesNewRomanPSMT" w:cs="TimesNewRomanPSMT"/>
                <w:bCs/>
                <w:color w:val="000000"/>
              </w:rPr>
              <w:t xml:space="preserve"> of such a petition, the state has no continuing obligations under sections 126(b) or 126(c).</w:t>
            </w:r>
          </w:p>
          <w:p w:rsidR="005E38F0" w:rsidRDefault="005E38F0" w:rsidP="005E38F0">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Section 115 of the CAA authorizes the Administrator to require a state to revise its SIP</w:t>
            </w:r>
          </w:p>
          <w:p w:rsidR="005E38F0" w:rsidRDefault="005E38F0" w:rsidP="005E38F0">
            <w:pPr>
              <w:autoSpaceDE w:val="0"/>
              <w:autoSpaceDN w:val="0"/>
              <w:adjustRightInd w:val="0"/>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under</w:t>
            </w:r>
            <w:proofErr w:type="gramEnd"/>
            <w:r>
              <w:rPr>
                <w:rFonts w:ascii="TimesNewRomanPSMT" w:eastAsiaTheme="minorHAnsi" w:hAnsi="TimesNewRomanPSMT" w:cs="TimesNewRomanPSMT"/>
                <w:bCs/>
                <w:color w:val="000000"/>
              </w:rPr>
              <w:t xml:space="preserve"> certain conditions to alleviate international </w:t>
            </w:r>
            <w:r>
              <w:rPr>
                <w:rFonts w:ascii="TimesNewRomanPSMT" w:eastAsiaTheme="minorHAnsi" w:hAnsi="TimesNewRomanPSMT" w:cs="TimesNewRomanPSMT"/>
                <w:bCs/>
                <w:color w:val="000000"/>
              </w:rPr>
              <w:lastRenderedPageBreak/>
              <w:t>transport. Because there are no pending</w:t>
            </w:r>
          </w:p>
          <w:p w:rsidR="005E38F0" w:rsidRDefault="005E38F0" w:rsidP="005E38F0">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actions pursuant to section 115 of the CAA, at this time EPA has no reason to approve or</w:t>
            </w:r>
          </w:p>
          <w:p w:rsidR="008606B1" w:rsidRPr="0020270F" w:rsidRDefault="005E38F0" w:rsidP="005E38F0">
            <w:pPr>
              <w:ind w:left="23"/>
              <w:rPr>
                <w:i/>
                <w:iCs/>
                <w:color w:val="000000"/>
              </w:rPr>
            </w:pPr>
            <w:proofErr w:type="gramStart"/>
            <w:r>
              <w:rPr>
                <w:rFonts w:ascii="TimesNewRomanPSMT" w:eastAsiaTheme="minorHAnsi" w:hAnsi="TimesNewRomanPSMT" w:cs="TimesNewRomanPSMT"/>
                <w:bCs/>
                <w:color w:val="000000"/>
              </w:rPr>
              <w:t>disapprove</w:t>
            </w:r>
            <w:proofErr w:type="gramEnd"/>
            <w:r>
              <w:rPr>
                <w:rFonts w:ascii="TimesNewRomanPSMT" w:eastAsiaTheme="minorHAnsi" w:hAnsi="TimesNewRomanPSMT" w:cs="TimesNewRomanPSMT"/>
                <w:bCs/>
                <w:color w:val="000000"/>
              </w:rPr>
              <w:t xml:space="preserve"> any existing state rules with regard to section 115 provisions.</w:t>
            </w:r>
          </w:p>
        </w:tc>
        <w:tc>
          <w:tcPr>
            <w:tcW w:w="1388" w:type="pct"/>
          </w:tcPr>
          <w:p w:rsidR="008606B1" w:rsidRPr="0020270F" w:rsidRDefault="008606B1" w:rsidP="00757553">
            <w:pPr>
              <w:ind w:left="23"/>
              <w:rPr>
                <w:i/>
                <w:iCs/>
                <w:color w:val="000000"/>
              </w:rPr>
            </w:pPr>
          </w:p>
        </w:tc>
      </w:tr>
      <w:tr w:rsidR="008606B1" w:rsidRPr="00474742" w:rsidTr="00757553">
        <w:tc>
          <w:tcPr>
            <w:tcW w:w="638" w:type="pct"/>
          </w:tcPr>
          <w:p w:rsidR="008606B1" w:rsidRPr="00A32412" w:rsidRDefault="008606B1" w:rsidP="00757553">
            <w:pPr>
              <w:rPr>
                <w:b/>
                <w:bCs/>
                <w:color w:val="000000" w:themeColor="text1"/>
              </w:rPr>
            </w:pPr>
          </w:p>
        </w:tc>
        <w:tc>
          <w:tcPr>
            <w:tcW w:w="960" w:type="pct"/>
          </w:tcPr>
          <w:p w:rsidR="008606B1" w:rsidRPr="0020270F" w:rsidRDefault="008606B1" w:rsidP="00757553">
            <w:pPr>
              <w:ind w:left="23"/>
              <w:rPr>
                <w:i/>
                <w:iCs/>
                <w:color w:val="000000"/>
              </w:rPr>
            </w:pPr>
          </w:p>
        </w:tc>
        <w:tc>
          <w:tcPr>
            <w:tcW w:w="2007" w:type="pct"/>
          </w:tcPr>
          <w:p w:rsidR="008606B1" w:rsidRDefault="008606B1" w:rsidP="00757553">
            <w:pPr>
              <w:ind w:left="23"/>
              <w:rPr>
                <w:rFonts w:eastAsiaTheme="minorHAnsi"/>
                <w:bCs/>
                <w:color w:val="000000"/>
              </w:rPr>
            </w:pPr>
          </w:p>
        </w:tc>
        <w:tc>
          <w:tcPr>
            <w:tcW w:w="1388" w:type="pct"/>
          </w:tcPr>
          <w:p w:rsidR="008606B1" w:rsidRPr="0020270F" w:rsidRDefault="008606B1" w:rsidP="00757553">
            <w:pPr>
              <w:ind w:left="23"/>
              <w:rPr>
                <w:i/>
                <w:iCs/>
                <w:color w:val="000000"/>
              </w:rPr>
            </w:pPr>
          </w:p>
        </w:tc>
      </w:tr>
    </w:tbl>
    <w:p w:rsidR="00CB4862" w:rsidRDefault="00CB4862"/>
    <w:p w:rsidR="00757553" w:rsidRDefault="00757553"/>
    <w:p w:rsidR="00757553" w:rsidRDefault="00757553"/>
    <w:p w:rsidR="00757553" w:rsidRDefault="00757553" w:rsidP="00757553">
      <w:pPr>
        <w:autoSpaceDE w:val="0"/>
        <w:autoSpaceDN w:val="0"/>
        <w:adjustRightInd w:val="0"/>
        <w:rPr>
          <w:rFonts w:eastAsiaTheme="minorHAnsi"/>
          <w:b/>
          <w:bCs/>
          <w:color w:val="000000"/>
        </w:rPr>
      </w:pPr>
      <w:r>
        <w:rPr>
          <w:rFonts w:eastAsiaTheme="minorHAnsi"/>
          <w:b/>
          <w:bCs/>
          <w:color w:val="000000"/>
        </w:rPr>
        <w:t>VI. Transition from the existing SO</w:t>
      </w:r>
      <w:r>
        <w:rPr>
          <w:rFonts w:eastAsiaTheme="minorHAnsi"/>
          <w:b/>
          <w:bCs/>
          <w:color w:val="000000"/>
          <w:sz w:val="16"/>
          <w:szCs w:val="16"/>
        </w:rPr>
        <w:t xml:space="preserve">2 </w:t>
      </w:r>
      <w:r>
        <w:rPr>
          <w:rFonts w:eastAsiaTheme="minorHAnsi"/>
          <w:b/>
          <w:bCs/>
          <w:color w:val="000000"/>
        </w:rPr>
        <w:t>NAAQS to a revised SO</w:t>
      </w:r>
      <w:r>
        <w:rPr>
          <w:rFonts w:eastAsiaTheme="minorHAnsi"/>
          <w:b/>
          <w:bCs/>
          <w:color w:val="000000"/>
          <w:sz w:val="16"/>
          <w:szCs w:val="16"/>
        </w:rPr>
        <w:t xml:space="preserve">2 </w:t>
      </w:r>
      <w:r>
        <w:rPr>
          <w:rFonts w:eastAsiaTheme="minorHAnsi"/>
          <w:b/>
          <w:bCs/>
          <w:color w:val="000000"/>
        </w:rPr>
        <w:t>NAAQS</w:t>
      </w:r>
    </w:p>
    <w:p w:rsidR="00757553" w:rsidRDefault="00757553" w:rsidP="00757553">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In implementing the new 1-hour SO</w:t>
      </w:r>
      <w:r>
        <w:rPr>
          <w:rFonts w:ascii="TimesNewRomanPSMT" w:eastAsiaTheme="minorHAnsi" w:hAnsi="TimesNewRomanPSMT" w:cs="TimesNewRomanPSMT"/>
          <w:bCs/>
          <w:color w:val="000000"/>
          <w:sz w:val="16"/>
          <w:szCs w:val="16"/>
        </w:rPr>
        <w:t xml:space="preserve">2 </w:t>
      </w:r>
      <w:r>
        <w:rPr>
          <w:rFonts w:ascii="TimesNewRomanPSMT" w:eastAsiaTheme="minorHAnsi" w:hAnsi="TimesNewRomanPSMT" w:cs="TimesNewRomanPSMT"/>
          <w:bCs/>
          <w:color w:val="000000"/>
        </w:rPr>
        <w:t>NAAQS, states will need to insure that the health</w:t>
      </w:r>
    </w:p>
    <w:p w:rsidR="00757553" w:rsidRDefault="00757553" w:rsidP="00757553">
      <w:pPr>
        <w:autoSpaceDE w:val="0"/>
        <w:autoSpaceDN w:val="0"/>
        <w:adjustRightInd w:val="0"/>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protection</w:t>
      </w:r>
      <w:proofErr w:type="gramEnd"/>
      <w:r>
        <w:rPr>
          <w:rFonts w:ascii="TimesNewRomanPSMT" w:eastAsiaTheme="minorHAnsi" w:hAnsi="TimesNewRomanPSMT" w:cs="TimesNewRomanPSMT"/>
          <w:bCs/>
          <w:color w:val="000000"/>
        </w:rPr>
        <w:t xml:space="preserve"> provided under the prior SO</w:t>
      </w:r>
      <w:r>
        <w:rPr>
          <w:rFonts w:ascii="TimesNewRomanPSMT" w:eastAsiaTheme="minorHAnsi" w:hAnsi="TimesNewRomanPSMT" w:cs="TimesNewRomanPSMT"/>
          <w:bCs/>
          <w:color w:val="000000"/>
          <w:sz w:val="16"/>
          <w:szCs w:val="16"/>
        </w:rPr>
        <w:t xml:space="preserve">2 </w:t>
      </w:r>
      <w:r>
        <w:rPr>
          <w:rFonts w:ascii="TimesNewRomanPSMT" w:eastAsiaTheme="minorHAnsi" w:hAnsi="TimesNewRomanPSMT" w:cs="TimesNewRomanPSMT"/>
          <w:bCs/>
          <w:color w:val="000000"/>
        </w:rPr>
        <w:t>NAAQS continues to be achieved as well as maintained.</w:t>
      </w:r>
    </w:p>
    <w:p w:rsidR="00757553" w:rsidRDefault="00757553" w:rsidP="00757553">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This means that states should continue implementing attainment and maintenance SIPs</w:t>
      </w:r>
    </w:p>
    <w:p w:rsidR="00757553" w:rsidRDefault="00757553" w:rsidP="00757553">
      <w:pPr>
        <w:autoSpaceDE w:val="0"/>
        <w:autoSpaceDN w:val="0"/>
        <w:adjustRightInd w:val="0"/>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associated</w:t>
      </w:r>
      <w:proofErr w:type="gramEnd"/>
      <w:r>
        <w:rPr>
          <w:rFonts w:ascii="TimesNewRomanPSMT" w:eastAsiaTheme="minorHAnsi" w:hAnsi="TimesNewRomanPSMT" w:cs="TimesNewRomanPSMT"/>
          <w:bCs/>
          <w:color w:val="000000"/>
        </w:rPr>
        <w:t xml:space="preserve"> with the prior 24-hour and annual primary SO</w:t>
      </w:r>
      <w:r>
        <w:rPr>
          <w:rFonts w:ascii="TimesNewRomanPSMT" w:eastAsiaTheme="minorHAnsi" w:hAnsi="TimesNewRomanPSMT" w:cs="TimesNewRomanPSMT"/>
          <w:bCs/>
          <w:color w:val="000000"/>
          <w:sz w:val="16"/>
          <w:szCs w:val="16"/>
        </w:rPr>
        <w:t xml:space="preserve">2 </w:t>
      </w:r>
      <w:r>
        <w:rPr>
          <w:rFonts w:ascii="TimesNewRomanPSMT" w:eastAsiaTheme="minorHAnsi" w:hAnsi="TimesNewRomanPSMT" w:cs="TimesNewRomanPSMT"/>
          <w:bCs/>
          <w:color w:val="000000"/>
        </w:rPr>
        <w:t>NAAQS until such time as they are</w:t>
      </w:r>
    </w:p>
    <w:p w:rsidR="00757553" w:rsidRDefault="00757553" w:rsidP="00757553">
      <w:pPr>
        <w:autoSpaceDE w:val="0"/>
        <w:autoSpaceDN w:val="0"/>
        <w:adjustRightInd w:val="0"/>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subsumed</w:t>
      </w:r>
      <w:proofErr w:type="gramEnd"/>
      <w:r>
        <w:rPr>
          <w:rFonts w:ascii="TimesNewRomanPSMT" w:eastAsiaTheme="minorHAnsi" w:hAnsi="TimesNewRomanPSMT" w:cs="TimesNewRomanPSMT"/>
          <w:bCs/>
          <w:color w:val="000000"/>
        </w:rPr>
        <w:t xml:space="preserve"> by any new EPA-approved SIPs reflecting planning and control requirements</w:t>
      </w:r>
    </w:p>
    <w:p w:rsidR="00360C11" w:rsidRDefault="00757553" w:rsidP="00360C11">
      <w:pPr>
        <w:autoSpaceDE w:val="0"/>
        <w:autoSpaceDN w:val="0"/>
        <w:adjustRightInd w:val="0"/>
        <w:rPr>
          <w:rFonts w:ascii="TimesNewRomanPSMT" w:eastAsiaTheme="minorHAnsi" w:hAnsi="TimesNewRomanPSMT" w:cs="TimesNewRomanPSMT"/>
          <w:bCs/>
          <w:color w:val="000000"/>
          <w:sz w:val="16"/>
          <w:szCs w:val="16"/>
        </w:rPr>
      </w:pPr>
      <w:proofErr w:type="gramStart"/>
      <w:r>
        <w:rPr>
          <w:rFonts w:ascii="TimesNewRomanPSMT" w:eastAsiaTheme="minorHAnsi" w:hAnsi="TimesNewRomanPSMT" w:cs="TimesNewRomanPSMT"/>
          <w:bCs/>
          <w:color w:val="000000"/>
        </w:rPr>
        <w:t>associated</w:t>
      </w:r>
      <w:proofErr w:type="gramEnd"/>
      <w:r>
        <w:rPr>
          <w:rFonts w:ascii="TimesNewRomanPSMT" w:eastAsiaTheme="minorHAnsi" w:hAnsi="TimesNewRomanPSMT" w:cs="TimesNewRomanPSMT"/>
          <w:bCs/>
          <w:color w:val="000000"/>
        </w:rPr>
        <w:t xml:space="preserve"> with the new NAAQS. </w:t>
      </w:r>
      <w:r w:rsidR="00360C11">
        <w:rPr>
          <w:rFonts w:ascii="TimesNewRomanPSMT" w:eastAsiaTheme="minorHAnsi" w:hAnsi="TimesNewRomanPSMT" w:cs="TimesNewRomanPSMT"/>
          <w:bCs/>
          <w:color w:val="000000"/>
        </w:rPr>
        <w:t>In the final SO</w:t>
      </w:r>
      <w:r w:rsidR="00360C11">
        <w:rPr>
          <w:rFonts w:ascii="TimesNewRomanPSMT" w:eastAsiaTheme="minorHAnsi" w:hAnsi="TimesNewRomanPSMT" w:cs="TimesNewRomanPSMT"/>
          <w:bCs/>
          <w:color w:val="000000"/>
          <w:sz w:val="16"/>
          <w:szCs w:val="16"/>
        </w:rPr>
        <w:t xml:space="preserve">2 </w:t>
      </w:r>
      <w:r w:rsidR="00360C11">
        <w:rPr>
          <w:rFonts w:ascii="TimesNewRomanPSMT" w:eastAsiaTheme="minorHAnsi" w:hAnsi="TimesNewRomanPSMT" w:cs="TimesNewRomanPSMT"/>
          <w:bCs/>
          <w:color w:val="000000"/>
        </w:rPr>
        <w:t>NAAQS, EPA provided that the prior 24-hour and annual primary SO</w:t>
      </w:r>
      <w:r w:rsidR="00360C11">
        <w:rPr>
          <w:rFonts w:ascii="TimesNewRomanPSMT" w:eastAsiaTheme="minorHAnsi" w:hAnsi="TimesNewRomanPSMT" w:cs="TimesNewRomanPSMT"/>
          <w:bCs/>
          <w:color w:val="000000"/>
          <w:sz w:val="16"/>
          <w:szCs w:val="16"/>
        </w:rPr>
        <w:t>2</w:t>
      </w:r>
    </w:p>
    <w:p w:rsidR="00360C11" w:rsidRDefault="00360C11" w:rsidP="00360C11">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NAAQS will remain in effect for one year following the effective date of the initial area</w:t>
      </w:r>
    </w:p>
    <w:p w:rsidR="00360C11" w:rsidRDefault="00360C11" w:rsidP="00360C11">
      <w:pPr>
        <w:autoSpaceDE w:val="0"/>
        <w:autoSpaceDN w:val="0"/>
        <w:adjustRightInd w:val="0"/>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designations</w:t>
      </w:r>
      <w:proofErr w:type="gramEnd"/>
      <w:r>
        <w:rPr>
          <w:rFonts w:ascii="TimesNewRomanPSMT" w:eastAsiaTheme="minorHAnsi" w:hAnsi="TimesNewRomanPSMT" w:cs="TimesNewRomanPSMT"/>
          <w:bCs/>
          <w:color w:val="000000"/>
        </w:rPr>
        <w:t xml:space="preserve"> under section 107(d)(1) for the new SO</w:t>
      </w:r>
      <w:r>
        <w:rPr>
          <w:rFonts w:ascii="TimesNewRomanPSMT" w:eastAsiaTheme="minorHAnsi" w:hAnsi="TimesNewRomanPSMT" w:cs="TimesNewRomanPSMT"/>
          <w:bCs/>
          <w:color w:val="000000"/>
          <w:sz w:val="16"/>
          <w:szCs w:val="16"/>
        </w:rPr>
        <w:t xml:space="preserve">2 </w:t>
      </w:r>
      <w:r>
        <w:rPr>
          <w:rFonts w:ascii="TimesNewRomanPSMT" w:eastAsiaTheme="minorHAnsi" w:hAnsi="TimesNewRomanPSMT" w:cs="TimesNewRomanPSMT"/>
          <w:bCs/>
          <w:color w:val="000000"/>
        </w:rPr>
        <w:t>NAAQS before being revoked in most</w:t>
      </w:r>
    </w:p>
    <w:p w:rsidR="00360C11" w:rsidRDefault="00360C11" w:rsidP="00360C11">
      <w:pPr>
        <w:autoSpaceDE w:val="0"/>
        <w:autoSpaceDN w:val="0"/>
        <w:adjustRightInd w:val="0"/>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attainment</w:t>
      </w:r>
      <w:proofErr w:type="gramEnd"/>
      <w:r>
        <w:rPr>
          <w:rFonts w:ascii="TimesNewRomanPSMT" w:eastAsiaTheme="minorHAnsi" w:hAnsi="TimesNewRomanPSMT" w:cs="TimesNewRomanPSMT"/>
          <w:bCs/>
          <w:color w:val="000000"/>
        </w:rPr>
        <w:t xml:space="preserve"> areas. </w:t>
      </w:r>
      <w:proofErr w:type="gramStart"/>
      <w:r>
        <w:rPr>
          <w:rFonts w:ascii="TimesNewRomanPSMT" w:eastAsiaTheme="minorHAnsi" w:hAnsi="TimesNewRomanPSMT" w:cs="TimesNewRomanPSMT"/>
          <w:bCs/>
          <w:color w:val="000000"/>
        </w:rPr>
        <w:t>(40 CFR 50.4(e)).</w:t>
      </w:r>
      <w:proofErr w:type="gramEnd"/>
      <w:r>
        <w:rPr>
          <w:rFonts w:ascii="TimesNewRomanPSMT" w:eastAsiaTheme="minorHAnsi" w:hAnsi="TimesNewRomanPSMT" w:cs="TimesNewRomanPSMT"/>
          <w:bCs/>
          <w:color w:val="000000"/>
        </w:rPr>
        <w:t xml:space="preserve"> Any existing SIP provisions under CAA sections 110, 191</w:t>
      </w:r>
    </w:p>
    <w:p w:rsidR="00360C11" w:rsidRDefault="00360C11" w:rsidP="00360C11">
      <w:pPr>
        <w:autoSpaceDE w:val="0"/>
        <w:autoSpaceDN w:val="0"/>
        <w:adjustRightInd w:val="0"/>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and</w:t>
      </w:r>
      <w:proofErr w:type="gramEnd"/>
      <w:r>
        <w:rPr>
          <w:rFonts w:ascii="TimesNewRomanPSMT" w:eastAsiaTheme="minorHAnsi" w:hAnsi="TimesNewRomanPSMT" w:cs="TimesNewRomanPSMT"/>
          <w:bCs/>
          <w:color w:val="000000"/>
        </w:rPr>
        <w:t xml:space="preserve"> 192 associated with the annual and 24-hour SO</w:t>
      </w:r>
      <w:r>
        <w:rPr>
          <w:rFonts w:ascii="TimesNewRomanPSMT" w:eastAsiaTheme="minorHAnsi" w:hAnsi="TimesNewRomanPSMT" w:cs="TimesNewRomanPSMT"/>
          <w:bCs/>
          <w:color w:val="000000"/>
          <w:sz w:val="16"/>
          <w:szCs w:val="16"/>
        </w:rPr>
        <w:t xml:space="preserve">2 </w:t>
      </w:r>
      <w:r>
        <w:rPr>
          <w:rFonts w:ascii="TimesNewRomanPSMT" w:eastAsiaTheme="minorHAnsi" w:hAnsi="TimesNewRomanPSMT" w:cs="TimesNewRomanPSMT"/>
          <w:bCs/>
          <w:color w:val="000000"/>
        </w:rPr>
        <w:t>NAAQS would need to remain in effect,</w:t>
      </w:r>
    </w:p>
    <w:p w:rsidR="00360C11" w:rsidRDefault="00360C11" w:rsidP="00360C11">
      <w:pPr>
        <w:autoSpaceDE w:val="0"/>
        <w:autoSpaceDN w:val="0"/>
        <w:adjustRightInd w:val="0"/>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even</w:t>
      </w:r>
      <w:proofErr w:type="gramEnd"/>
      <w:r>
        <w:rPr>
          <w:rFonts w:ascii="TimesNewRomanPSMT" w:eastAsiaTheme="minorHAnsi" w:hAnsi="TimesNewRomanPSMT" w:cs="TimesNewRomanPSMT"/>
          <w:bCs/>
          <w:color w:val="000000"/>
        </w:rPr>
        <w:t xml:space="preserve"> after the 24-hour and annual primary SO</w:t>
      </w:r>
      <w:r>
        <w:rPr>
          <w:rFonts w:ascii="TimesNewRomanPSMT" w:eastAsiaTheme="minorHAnsi" w:hAnsi="TimesNewRomanPSMT" w:cs="TimesNewRomanPSMT"/>
          <w:bCs/>
          <w:color w:val="000000"/>
          <w:sz w:val="16"/>
          <w:szCs w:val="16"/>
        </w:rPr>
        <w:t xml:space="preserve">2 </w:t>
      </w:r>
      <w:r>
        <w:rPr>
          <w:rFonts w:ascii="TimesNewRomanPSMT" w:eastAsiaTheme="minorHAnsi" w:hAnsi="TimesNewRomanPSMT" w:cs="TimesNewRomanPSMT"/>
          <w:bCs/>
          <w:color w:val="000000"/>
        </w:rPr>
        <w:t>NAAQS are no longer in effect, including all</w:t>
      </w:r>
    </w:p>
    <w:p w:rsidR="00360C11" w:rsidRDefault="00360C11" w:rsidP="00360C11">
      <w:pPr>
        <w:autoSpaceDE w:val="0"/>
        <w:autoSpaceDN w:val="0"/>
        <w:adjustRightInd w:val="0"/>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currently</w:t>
      </w:r>
      <w:proofErr w:type="gramEnd"/>
      <w:r>
        <w:rPr>
          <w:rFonts w:ascii="TimesNewRomanPSMT" w:eastAsiaTheme="minorHAnsi" w:hAnsi="TimesNewRomanPSMT" w:cs="TimesNewRomanPSMT"/>
          <w:bCs/>
          <w:color w:val="000000"/>
        </w:rPr>
        <w:t xml:space="preserve"> implemented planning and emissions control obligations. …This will ensure that both</w:t>
      </w:r>
    </w:p>
    <w:p w:rsidR="00360C11" w:rsidRDefault="00360C11" w:rsidP="00360C11">
      <w:pPr>
        <w:autoSpaceDE w:val="0"/>
        <w:autoSpaceDN w:val="0"/>
        <w:adjustRightInd w:val="0"/>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the</w:t>
      </w:r>
      <w:proofErr w:type="gramEnd"/>
      <w:r>
        <w:rPr>
          <w:rFonts w:ascii="TimesNewRomanPSMT" w:eastAsiaTheme="minorHAnsi" w:hAnsi="TimesNewRomanPSMT" w:cs="TimesNewRomanPSMT"/>
          <w:bCs/>
          <w:color w:val="000000"/>
        </w:rPr>
        <w:t xml:space="preserve"> new nonattainment NSR requirements and the general conformity requirements for a revised</w:t>
      </w:r>
    </w:p>
    <w:p w:rsidR="00360C11" w:rsidRDefault="00360C11" w:rsidP="00360C11">
      <w:pPr>
        <w:autoSpaceDE w:val="0"/>
        <w:autoSpaceDN w:val="0"/>
        <w:adjustRightInd w:val="0"/>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standard</w:t>
      </w:r>
      <w:proofErr w:type="gramEnd"/>
      <w:r>
        <w:rPr>
          <w:rFonts w:ascii="TimesNewRomanPSMT" w:eastAsiaTheme="minorHAnsi" w:hAnsi="TimesNewRomanPSMT" w:cs="TimesNewRomanPSMT"/>
          <w:bCs/>
          <w:color w:val="000000"/>
        </w:rPr>
        <w:t xml:space="preserve"> are in place so that there will be no gap in the public health protections provided by these two programs. It will also ensure that all nonattainment areas under the annual and/or 24-</w:t>
      </w:r>
    </w:p>
    <w:p w:rsidR="00360C11" w:rsidRDefault="00360C11" w:rsidP="00360C11">
      <w:pPr>
        <w:autoSpaceDE w:val="0"/>
        <w:autoSpaceDN w:val="0"/>
        <w:adjustRightInd w:val="0"/>
        <w:rPr>
          <w:rFonts w:ascii="TimesNewRomanPSMT" w:eastAsiaTheme="minorHAnsi" w:hAnsi="TimesNewRomanPSMT" w:cs="TimesNewRomanPSMT"/>
          <w:bCs/>
          <w:color w:val="000000"/>
        </w:rPr>
      </w:pPr>
      <w:proofErr w:type="spellStart"/>
      <w:proofErr w:type="gramStart"/>
      <w:r>
        <w:rPr>
          <w:rFonts w:ascii="TimesNewRomanPSMT" w:eastAsiaTheme="minorHAnsi" w:hAnsi="TimesNewRomanPSMT" w:cs="TimesNewRomanPSMT"/>
          <w:bCs/>
          <w:color w:val="000000"/>
        </w:rPr>
        <w:t>hour</w:t>
      </w:r>
      <w:proofErr w:type="spellEnd"/>
      <w:proofErr w:type="gramEnd"/>
      <w:r>
        <w:rPr>
          <w:rFonts w:ascii="TimesNewRomanPSMT" w:eastAsiaTheme="minorHAnsi" w:hAnsi="TimesNewRomanPSMT" w:cs="TimesNewRomanPSMT"/>
          <w:bCs/>
          <w:color w:val="000000"/>
        </w:rPr>
        <w:t xml:space="preserve"> NAAQS and all areas for which SIP calls have been issued will continue to be protected by</w:t>
      </w:r>
    </w:p>
    <w:p w:rsidR="00F87EB7" w:rsidRDefault="00360C11" w:rsidP="00360C11">
      <w:pPr>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currently</w:t>
      </w:r>
      <w:proofErr w:type="gramEnd"/>
      <w:r>
        <w:rPr>
          <w:rFonts w:ascii="TimesNewRomanPSMT" w:eastAsiaTheme="minorHAnsi" w:hAnsi="TimesNewRomanPSMT" w:cs="TimesNewRomanPSMT"/>
          <w:bCs/>
          <w:color w:val="000000"/>
        </w:rPr>
        <w:t xml:space="preserve"> required control measures. </w:t>
      </w:r>
    </w:p>
    <w:p w:rsidR="00F87EB7" w:rsidRDefault="00F87EB7" w:rsidP="00F87EB7">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It is important to understand that for PSD purposes, even after the time that the annual</w:t>
      </w:r>
    </w:p>
    <w:p w:rsidR="00F87EB7" w:rsidRDefault="00F87EB7" w:rsidP="00F87EB7">
      <w:pPr>
        <w:autoSpaceDE w:val="0"/>
        <w:autoSpaceDN w:val="0"/>
        <w:adjustRightInd w:val="0"/>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and</w:t>
      </w:r>
      <w:proofErr w:type="gramEnd"/>
      <w:r>
        <w:rPr>
          <w:rFonts w:ascii="TimesNewRomanPSMT" w:eastAsiaTheme="minorHAnsi" w:hAnsi="TimesNewRomanPSMT" w:cs="TimesNewRomanPSMT"/>
          <w:bCs/>
          <w:color w:val="000000"/>
        </w:rPr>
        <w:t xml:space="preserve"> 24-hour SO</w:t>
      </w:r>
      <w:r>
        <w:rPr>
          <w:rFonts w:ascii="TimesNewRomanPSMT" w:eastAsiaTheme="minorHAnsi" w:hAnsi="TimesNewRomanPSMT" w:cs="TimesNewRomanPSMT"/>
          <w:bCs/>
          <w:color w:val="000000"/>
          <w:sz w:val="16"/>
          <w:szCs w:val="16"/>
        </w:rPr>
        <w:t xml:space="preserve">2 </w:t>
      </w:r>
      <w:r>
        <w:rPr>
          <w:rFonts w:ascii="TimesNewRomanPSMT" w:eastAsiaTheme="minorHAnsi" w:hAnsi="TimesNewRomanPSMT" w:cs="TimesNewRomanPSMT"/>
          <w:bCs/>
          <w:color w:val="000000"/>
        </w:rPr>
        <w:t>NAAQS are no longer in effect, the annual and 24-hour SO</w:t>
      </w:r>
      <w:r>
        <w:rPr>
          <w:rFonts w:ascii="TimesNewRomanPSMT" w:eastAsiaTheme="minorHAnsi" w:hAnsi="TimesNewRomanPSMT" w:cs="TimesNewRomanPSMT"/>
          <w:bCs/>
          <w:color w:val="000000"/>
          <w:sz w:val="16"/>
          <w:szCs w:val="16"/>
        </w:rPr>
        <w:t xml:space="preserve">2 </w:t>
      </w:r>
      <w:r>
        <w:rPr>
          <w:rFonts w:ascii="TimesNewRomanPSMT" w:eastAsiaTheme="minorHAnsi" w:hAnsi="TimesNewRomanPSMT" w:cs="TimesNewRomanPSMT"/>
          <w:bCs/>
          <w:color w:val="000000"/>
        </w:rPr>
        <w:t>increments</w:t>
      </w:r>
    </w:p>
    <w:p w:rsidR="00F87EB7" w:rsidRDefault="00F87EB7" w:rsidP="00F87EB7">
      <w:pPr>
        <w:autoSpaceDE w:val="0"/>
        <w:autoSpaceDN w:val="0"/>
        <w:adjustRightInd w:val="0"/>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contained</w:t>
      </w:r>
      <w:proofErr w:type="gramEnd"/>
      <w:r>
        <w:rPr>
          <w:rFonts w:ascii="TimesNewRomanPSMT" w:eastAsiaTheme="minorHAnsi" w:hAnsi="TimesNewRomanPSMT" w:cs="TimesNewRomanPSMT"/>
          <w:bCs/>
          <w:color w:val="000000"/>
        </w:rPr>
        <w:t xml:space="preserve"> in the CAA and PSD regulations will remain in effect. Thus, the owner or operator of</w:t>
      </w:r>
    </w:p>
    <w:p w:rsidR="00F87EB7" w:rsidRDefault="00F87EB7" w:rsidP="00F87EB7">
      <w:pPr>
        <w:autoSpaceDE w:val="0"/>
        <w:autoSpaceDN w:val="0"/>
        <w:adjustRightInd w:val="0"/>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a</w:t>
      </w:r>
      <w:proofErr w:type="gramEnd"/>
      <w:r>
        <w:rPr>
          <w:rFonts w:ascii="TimesNewRomanPSMT" w:eastAsiaTheme="minorHAnsi" w:hAnsi="TimesNewRomanPSMT" w:cs="TimesNewRomanPSMT"/>
          <w:bCs/>
          <w:color w:val="000000"/>
        </w:rPr>
        <w:t xml:space="preserve"> new or modified source will still be required to demonstrate compliance with the annual and</w:t>
      </w:r>
    </w:p>
    <w:p w:rsidR="00F87EB7" w:rsidRDefault="00F87EB7" w:rsidP="00F87EB7">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lastRenderedPageBreak/>
        <w:t>24-hour SO</w:t>
      </w:r>
      <w:r>
        <w:rPr>
          <w:rFonts w:ascii="TimesNewRomanPSMT" w:eastAsiaTheme="minorHAnsi" w:hAnsi="TimesNewRomanPSMT" w:cs="TimesNewRomanPSMT"/>
          <w:bCs/>
          <w:color w:val="000000"/>
          <w:sz w:val="16"/>
          <w:szCs w:val="16"/>
        </w:rPr>
        <w:t xml:space="preserve">2 </w:t>
      </w:r>
      <w:r>
        <w:rPr>
          <w:rFonts w:ascii="TimesNewRomanPSMT" w:eastAsiaTheme="minorHAnsi" w:hAnsi="TimesNewRomanPSMT" w:cs="TimesNewRomanPSMT"/>
          <w:bCs/>
          <w:color w:val="000000"/>
        </w:rPr>
        <w:t>increments, even when the corresponding SO</w:t>
      </w:r>
      <w:r>
        <w:rPr>
          <w:rFonts w:ascii="TimesNewRomanPSMT" w:eastAsiaTheme="minorHAnsi" w:hAnsi="TimesNewRomanPSMT" w:cs="TimesNewRomanPSMT"/>
          <w:bCs/>
          <w:color w:val="000000"/>
          <w:sz w:val="16"/>
          <w:szCs w:val="16"/>
        </w:rPr>
        <w:t xml:space="preserve">2 </w:t>
      </w:r>
      <w:r>
        <w:rPr>
          <w:rFonts w:ascii="TimesNewRomanPSMT" w:eastAsiaTheme="minorHAnsi" w:hAnsi="TimesNewRomanPSMT" w:cs="TimesNewRomanPSMT"/>
          <w:bCs/>
          <w:color w:val="000000"/>
        </w:rPr>
        <w:t>NAAQS no longer apply. The</w:t>
      </w:r>
    </w:p>
    <w:p w:rsidR="00F87EB7" w:rsidRDefault="00F87EB7" w:rsidP="00F87EB7">
      <w:pPr>
        <w:autoSpaceDE w:val="0"/>
        <w:autoSpaceDN w:val="0"/>
        <w:adjustRightInd w:val="0"/>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annual</w:t>
      </w:r>
      <w:proofErr w:type="gramEnd"/>
      <w:r>
        <w:rPr>
          <w:rFonts w:ascii="TimesNewRomanPSMT" w:eastAsiaTheme="minorHAnsi" w:hAnsi="TimesNewRomanPSMT" w:cs="TimesNewRomanPSMT"/>
          <w:bCs/>
          <w:color w:val="000000"/>
        </w:rPr>
        <w:t xml:space="preserve"> and 24-hour increments are established in section 163 of the CAA. Thus, they remain</w:t>
      </w:r>
    </w:p>
    <w:p w:rsidR="00F87EB7" w:rsidRDefault="00F87EB7" w:rsidP="00F87EB7">
      <w:pPr>
        <w:autoSpaceDE w:val="0"/>
        <w:autoSpaceDN w:val="0"/>
        <w:adjustRightInd w:val="0"/>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applicable</w:t>
      </w:r>
      <w:proofErr w:type="gramEnd"/>
      <w:r>
        <w:rPr>
          <w:rFonts w:ascii="TimesNewRomanPSMT" w:eastAsiaTheme="minorHAnsi" w:hAnsi="TimesNewRomanPSMT" w:cs="TimesNewRomanPSMT"/>
          <w:bCs/>
          <w:color w:val="000000"/>
        </w:rPr>
        <w:t xml:space="preserve"> even after EPA has revoked the SO</w:t>
      </w:r>
      <w:r>
        <w:rPr>
          <w:rFonts w:ascii="TimesNewRomanPSMT" w:eastAsiaTheme="minorHAnsi" w:hAnsi="TimesNewRomanPSMT" w:cs="TimesNewRomanPSMT"/>
          <w:bCs/>
          <w:color w:val="000000"/>
          <w:sz w:val="16"/>
          <w:szCs w:val="16"/>
        </w:rPr>
        <w:t xml:space="preserve">2 </w:t>
      </w:r>
      <w:r>
        <w:rPr>
          <w:rFonts w:ascii="TimesNewRomanPSMT" w:eastAsiaTheme="minorHAnsi" w:hAnsi="TimesNewRomanPSMT" w:cs="TimesNewRomanPSMT"/>
          <w:bCs/>
          <w:color w:val="000000"/>
        </w:rPr>
        <w:t>NAAQS for the annual and 24-hour averaging</w:t>
      </w:r>
    </w:p>
    <w:p w:rsidR="00F87EB7" w:rsidRDefault="00F87EB7" w:rsidP="00F87EB7">
      <w:pPr>
        <w:autoSpaceDE w:val="0"/>
        <w:autoSpaceDN w:val="0"/>
        <w:adjustRightInd w:val="0"/>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times</w:t>
      </w:r>
      <w:proofErr w:type="gramEnd"/>
      <w:r>
        <w:rPr>
          <w:rFonts w:ascii="TimesNewRomanPSMT" w:eastAsiaTheme="minorHAnsi" w:hAnsi="TimesNewRomanPSMT" w:cs="TimesNewRomanPSMT"/>
          <w:bCs/>
          <w:color w:val="000000"/>
        </w:rPr>
        <w:t>. EPA does not believe that it can eliminate the annual and 24-hour SO</w:t>
      </w:r>
      <w:r>
        <w:rPr>
          <w:rFonts w:ascii="TimesNewRomanPSMT" w:eastAsiaTheme="minorHAnsi" w:hAnsi="TimesNewRomanPSMT" w:cs="TimesNewRomanPSMT"/>
          <w:bCs/>
          <w:color w:val="000000"/>
          <w:sz w:val="16"/>
          <w:szCs w:val="16"/>
        </w:rPr>
        <w:t xml:space="preserve">2 </w:t>
      </w:r>
      <w:r>
        <w:rPr>
          <w:rFonts w:ascii="TimesNewRomanPSMT" w:eastAsiaTheme="minorHAnsi" w:hAnsi="TimesNewRomanPSMT" w:cs="TimesNewRomanPSMT"/>
          <w:bCs/>
          <w:color w:val="000000"/>
        </w:rPr>
        <w:t>increments</w:t>
      </w:r>
    </w:p>
    <w:p w:rsidR="00F87EB7" w:rsidRDefault="00F87EB7" w:rsidP="00F87EB7">
      <w:pPr>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without</w:t>
      </w:r>
      <w:proofErr w:type="gramEnd"/>
      <w:r>
        <w:rPr>
          <w:rFonts w:ascii="TimesNewRomanPSMT" w:eastAsiaTheme="minorHAnsi" w:hAnsi="TimesNewRomanPSMT" w:cs="TimesNewRomanPSMT"/>
          <w:bCs/>
          <w:color w:val="000000"/>
        </w:rPr>
        <w:t xml:space="preserve"> appropriate legislative changes to the statutory SO</w:t>
      </w:r>
      <w:r>
        <w:rPr>
          <w:rFonts w:ascii="TimesNewRomanPSMT" w:eastAsiaTheme="minorHAnsi" w:hAnsi="TimesNewRomanPSMT" w:cs="TimesNewRomanPSMT"/>
          <w:bCs/>
          <w:color w:val="000000"/>
          <w:sz w:val="16"/>
          <w:szCs w:val="16"/>
        </w:rPr>
        <w:t xml:space="preserve">2 </w:t>
      </w:r>
      <w:r>
        <w:rPr>
          <w:rFonts w:ascii="TimesNewRomanPSMT" w:eastAsiaTheme="minorHAnsi" w:hAnsi="TimesNewRomanPSMT" w:cs="TimesNewRomanPSMT"/>
          <w:bCs/>
          <w:color w:val="000000"/>
        </w:rPr>
        <w:t xml:space="preserve">increments.                                                                                                                                                         </w:t>
      </w:r>
    </w:p>
    <w:p w:rsidR="00757553" w:rsidRDefault="00757553" w:rsidP="00360C11">
      <w:pPr>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(pp 32</w:t>
      </w:r>
      <w:r w:rsidR="00F87EB7">
        <w:rPr>
          <w:rFonts w:ascii="TimesNewRomanPSMT" w:eastAsiaTheme="minorHAnsi" w:hAnsi="TimesNewRomanPSMT" w:cs="TimesNewRomanPSMT"/>
          <w:bCs/>
          <w:color w:val="000000"/>
        </w:rPr>
        <w:t>-33</w:t>
      </w:r>
      <w:r>
        <w:rPr>
          <w:rFonts w:ascii="TimesNewRomanPSMT" w:eastAsiaTheme="minorHAnsi" w:hAnsi="TimesNewRomanPSMT" w:cs="TimesNewRomanPSMT"/>
          <w:bCs/>
          <w:color w:val="000000"/>
        </w:rPr>
        <w:t xml:space="preserve">: </w:t>
      </w:r>
      <w:hyperlink r:id="rId7" w:history="1">
        <w:r w:rsidRPr="007E5C38">
          <w:rPr>
            <w:rStyle w:val="Hyperlink"/>
            <w:rFonts w:ascii="TimesNewRomanPSMT" w:eastAsiaTheme="minorHAnsi" w:hAnsi="TimesNewRomanPSMT" w:cs="TimesNewRomanPSMT"/>
            <w:bCs/>
          </w:rPr>
          <w:t>http://www.epa.gov/airquality/sulfurdioxide/pdfs/DraftSO2Guidance_9-22-11.pdf</w:t>
        </w:r>
      </w:hyperlink>
      <w:r>
        <w:rPr>
          <w:rFonts w:ascii="TimesNewRomanPSMT" w:eastAsiaTheme="minorHAnsi" w:hAnsi="TimesNewRomanPSMT" w:cs="TimesNewRomanPSMT"/>
          <w:bCs/>
          <w:color w:val="000000"/>
        </w:rPr>
        <w:t xml:space="preserve"> )</w:t>
      </w:r>
    </w:p>
    <w:p w:rsidR="00356875" w:rsidRDefault="00356875" w:rsidP="00360C11">
      <w:pPr>
        <w:rPr>
          <w:rFonts w:ascii="TimesNewRomanPSMT" w:eastAsiaTheme="minorHAnsi" w:hAnsi="TimesNewRomanPSMT" w:cs="TimesNewRomanPSMT"/>
          <w:bCs/>
          <w:color w:val="000000"/>
        </w:rPr>
      </w:pPr>
    </w:p>
    <w:p w:rsidR="00356875" w:rsidRDefault="00356875" w:rsidP="00356875">
      <w:pPr>
        <w:autoSpaceDE w:val="0"/>
        <w:autoSpaceDN w:val="0"/>
        <w:adjustRightInd w:val="0"/>
        <w:rPr>
          <w:rFonts w:ascii="TimesNewRomanPSMT" w:eastAsiaTheme="minorHAnsi" w:hAnsi="TimesNewRomanPSMT" w:cs="TimesNewRomanPSMT"/>
          <w:bCs/>
          <w:color w:val="000000"/>
        </w:rPr>
      </w:pPr>
    </w:p>
    <w:p w:rsidR="00356875" w:rsidRDefault="00356875" w:rsidP="00356875">
      <w:pPr>
        <w:autoSpaceDE w:val="0"/>
        <w:autoSpaceDN w:val="0"/>
        <w:adjustRightInd w:val="0"/>
        <w:rPr>
          <w:rFonts w:ascii="TimesNewRomanPSMT" w:eastAsiaTheme="minorHAnsi" w:hAnsi="TimesNewRomanPSMT" w:cs="TimesNewRomanPSMT"/>
          <w:bCs/>
          <w:color w:val="000000"/>
        </w:rPr>
      </w:pPr>
    </w:p>
    <w:p w:rsidR="00356875" w:rsidRDefault="00356875" w:rsidP="00356875">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If a state believes that its existing (already approved) infrastructure SIP is adequate with</w:t>
      </w:r>
    </w:p>
    <w:p w:rsidR="00356875" w:rsidRDefault="00356875" w:rsidP="00356875">
      <w:pPr>
        <w:autoSpaceDE w:val="0"/>
        <w:autoSpaceDN w:val="0"/>
        <w:adjustRightInd w:val="0"/>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respect</w:t>
      </w:r>
      <w:proofErr w:type="gramEnd"/>
      <w:r>
        <w:rPr>
          <w:rFonts w:ascii="TimesNewRomanPSMT" w:eastAsiaTheme="minorHAnsi" w:hAnsi="TimesNewRomanPSMT" w:cs="TimesNewRomanPSMT"/>
          <w:bCs/>
          <w:color w:val="000000"/>
        </w:rPr>
        <w:t xml:space="preserve"> to one or more section 110(a)(2) infrastructure elements (or sub-elements), then the</w:t>
      </w:r>
    </w:p>
    <w:p w:rsidR="00356875" w:rsidRDefault="00356875" w:rsidP="00356875">
      <w:pPr>
        <w:autoSpaceDE w:val="0"/>
        <w:autoSpaceDN w:val="0"/>
        <w:adjustRightInd w:val="0"/>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state's</w:t>
      </w:r>
      <w:proofErr w:type="gramEnd"/>
      <w:r>
        <w:rPr>
          <w:rFonts w:ascii="TimesNewRomanPSMT" w:eastAsiaTheme="minorHAnsi" w:hAnsi="TimesNewRomanPSMT" w:cs="TimesNewRomanPSMT"/>
          <w:bCs/>
          <w:color w:val="000000"/>
        </w:rPr>
        <w:t xml:space="preserve"> SIP submission may be a certification that the existing SIP contains provisions that fully</w:t>
      </w:r>
    </w:p>
    <w:p w:rsidR="00356875" w:rsidRDefault="00356875" w:rsidP="00356875">
      <w:pPr>
        <w:autoSpaceDE w:val="0"/>
        <w:autoSpaceDN w:val="0"/>
        <w:adjustRightInd w:val="0"/>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address</w:t>
      </w:r>
      <w:proofErr w:type="gramEnd"/>
      <w:r>
        <w:rPr>
          <w:rFonts w:ascii="TimesNewRomanPSMT" w:eastAsiaTheme="minorHAnsi" w:hAnsi="TimesNewRomanPSMT" w:cs="TimesNewRomanPSMT"/>
          <w:bCs/>
          <w:color w:val="000000"/>
        </w:rPr>
        <w:t xml:space="preserve"> those section 110(a)(2) infrastructure elements (or sub-elements) as applicable for the</w:t>
      </w:r>
    </w:p>
    <w:p w:rsidR="00356875" w:rsidRDefault="00356875" w:rsidP="00356875">
      <w:pPr>
        <w:autoSpaceDE w:val="0"/>
        <w:autoSpaceDN w:val="0"/>
        <w:adjustRightInd w:val="0"/>
        <w:rPr>
          <w:rFonts w:ascii="TimesNewRomanPSMT" w:eastAsiaTheme="minorHAnsi" w:hAnsi="TimesNewRomanPSMT" w:cs="TimesNewRomanPSMT"/>
          <w:bCs/>
          <w:color w:val="000000"/>
          <w:sz w:val="20"/>
          <w:szCs w:val="20"/>
        </w:rPr>
      </w:pPr>
      <w:r>
        <w:rPr>
          <w:rFonts w:ascii="TimesNewRomanPSMT" w:eastAsiaTheme="minorHAnsi" w:hAnsi="TimesNewRomanPSMT" w:cs="TimesNewRomanPSMT"/>
          <w:bCs/>
          <w:color w:val="000000"/>
        </w:rPr>
        <w:t>2010 1-hour SO</w:t>
      </w:r>
      <w:r>
        <w:rPr>
          <w:rFonts w:ascii="TimesNewRomanPSMT" w:eastAsiaTheme="minorHAnsi" w:hAnsi="TimesNewRomanPSMT" w:cs="TimesNewRomanPSMT"/>
          <w:bCs/>
          <w:color w:val="000000"/>
          <w:sz w:val="16"/>
          <w:szCs w:val="16"/>
        </w:rPr>
        <w:t xml:space="preserve">2 </w:t>
      </w:r>
      <w:r>
        <w:rPr>
          <w:rFonts w:ascii="TimesNewRomanPSMT" w:eastAsiaTheme="minorHAnsi" w:hAnsi="TimesNewRomanPSMT" w:cs="TimesNewRomanPSMT"/>
          <w:bCs/>
          <w:color w:val="000000"/>
        </w:rPr>
        <w:t>NAAQS.</w:t>
      </w:r>
      <w:r>
        <w:rPr>
          <w:rFonts w:ascii="TimesNewRomanPSMT" w:eastAsiaTheme="minorHAnsi" w:hAnsi="TimesNewRomanPSMT" w:cs="TimesNewRomanPSMT"/>
          <w:bCs/>
          <w:color w:val="000000"/>
          <w:sz w:val="16"/>
          <w:szCs w:val="16"/>
        </w:rPr>
        <w:t>26  (</w:t>
      </w:r>
      <w:r>
        <w:rPr>
          <w:rFonts w:ascii="TimesNewRomanPSMT" w:eastAsiaTheme="minorHAnsi" w:hAnsi="TimesNewRomanPSMT" w:cs="TimesNewRomanPSMT"/>
          <w:bCs/>
          <w:color w:val="000000"/>
          <w:sz w:val="13"/>
          <w:szCs w:val="13"/>
        </w:rPr>
        <w:t xml:space="preserve">26 </w:t>
      </w:r>
      <w:r>
        <w:rPr>
          <w:rFonts w:ascii="TimesNewRomanPSMT" w:eastAsiaTheme="minorHAnsi" w:hAnsi="TimesNewRomanPSMT" w:cs="TimesNewRomanPSMT"/>
          <w:bCs/>
          <w:color w:val="000000"/>
          <w:sz w:val="20"/>
          <w:szCs w:val="20"/>
        </w:rPr>
        <w:t>This certification does not serve as a demonstration for purposes of CAA section 110(l) that the state has in fact</w:t>
      </w:r>
    </w:p>
    <w:p w:rsidR="00356875" w:rsidRDefault="00356875" w:rsidP="00356875">
      <w:pPr>
        <w:autoSpaceDE w:val="0"/>
        <w:autoSpaceDN w:val="0"/>
        <w:adjustRightInd w:val="0"/>
        <w:rPr>
          <w:rFonts w:ascii="TimesNewRomanPSMT" w:eastAsiaTheme="minorHAnsi" w:hAnsi="TimesNewRomanPSMT" w:cs="TimesNewRomanPSMT"/>
          <w:bCs/>
          <w:color w:val="000000"/>
          <w:sz w:val="20"/>
          <w:szCs w:val="20"/>
        </w:rPr>
      </w:pPr>
      <w:proofErr w:type="gramStart"/>
      <w:r>
        <w:rPr>
          <w:rFonts w:ascii="TimesNewRomanPSMT" w:eastAsiaTheme="minorHAnsi" w:hAnsi="TimesNewRomanPSMT" w:cs="TimesNewRomanPSMT"/>
          <w:bCs/>
          <w:color w:val="000000"/>
          <w:sz w:val="20"/>
          <w:szCs w:val="20"/>
        </w:rPr>
        <w:t>attained</w:t>
      </w:r>
      <w:proofErr w:type="gramEnd"/>
      <w:r>
        <w:rPr>
          <w:rFonts w:ascii="TimesNewRomanPSMT" w:eastAsiaTheme="minorHAnsi" w:hAnsi="TimesNewRomanPSMT" w:cs="TimesNewRomanPSMT"/>
          <w:bCs/>
          <w:color w:val="000000"/>
          <w:sz w:val="20"/>
          <w:szCs w:val="20"/>
        </w:rPr>
        <w:t xml:space="preserve"> and maintained the 1-hour SO</w:t>
      </w:r>
      <w:r>
        <w:rPr>
          <w:rFonts w:ascii="TimesNewRomanPSMT" w:eastAsiaTheme="minorHAnsi" w:hAnsi="TimesNewRomanPSMT" w:cs="TimesNewRomanPSMT"/>
          <w:bCs/>
          <w:color w:val="000000"/>
          <w:sz w:val="13"/>
          <w:szCs w:val="13"/>
        </w:rPr>
        <w:t xml:space="preserve">2 </w:t>
      </w:r>
      <w:r>
        <w:rPr>
          <w:rFonts w:ascii="TimesNewRomanPSMT" w:eastAsiaTheme="minorHAnsi" w:hAnsi="TimesNewRomanPSMT" w:cs="TimesNewRomanPSMT"/>
          <w:bCs/>
          <w:color w:val="000000"/>
          <w:sz w:val="20"/>
          <w:szCs w:val="20"/>
        </w:rPr>
        <w:t>NAAQS. That demonstration, which is part of a required attainment plan</w:t>
      </w:r>
    </w:p>
    <w:p w:rsidR="00356875" w:rsidRDefault="00356875" w:rsidP="00356875">
      <w:pPr>
        <w:autoSpaceDE w:val="0"/>
        <w:autoSpaceDN w:val="0"/>
        <w:adjustRightInd w:val="0"/>
        <w:rPr>
          <w:rFonts w:ascii="TimesNewRomanPSMT" w:eastAsiaTheme="minorHAnsi" w:hAnsi="TimesNewRomanPSMT" w:cs="TimesNewRomanPSMT"/>
          <w:bCs/>
          <w:color w:val="000000"/>
          <w:sz w:val="20"/>
          <w:szCs w:val="20"/>
        </w:rPr>
      </w:pPr>
      <w:proofErr w:type="gramStart"/>
      <w:r>
        <w:rPr>
          <w:rFonts w:ascii="TimesNewRomanPSMT" w:eastAsiaTheme="minorHAnsi" w:hAnsi="TimesNewRomanPSMT" w:cs="TimesNewRomanPSMT"/>
          <w:bCs/>
          <w:color w:val="000000"/>
          <w:sz w:val="20"/>
          <w:szCs w:val="20"/>
        </w:rPr>
        <w:t>for</w:t>
      </w:r>
      <w:proofErr w:type="gramEnd"/>
      <w:r>
        <w:rPr>
          <w:rFonts w:ascii="TimesNewRomanPSMT" w:eastAsiaTheme="minorHAnsi" w:hAnsi="TimesNewRomanPSMT" w:cs="TimesNewRomanPSMT"/>
          <w:bCs/>
          <w:color w:val="000000"/>
          <w:sz w:val="20"/>
          <w:szCs w:val="20"/>
        </w:rPr>
        <w:t xml:space="preserve"> unclassifiable areas, is specific to the 2010 1-hour SO</w:t>
      </w:r>
      <w:r>
        <w:rPr>
          <w:rFonts w:ascii="TimesNewRomanPSMT" w:eastAsiaTheme="minorHAnsi" w:hAnsi="TimesNewRomanPSMT" w:cs="TimesNewRomanPSMT"/>
          <w:bCs/>
          <w:color w:val="000000"/>
          <w:sz w:val="13"/>
          <w:szCs w:val="13"/>
        </w:rPr>
        <w:t xml:space="preserve">2 </w:t>
      </w:r>
      <w:r>
        <w:rPr>
          <w:rFonts w:ascii="TimesNewRomanPSMT" w:eastAsiaTheme="minorHAnsi" w:hAnsi="TimesNewRomanPSMT" w:cs="TimesNewRomanPSMT"/>
          <w:bCs/>
          <w:color w:val="000000"/>
          <w:sz w:val="20"/>
          <w:szCs w:val="20"/>
        </w:rPr>
        <w:t>NAAQS and is addressed elsewhere in our</w:t>
      </w:r>
    </w:p>
    <w:p w:rsidR="00356875" w:rsidRDefault="00356875" w:rsidP="00356875">
      <w:pPr>
        <w:autoSpaceDE w:val="0"/>
        <w:autoSpaceDN w:val="0"/>
        <w:adjustRightInd w:val="0"/>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sz w:val="20"/>
          <w:szCs w:val="20"/>
        </w:rPr>
        <w:t>implementation</w:t>
      </w:r>
      <w:proofErr w:type="gramEnd"/>
      <w:r>
        <w:rPr>
          <w:rFonts w:ascii="TimesNewRomanPSMT" w:eastAsiaTheme="minorHAnsi" w:hAnsi="TimesNewRomanPSMT" w:cs="TimesNewRomanPSMT"/>
          <w:bCs/>
          <w:color w:val="000000"/>
          <w:sz w:val="20"/>
          <w:szCs w:val="20"/>
        </w:rPr>
        <w:t xml:space="preserve"> guidance.)</w:t>
      </w:r>
    </w:p>
    <w:p w:rsidR="00356875" w:rsidRDefault="00356875" w:rsidP="00356875">
      <w:pPr>
        <w:autoSpaceDE w:val="0"/>
        <w:autoSpaceDN w:val="0"/>
        <w:adjustRightInd w:val="0"/>
        <w:rPr>
          <w:rFonts w:ascii="TimesNewRomanPSMT" w:eastAsiaTheme="minorHAnsi" w:hAnsi="TimesNewRomanPSMT" w:cs="TimesNewRomanPSMT"/>
          <w:bCs/>
          <w:color w:val="000000"/>
        </w:rPr>
      </w:pPr>
    </w:p>
    <w:p w:rsidR="00356875" w:rsidRDefault="00356875" w:rsidP="00356875">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Two elements identified in section 110(a</w:t>
      </w:r>
      <w:proofErr w:type="gramStart"/>
      <w:r>
        <w:rPr>
          <w:rFonts w:ascii="TimesNewRomanPSMT" w:eastAsiaTheme="minorHAnsi" w:hAnsi="TimesNewRomanPSMT" w:cs="TimesNewRomanPSMT"/>
          <w:bCs/>
          <w:color w:val="000000"/>
        </w:rPr>
        <w:t>)(</w:t>
      </w:r>
      <w:proofErr w:type="gramEnd"/>
      <w:r>
        <w:rPr>
          <w:rFonts w:ascii="TimesNewRomanPSMT" w:eastAsiaTheme="minorHAnsi" w:hAnsi="TimesNewRomanPSMT" w:cs="TimesNewRomanPSMT"/>
          <w:bCs/>
          <w:color w:val="000000"/>
        </w:rPr>
        <w:t>2) include requirements that are not governed</w:t>
      </w:r>
    </w:p>
    <w:p w:rsidR="00356875" w:rsidRDefault="00356875" w:rsidP="00356875">
      <w:pPr>
        <w:autoSpaceDE w:val="0"/>
        <w:autoSpaceDN w:val="0"/>
        <w:adjustRightInd w:val="0"/>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by</w:t>
      </w:r>
      <w:proofErr w:type="gramEnd"/>
      <w:r>
        <w:rPr>
          <w:rFonts w:ascii="TimesNewRomanPSMT" w:eastAsiaTheme="minorHAnsi" w:hAnsi="TimesNewRomanPSMT" w:cs="TimesNewRomanPSMT"/>
          <w:bCs/>
          <w:color w:val="000000"/>
        </w:rPr>
        <w:t xml:space="preserve"> the 3-year submission deadline of section 110(a)(1). The requirements pertain to part D, of</w:t>
      </w:r>
    </w:p>
    <w:p w:rsidR="00356875" w:rsidRDefault="00356875" w:rsidP="00356875">
      <w:pPr>
        <w:autoSpaceDE w:val="0"/>
        <w:autoSpaceDN w:val="0"/>
        <w:adjustRightInd w:val="0"/>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title</w:t>
      </w:r>
      <w:proofErr w:type="gramEnd"/>
      <w:r>
        <w:rPr>
          <w:rFonts w:ascii="TimesNewRomanPSMT" w:eastAsiaTheme="minorHAnsi" w:hAnsi="TimesNewRomanPSMT" w:cs="TimesNewRomanPSMT"/>
          <w:bCs/>
          <w:color w:val="000000"/>
        </w:rPr>
        <w:t xml:space="preserve"> I of the CAA, which addresses plan requirements for nonattainment areas. Therefore, the</w:t>
      </w:r>
    </w:p>
    <w:p w:rsidR="00356875" w:rsidRDefault="00356875" w:rsidP="00356875">
      <w:pPr>
        <w:autoSpaceDE w:val="0"/>
        <w:autoSpaceDN w:val="0"/>
        <w:adjustRightInd w:val="0"/>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following</w:t>
      </w:r>
      <w:proofErr w:type="gramEnd"/>
      <w:r>
        <w:rPr>
          <w:rFonts w:ascii="TimesNewRomanPSMT" w:eastAsiaTheme="minorHAnsi" w:hAnsi="TimesNewRomanPSMT" w:cs="TimesNewRomanPSMT"/>
          <w:bCs/>
          <w:color w:val="000000"/>
        </w:rPr>
        <w:t xml:space="preserve"> section 110(a)(2) elements are considered by EPA to be outside the scope of</w:t>
      </w:r>
    </w:p>
    <w:p w:rsidR="00356875" w:rsidRDefault="00356875" w:rsidP="00356875">
      <w:pPr>
        <w:autoSpaceDE w:val="0"/>
        <w:autoSpaceDN w:val="0"/>
        <w:adjustRightInd w:val="0"/>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infrastructure</w:t>
      </w:r>
      <w:proofErr w:type="gramEnd"/>
      <w:r>
        <w:rPr>
          <w:rFonts w:ascii="TimesNewRomanPSMT" w:eastAsiaTheme="minorHAnsi" w:hAnsi="TimesNewRomanPSMT" w:cs="TimesNewRomanPSMT"/>
          <w:bCs/>
          <w:color w:val="000000"/>
        </w:rPr>
        <w:t xml:space="preserve"> SIP actions: (1) section 110(a)(2)(C) to the extent it refers to permit programs</w:t>
      </w:r>
    </w:p>
    <w:p w:rsidR="00356875" w:rsidRDefault="00356875" w:rsidP="00356875">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w:t>
      </w:r>
      <w:proofErr w:type="gramStart"/>
      <w:r>
        <w:rPr>
          <w:rFonts w:ascii="TimesNewRomanPSMT" w:eastAsiaTheme="minorHAnsi" w:hAnsi="TimesNewRomanPSMT" w:cs="TimesNewRomanPSMT"/>
          <w:bCs/>
          <w:color w:val="000000"/>
        </w:rPr>
        <w:t>known</w:t>
      </w:r>
      <w:proofErr w:type="gramEnd"/>
      <w:r>
        <w:rPr>
          <w:rFonts w:ascii="TimesNewRomanPSMT" w:eastAsiaTheme="minorHAnsi" w:hAnsi="TimesNewRomanPSMT" w:cs="TimesNewRomanPSMT"/>
          <w:bCs/>
          <w:color w:val="000000"/>
        </w:rPr>
        <w:t xml:space="preserve"> as "nonattainment new source review") required under part D; and</w:t>
      </w:r>
    </w:p>
    <w:p w:rsidR="00356875" w:rsidRDefault="00356875" w:rsidP="00356875">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 xml:space="preserve">(2) </w:t>
      </w:r>
      <w:proofErr w:type="gramStart"/>
      <w:r>
        <w:rPr>
          <w:rFonts w:ascii="TimesNewRomanPSMT" w:eastAsiaTheme="minorHAnsi" w:hAnsi="TimesNewRomanPSMT" w:cs="TimesNewRomanPSMT"/>
          <w:bCs/>
          <w:color w:val="000000"/>
        </w:rPr>
        <w:t>section</w:t>
      </w:r>
      <w:proofErr w:type="gramEnd"/>
      <w:r>
        <w:rPr>
          <w:rFonts w:ascii="TimesNewRomanPSMT" w:eastAsiaTheme="minorHAnsi" w:hAnsi="TimesNewRomanPSMT" w:cs="TimesNewRomanPSMT"/>
          <w:bCs/>
          <w:color w:val="000000"/>
        </w:rPr>
        <w:t xml:space="preserve"> 110(a)(2)(I) in its entirety. EPA does not expect infrastructure SIP submittals to</w:t>
      </w:r>
    </w:p>
    <w:p w:rsidR="00356875" w:rsidRDefault="00356875" w:rsidP="00356875">
      <w:pPr>
        <w:autoSpaceDE w:val="0"/>
        <w:autoSpaceDN w:val="0"/>
        <w:adjustRightInd w:val="0"/>
        <w:rPr>
          <w:rFonts w:ascii="TimesNewRomanPSMT" w:eastAsiaTheme="minorHAnsi" w:hAnsi="TimesNewRomanPSMT" w:cs="TimesNewRomanPSMT"/>
          <w:bCs/>
          <w:color w:val="000000"/>
        </w:rPr>
      </w:pPr>
      <w:proofErr w:type="gramStart"/>
      <w:r>
        <w:rPr>
          <w:rFonts w:ascii="TimesNewRomanPSMT" w:eastAsiaTheme="minorHAnsi" w:hAnsi="TimesNewRomanPSMT" w:cs="TimesNewRomanPSMT"/>
          <w:bCs/>
          <w:color w:val="000000"/>
        </w:rPr>
        <w:t>include</w:t>
      </w:r>
      <w:proofErr w:type="gramEnd"/>
      <w:r>
        <w:rPr>
          <w:rFonts w:ascii="TimesNewRomanPSMT" w:eastAsiaTheme="minorHAnsi" w:hAnsi="TimesNewRomanPSMT" w:cs="TimesNewRomanPSMT"/>
          <w:bCs/>
          <w:color w:val="000000"/>
        </w:rPr>
        <w:t xml:space="preserve"> regulations or emission limits developed specifically for attaining the relevant standard.</w:t>
      </w:r>
    </w:p>
    <w:p w:rsidR="00356875" w:rsidRDefault="00356875" w:rsidP="00356875">
      <w:pPr>
        <w:autoSpaceDE w:val="0"/>
        <w:autoSpaceDN w:val="0"/>
        <w:adjustRightInd w:val="0"/>
        <w:rPr>
          <w:rFonts w:ascii="TimesNewRomanPSMT" w:eastAsiaTheme="minorHAnsi" w:hAnsi="TimesNewRomanPSMT" w:cs="TimesNewRomanPSMT"/>
          <w:bCs/>
          <w:color w:val="000000"/>
        </w:rPr>
      </w:pPr>
      <w:r>
        <w:rPr>
          <w:rFonts w:ascii="TimesNewRomanPSMT" w:eastAsiaTheme="minorHAnsi" w:hAnsi="TimesNewRomanPSMT" w:cs="TimesNewRomanPSMT"/>
          <w:bCs/>
          <w:color w:val="000000"/>
        </w:rPr>
        <w:t>Those submittals are due at the time the nonattainment area planning requirements are due</w:t>
      </w:r>
    </w:p>
    <w:p w:rsidR="00356875" w:rsidRDefault="00356875" w:rsidP="00356875">
      <w:r>
        <w:rPr>
          <w:rFonts w:ascii="TimesNewRomanPSMT" w:eastAsiaTheme="minorHAnsi" w:hAnsi="TimesNewRomanPSMT" w:cs="TimesNewRomanPSMT"/>
          <w:bCs/>
          <w:color w:val="000000"/>
        </w:rPr>
        <w:t xml:space="preserve">(18 months following designation). (B-2: </w:t>
      </w:r>
      <w:hyperlink r:id="rId8" w:history="1">
        <w:r w:rsidRPr="007E5C38">
          <w:rPr>
            <w:rStyle w:val="Hyperlink"/>
            <w:rFonts w:ascii="TimesNewRomanPSMT" w:eastAsiaTheme="minorHAnsi" w:hAnsi="TimesNewRomanPSMT" w:cs="TimesNewRomanPSMT"/>
            <w:bCs/>
          </w:rPr>
          <w:t>http://www.epa.gov/airquality/sulfurdioxide/pdfs/DraftSO2Guidance_9-22-11.pdf</w:t>
        </w:r>
      </w:hyperlink>
      <w:r>
        <w:rPr>
          <w:rFonts w:ascii="TimesNewRomanPSMT" w:eastAsiaTheme="minorHAnsi" w:hAnsi="TimesNewRomanPSMT" w:cs="TimesNewRomanPSMT"/>
          <w:bCs/>
          <w:color w:val="000000"/>
        </w:rPr>
        <w:t xml:space="preserve"> )</w:t>
      </w:r>
    </w:p>
    <w:sectPr w:rsidR="00356875" w:rsidSect="008606B1">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EB7" w:rsidRDefault="00F87EB7" w:rsidP="008606B1">
      <w:r>
        <w:separator/>
      </w:r>
    </w:p>
  </w:endnote>
  <w:endnote w:type="continuationSeparator" w:id="0">
    <w:p w:rsidR="00F87EB7" w:rsidRDefault="00F87EB7" w:rsidP="008606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EB7" w:rsidRDefault="00F87EB7" w:rsidP="008606B1">
      <w:r>
        <w:separator/>
      </w:r>
    </w:p>
  </w:footnote>
  <w:footnote w:type="continuationSeparator" w:id="0">
    <w:p w:rsidR="00F87EB7" w:rsidRDefault="00F87EB7" w:rsidP="008606B1">
      <w:r>
        <w:continuationSeparator/>
      </w:r>
    </w:p>
  </w:footnote>
  <w:footnote w:id="1">
    <w:p w:rsidR="009A173A" w:rsidRDefault="009A173A">
      <w:pPr>
        <w:pStyle w:val="FootnoteText"/>
      </w:pPr>
      <w:r>
        <w:rPr>
          <w:rStyle w:val="FootnoteReference"/>
        </w:rPr>
        <w:footnoteRef/>
      </w:r>
      <w:r>
        <w:t xml:space="preserve"> </w:t>
      </w:r>
      <w:hyperlink r:id="rId1" w:history="1">
        <w:r w:rsidRPr="007E5C38">
          <w:rPr>
            <w:rStyle w:val="Hyperlink"/>
          </w:rPr>
          <w:t>http://www.epa.gov/airquality/sulfurdioxide/pdfs/DraftSO2Guidance_9-22-11.pdf</w:t>
        </w:r>
      </w:hyperlink>
      <w:r>
        <w:t xml:space="preserve"> </w:t>
      </w:r>
    </w:p>
    <w:p w:rsidR="009A173A" w:rsidRDefault="009A173A">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EB7" w:rsidRPr="00757553" w:rsidRDefault="00F87EB7">
    <w:pPr>
      <w:pStyle w:val="Header"/>
      <w:rPr>
        <w:b/>
      </w:rPr>
    </w:pPr>
    <w:r w:rsidRPr="00757553">
      <w:rPr>
        <w:b/>
      </w:rPr>
      <w:t>SO2 Interstate Transport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revisionView w:inkAnnotations="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606B1"/>
    <w:rsid w:val="0009194A"/>
    <w:rsid w:val="00356875"/>
    <w:rsid w:val="00360C11"/>
    <w:rsid w:val="003C0FFD"/>
    <w:rsid w:val="005E38F0"/>
    <w:rsid w:val="00757553"/>
    <w:rsid w:val="008606B1"/>
    <w:rsid w:val="009A173A"/>
    <w:rsid w:val="009B0DAD"/>
    <w:rsid w:val="00C47E4F"/>
    <w:rsid w:val="00CB4862"/>
    <w:rsid w:val="00CC611C"/>
    <w:rsid w:val="00DB2AAB"/>
    <w:rsid w:val="00E5004C"/>
    <w:rsid w:val="00F218A5"/>
    <w:rsid w:val="00F87E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6B1"/>
    <w:pPr>
      <w:spacing w:after="0" w:line="240" w:lineRule="auto"/>
    </w:pPr>
    <w:rPr>
      <w:rFonts w:eastAsia="Times New Roman"/>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606B1"/>
    <w:pPr>
      <w:autoSpaceDE w:val="0"/>
      <w:autoSpaceDN w:val="0"/>
      <w:adjustRightInd w:val="0"/>
      <w:ind w:left="720"/>
    </w:pPr>
  </w:style>
  <w:style w:type="character" w:customStyle="1" w:styleId="BodyTextIndentChar">
    <w:name w:val="Body Text Indent Char"/>
    <w:basedOn w:val="DefaultParagraphFont"/>
    <w:link w:val="BodyTextIndent"/>
    <w:rsid w:val="008606B1"/>
    <w:rPr>
      <w:rFonts w:eastAsia="Times New Roman"/>
      <w:bCs w:val="0"/>
      <w:color w:val="auto"/>
    </w:rPr>
  </w:style>
  <w:style w:type="paragraph" w:styleId="FootnoteText">
    <w:name w:val="footnote text"/>
    <w:basedOn w:val="Normal"/>
    <w:link w:val="FootnoteTextChar"/>
    <w:uiPriority w:val="99"/>
    <w:semiHidden/>
    <w:unhideWhenUsed/>
    <w:rsid w:val="008606B1"/>
    <w:rPr>
      <w:sz w:val="20"/>
      <w:szCs w:val="20"/>
    </w:rPr>
  </w:style>
  <w:style w:type="character" w:customStyle="1" w:styleId="FootnoteTextChar">
    <w:name w:val="Footnote Text Char"/>
    <w:basedOn w:val="DefaultParagraphFont"/>
    <w:link w:val="FootnoteText"/>
    <w:uiPriority w:val="99"/>
    <w:semiHidden/>
    <w:rsid w:val="008606B1"/>
    <w:rPr>
      <w:rFonts w:eastAsia="Times New Roman"/>
      <w:bCs w:val="0"/>
      <w:color w:val="auto"/>
      <w:sz w:val="20"/>
      <w:szCs w:val="20"/>
    </w:rPr>
  </w:style>
  <w:style w:type="character" w:styleId="FootnoteReference">
    <w:name w:val="footnote reference"/>
    <w:basedOn w:val="DefaultParagraphFont"/>
    <w:uiPriority w:val="99"/>
    <w:semiHidden/>
    <w:unhideWhenUsed/>
    <w:rsid w:val="008606B1"/>
    <w:rPr>
      <w:vertAlign w:val="superscript"/>
    </w:rPr>
  </w:style>
  <w:style w:type="paragraph" w:styleId="Header">
    <w:name w:val="header"/>
    <w:basedOn w:val="Normal"/>
    <w:link w:val="HeaderChar"/>
    <w:uiPriority w:val="99"/>
    <w:semiHidden/>
    <w:unhideWhenUsed/>
    <w:rsid w:val="00757553"/>
    <w:pPr>
      <w:tabs>
        <w:tab w:val="center" w:pos="4680"/>
        <w:tab w:val="right" w:pos="9360"/>
      </w:tabs>
    </w:pPr>
  </w:style>
  <w:style w:type="character" w:customStyle="1" w:styleId="HeaderChar">
    <w:name w:val="Header Char"/>
    <w:basedOn w:val="DefaultParagraphFont"/>
    <w:link w:val="Header"/>
    <w:uiPriority w:val="99"/>
    <w:semiHidden/>
    <w:rsid w:val="00757553"/>
    <w:rPr>
      <w:rFonts w:eastAsia="Times New Roman"/>
      <w:bCs w:val="0"/>
      <w:color w:val="auto"/>
    </w:rPr>
  </w:style>
  <w:style w:type="paragraph" w:styleId="Footer">
    <w:name w:val="footer"/>
    <w:basedOn w:val="Normal"/>
    <w:link w:val="FooterChar"/>
    <w:uiPriority w:val="99"/>
    <w:semiHidden/>
    <w:unhideWhenUsed/>
    <w:rsid w:val="00757553"/>
    <w:pPr>
      <w:tabs>
        <w:tab w:val="center" w:pos="4680"/>
        <w:tab w:val="right" w:pos="9360"/>
      </w:tabs>
    </w:pPr>
  </w:style>
  <w:style w:type="character" w:customStyle="1" w:styleId="FooterChar">
    <w:name w:val="Footer Char"/>
    <w:basedOn w:val="DefaultParagraphFont"/>
    <w:link w:val="Footer"/>
    <w:uiPriority w:val="99"/>
    <w:semiHidden/>
    <w:rsid w:val="00757553"/>
    <w:rPr>
      <w:rFonts w:eastAsia="Times New Roman"/>
      <w:bCs w:val="0"/>
      <w:color w:val="auto"/>
    </w:rPr>
  </w:style>
  <w:style w:type="character" w:styleId="Hyperlink">
    <w:name w:val="Hyperlink"/>
    <w:basedOn w:val="DefaultParagraphFont"/>
    <w:uiPriority w:val="99"/>
    <w:unhideWhenUsed/>
    <w:rsid w:val="0075755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airquality/sulfurdioxide/pdfs/DraftSO2Guidance_9-22-11.pdf" TargetMode="External"/><Relationship Id="rId3" Type="http://schemas.openxmlformats.org/officeDocument/2006/relationships/settings" Target="settings.xml"/><Relationship Id="rId7" Type="http://schemas.openxmlformats.org/officeDocument/2006/relationships/hyperlink" Target="http://www.epa.gov/airquality/sulfurdioxide/pdfs/DraftSO2Guidance_9-22-11.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epa.gov/airquality/sulfurdioxide/pdfs/DraftSO2Guidance_9-22-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E18880-0E8E-4D09-AAA9-ABC7DB3F9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ccapp</dc:creator>
  <cp:lastModifiedBy>ccapp</cp:lastModifiedBy>
  <cp:revision>2</cp:revision>
  <cp:lastPrinted>2013-05-29T19:18:00Z</cp:lastPrinted>
  <dcterms:created xsi:type="dcterms:W3CDTF">2013-05-29T20:18:00Z</dcterms:created>
  <dcterms:modified xsi:type="dcterms:W3CDTF">2013-05-29T20:18:00Z</dcterms:modified>
</cp:coreProperties>
</file>