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7620" w:type="dxa"/>
        <w:tblLook w:val="04A0"/>
      </w:tblPr>
      <w:tblGrid>
        <w:gridCol w:w="2538"/>
        <w:gridCol w:w="2430"/>
        <w:gridCol w:w="2610"/>
        <w:gridCol w:w="1980"/>
        <w:gridCol w:w="4050"/>
        <w:gridCol w:w="4012"/>
      </w:tblGrid>
      <w:tr w:rsidR="00097C00" w:rsidRPr="005B3933" w:rsidTr="000F7F09">
        <w:tc>
          <w:tcPr>
            <w:tcW w:w="2538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097C00" w:rsidRPr="005D78EA" w:rsidRDefault="00097C00" w:rsidP="00AE1F99">
            <w:pPr>
              <w:jc w:val="center"/>
              <w:rPr>
                <w:rFonts w:ascii="Arial" w:hAnsi="Arial" w:cs="Arial"/>
                <w:b/>
              </w:rPr>
            </w:pPr>
            <w:r w:rsidRPr="005D78EA">
              <w:rPr>
                <w:rFonts w:ascii="Arial" w:hAnsi="Arial" w:cs="Arial"/>
                <w:b/>
              </w:rPr>
              <w:t>Option</w:t>
            </w:r>
          </w:p>
        </w:tc>
        <w:tc>
          <w:tcPr>
            <w:tcW w:w="2430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097C00" w:rsidRPr="005B3933" w:rsidRDefault="00097C00" w:rsidP="00AE1F99">
            <w:pPr>
              <w:jc w:val="center"/>
              <w:rPr>
                <w:rFonts w:ascii="Arial" w:hAnsi="Arial" w:cs="Arial"/>
                <w:b/>
              </w:rPr>
            </w:pPr>
            <w:r w:rsidRPr="005B3933">
              <w:rPr>
                <w:rFonts w:ascii="Arial" w:hAnsi="Arial" w:cs="Arial"/>
                <w:b/>
              </w:rPr>
              <w:t>Risk</w:t>
            </w:r>
          </w:p>
        </w:tc>
        <w:tc>
          <w:tcPr>
            <w:tcW w:w="2610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097C00" w:rsidRPr="005B3933" w:rsidRDefault="00097C00" w:rsidP="00AE1F99">
            <w:pPr>
              <w:jc w:val="center"/>
              <w:rPr>
                <w:rFonts w:ascii="Arial" w:hAnsi="Arial" w:cs="Arial"/>
                <w:b/>
              </w:rPr>
            </w:pPr>
            <w:r w:rsidRPr="005B3933">
              <w:rPr>
                <w:rFonts w:ascii="Arial" w:hAnsi="Arial" w:cs="Arial"/>
                <w:b/>
              </w:rPr>
              <w:t>Consequence</w:t>
            </w:r>
          </w:p>
        </w:tc>
        <w:tc>
          <w:tcPr>
            <w:tcW w:w="1980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097C00" w:rsidRDefault="00097C00" w:rsidP="00AE1F99">
            <w:pPr>
              <w:jc w:val="center"/>
              <w:rPr>
                <w:rFonts w:ascii="Arial" w:hAnsi="Arial" w:cs="Arial"/>
                <w:b/>
              </w:rPr>
            </w:pPr>
            <w:r w:rsidRPr="005B3933">
              <w:rPr>
                <w:rFonts w:ascii="Arial" w:hAnsi="Arial" w:cs="Arial"/>
                <w:b/>
              </w:rPr>
              <w:t>Likelihood of risk occurring</w:t>
            </w:r>
          </w:p>
          <w:p w:rsidR="00097C00" w:rsidRPr="005B3933" w:rsidRDefault="00097C00" w:rsidP="00AE1F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(0-100%)</w:t>
            </w:r>
          </w:p>
        </w:tc>
        <w:tc>
          <w:tcPr>
            <w:tcW w:w="4050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097C00" w:rsidRDefault="00097C00" w:rsidP="00AE1F99">
            <w:pPr>
              <w:jc w:val="center"/>
              <w:rPr>
                <w:rFonts w:ascii="Arial" w:hAnsi="Arial" w:cs="Arial"/>
                <w:b/>
              </w:rPr>
            </w:pPr>
            <w:r w:rsidRPr="005B3933">
              <w:rPr>
                <w:rFonts w:ascii="Arial" w:hAnsi="Arial" w:cs="Arial"/>
                <w:b/>
              </w:rPr>
              <w:t>Severity of impact</w:t>
            </w:r>
          </w:p>
          <w:p w:rsidR="00097C00" w:rsidRPr="005B3933" w:rsidRDefault="00097C00" w:rsidP="00AE1F99">
            <w:pPr>
              <w:jc w:val="center"/>
              <w:rPr>
                <w:rFonts w:ascii="Arial" w:hAnsi="Arial" w:cs="Arial"/>
                <w:b/>
              </w:rPr>
            </w:pPr>
            <w:r w:rsidRPr="005D78EA">
              <w:rPr>
                <w:rFonts w:ascii="Arial" w:hAnsi="Arial" w:cs="Arial"/>
              </w:rPr>
              <w:t>(</w:t>
            </w:r>
            <w:r w:rsidRPr="005B3933">
              <w:rPr>
                <w:rFonts w:ascii="Arial" w:hAnsi="Arial" w:cs="Arial"/>
              </w:rPr>
              <w:t>1= low, to 5= high)</w:t>
            </w:r>
          </w:p>
        </w:tc>
        <w:tc>
          <w:tcPr>
            <w:tcW w:w="4012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097C00" w:rsidRPr="005B3933" w:rsidRDefault="00097C00" w:rsidP="00AE1F9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Mitigation</w:t>
            </w:r>
          </w:p>
        </w:tc>
      </w:tr>
      <w:tr w:rsidR="00097C00" w:rsidTr="000F7F09">
        <w:trPr>
          <w:trHeight w:val="1133"/>
        </w:trPr>
        <w:tc>
          <w:tcPr>
            <w:tcW w:w="2538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097C00" w:rsidRPr="005D78EA" w:rsidRDefault="00097C00" w:rsidP="00570C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EA">
              <w:rPr>
                <w:rFonts w:ascii="Arial" w:hAnsi="Arial" w:cs="Arial"/>
                <w:b/>
                <w:sz w:val="20"/>
                <w:szCs w:val="20"/>
              </w:rPr>
              <w:t>Subm</w:t>
            </w:r>
            <w:r w:rsidR="00AE1F99">
              <w:rPr>
                <w:rFonts w:ascii="Arial" w:hAnsi="Arial" w:cs="Arial"/>
                <w:b/>
                <w:sz w:val="20"/>
                <w:szCs w:val="20"/>
              </w:rPr>
              <w:t xml:space="preserve">it i-SIP to EPA with crosswalks </w:t>
            </w:r>
            <w:r w:rsidRPr="005D78EA">
              <w:rPr>
                <w:rFonts w:ascii="Arial" w:hAnsi="Arial" w:cs="Arial"/>
                <w:b/>
                <w:sz w:val="20"/>
                <w:szCs w:val="20"/>
              </w:rPr>
              <w:t>as-is</w:t>
            </w:r>
          </w:p>
        </w:tc>
        <w:tc>
          <w:tcPr>
            <w:tcW w:w="2430" w:type="dxa"/>
            <w:tcBorders>
              <w:top w:val="single" w:sz="24" w:space="0" w:color="auto"/>
            </w:tcBorders>
          </w:tcPr>
          <w:p w:rsidR="00097C00" w:rsidRDefault="00097C00" w:rsidP="004F074A">
            <w:r>
              <w:t>Adverse comments (RE: rules</w:t>
            </w:r>
            <w:r w:rsidR="004F074A">
              <w:t xml:space="preserve"> incorrectly identified as in or out of SIP</w:t>
            </w:r>
            <w:r>
              <w:t>)</w:t>
            </w:r>
          </w:p>
        </w:tc>
        <w:tc>
          <w:tcPr>
            <w:tcW w:w="2610" w:type="dxa"/>
            <w:tcBorders>
              <w:top w:val="single" w:sz="24" w:space="0" w:color="auto"/>
            </w:tcBorders>
          </w:tcPr>
          <w:p w:rsidR="00097C00" w:rsidRDefault="00AE1F99">
            <w:r>
              <w:t>Loss of credibility (if DEQ publishes crosswalks with known errors and a disclaimer)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097C00" w:rsidRDefault="00AE1F99" w:rsidP="00AE1F99">
            <w:r>
              <w:t>Medium</w:t>
            </w:r>
            <w:r w:rsidR="000F7F09">
              <w:t xml:space="preserve"> </w:t>
            </w:r>
            <w:r w:rsidR="00097C00">
              <w:t>(</w:t>
            </w:r>
            <w:r>
              <w:t>40-60</w:t>
            </w:r>
            <w:r w:rsidR="00097C00">
              <w:t>%)</w:t>
            </w:r>
          </w:p>
        </w:tc>
        <w:tc>
          <w:tcPr>
            <w:tcW w:w="4050" w:type="dxa"/>
            <w:tcBorders>
              <w:top w:val="single" w:sz="24" w:space="0" w:color="auto"/>
            </w:tcBorders>
          </w:tcPr>
          <w:p w:rsidR="00097C00" w:rsidRDefault="00AE1F99" w:rsidP="00506E0C">
            <w:r w:rsidRPr="005D45D4">
              <w:rPr>
                <w:b/>
              </w:rPr>
              <w:t>2</w:t>
            </w:r>
            <w:r>
              <w:t xml:space="preserve"> (could generate additional comments during public notice period</w:t>
            </w:r>
            <w:r w:rsidR="00506E0C">
              <w:t xml:space="preserve">, </w:t>
            </w:r>
            <w:r>
              <w:t>need to correct errors in crosswalks)</w:t>
            </w:r>
          </w:p>
        </w:tc>
        <w:tc>
          <w:tcPr>
            <w:tcW w:w="4012" w:type="dxa"/>
            <w:tcBorders>
              <w:top w:val="single" w:sz="24" w:space="0" w:color="auto"/>
            </w:tcBorders>
          </w:tcPr>
          <w:p w:rsidR="00097C00" w:rsidRDefault="000351C2" w:rsidP="00BE5844">
            <w:r>
              <w:t>Address</w:t>
            </w:r>
            <w:r w:rsidR="00AE1F99">
              <w:t xml:space="preserve"> comments</w:t>
            </w:r>
            <w:r>
              <w:t xml:space="preserve"> during public notice period and make necessary corrections</w:t>
            </w:r>
            <w:r w:rsidR="00AE1F99">
              <w:t xml:space="preserve"> in final draft</w:t>
            </w:r>
            <w:r>
              <w:t xml:space="preserve"> SIP submittal packet </w:t>
            </w:r>
            <w:r w:rsidR="00BE5844">
              <w:t>(e.g.</w:t>
            </w:r>
            <w:r>
              <w:t xml:space="preserve"> crosswalk corrections).</w:t>
            </w:r>
          </w:p>
        </w:tc>
      </w:tr>
      <w:tr w:rsidR="00097C00" w:rsidTr="000F7F09">
        <w:trPr>
          <w:trHeight w:val="692"/>
        </w:trPr>
        <w:tc>
          <w:tcPr>
            <w:tcW w:w="2538" w:type="dxa"/>
            <w:shd w:val="clear" w:color="auto" w:fill="A6A6A6" w:themeFill="background1" w:themeFillShade="A6"/>
          </w:tcPr>
          <w:p w:rsidR="00097C00" w:rsidRPr="005D78EA" w:rsidRDefault="00097C00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</w:tcPr>
          <w:p w:rsidR="00097C00" w:rsidRDefault="004F074A" w:rsidP="004F074A">
            <w:r>
              <w:t>L</w:t>
            </w:r>
            <w:r w:rsidR="00097C00">
              <w:t xml:space="preserve">awsuit </w:t>
            </w:r>
            <w:r>
              <w:t>against</w:t>
            </w:r>
            <w:r w:rsidR="00097C00">
              <w:t xml:space="preserve"> DEQ</w:t>
            </w:r>
          </w:p>
        </w:tc>
        <w:tc>
          <w:tcPr>
            <w:tcW w:w="2610" w:type="dxa"/>
            <w:vAlign w:val="center"/>
          </w:tcPr>
          <w:p w:rsidR="00097C00" w:rsidRDefault="00097C00" w:rsidP="00570CED">
            <w:r>
              <w:t xml:space="preserve">Can </w:t>
            </w:r>
            <w:r w:rsidR="00AE1F99">
              <w:t xml:space="preserve">respond to lawsuit and </w:t>
            </w:r>
            <w:r>
              <w:t>point to Federal Register for rules in SIP</w:t>
            </w:r>
            <w:r w:rsidR="00AE1F99">
              <w:t xml:space="preserve"> </w:t>
            </w:r>
            <w:r w:rsidR="004F074A">
              <w:t>(if suit focused on SIP notes)</w:t>
            </w:r>
          </w:p>
        </w:tc>
        <w:tc>
          <w:tcPr>
            <w:tcW w:w="1980" w:type="dxa"/>
          </w:tcPr>
          <w:p w:rsidR="00097C00" w:rsidRDefault="00097C00">
            <w:r>
              <w:t>Low (~20-30%)</w:t>
            </w:r>
          </w:p>
        </w:tc>
        <w:tc>
          <w:tcPr>
            <w:tcW w:w="4050" w:type="dxa"/>
          </w:tcPr>
          <w:p w:rsidR="00097C00" w:rsidRDefault="00097C00">
            <w:r w:rsidRPr="005D45D4">
              <w:rPr>
                <w:b/>
              </w:rPr>
              <w:t>1</w:t>
            </w:r>
            <w:r>
              <w:t xml:space="preserve"> (legal impact of risk is low, but </w:t>
            </w:r>
            <w:r w:rsidR="00506E0C">
              <w:t xml:space="preserve">response to litigation </w:t>
            </w:r>
            <w:r>
              <w:t>may consume resources unnecessarily)</w:t>
            </w:r>
          </w:p>
        </w:tc>
        <w:tc>
          <w:tcPr>
            <w:tcW w:w="4012" w:type="dxa"/>
          </w:tcPr>
          <w:p w:rsidR="00097C00" w:rsidRDefault="00AE1F99">
            <w:r>
              <w:t>Identify OARs in, make necessary corrections to crosswalks prior to completion of SIP rulemaking</w:t>
            </w:r>
          </w:p>
        </w:tc>
      </w:tr>
      <w:tr w:rsidR="00097C00" w:rsidTr="000F7F09">
        <w:trPr>
          <w:trHeight w:val="692"/>
        </w:trPr>
        <w:tc>
          <w:tcPr>
            <w:tcW w:w="2538" w:type="dxa"/>
            <w:tcBorders>
              <w:bottom w:val="single" w:sz="24" w:space="0" w:color="auto"/>
            </w:tcBorders>
            <w:shd w:val="clear" w:color="auto" w:fill="A6A6A6" w:themeFill="background1" w:themeFillShade="A6"/>
          </w:tcPr>
          <w:p w:rsidR="00097C00" w:rsidRPr="005D78EA" w:rsidRDefault="00097C00">
            <w:pPr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tcBorders>
              <w:bottom w:val="single" w:sz="24" w:space="0" w:color="auto"/>
            </w:tcBorders>
          </w:tcPr>
          <w:p w:rsidR="00097C00" w:rsidRDefault="00097C00">
            <w:r>
              <w:t>Loss of credibility</w:t>
            </w:r>
          </w:p>
        </w:tc>
        <w:tc>
          <w:tcPr>
            <w:tcW w:w="2610" w:type="dxa"/>
            <w:tcBorders>
              <w:bottom w:val="single" w:sz="24" w:space="0" w:color="auto"/>
            </w:tcBorders>
          </w:tcPr>
          <w:p w:rsidR="00097C00" w:rsidRDefault="00097C00">
            <w:r>
              <w:t>Loss of public’s trust/respect</w:t>
            </w:r>
          </w:p>
        </w:tc>
        <w:tc>
          <w:tcPr>
            <w:tcW w:w="1980" w:type="dxa"/>
            <w:tcBorders>
              <w:bottom w:val="single" w:sz="24" w:space="0" w:color="auto"/>
            </w:tcBorders>
          </w:tcPr>
          <w:p w:rsidR="00097C00" w:rsidRDefault="00097C00" w:rsidP="000F7F09">
            <w:r>
              <w:t>High</w:t>
            </w:r>
            <w:r w:rsidR="000F7F09">
              <w:t xml:space="preserve"> (&gt;</w:t>
            </w:r>
            <w:r>
              <w:t>90%</w:t>
            </w:r>
            <w:r w:rsidR="000F7F09">
              <w:t>)</w:t>
            </w:r>
          </w:p>
        </w:tc>
        <w:tc>
          <w:tcPr>
            <w:tcW w:w="4050" w:type="dxa"/>
            <w:tcBorders>
              <w:bottom w:val="single" w:sz="24" w:space="0" w:color="auto"/>
            </w:tcBorders>
          </w:tcPr>
          <w:p w:rsidR="00097C00" w:rsidRDefault="00097C00" w:rsidP="00506E0C">
            <w:r w:rsidRPr="005D45D4">
              <w:rPr>
                <w:b/>
              </w:rPr>
              <w:t xml:space="preserve">4 </w:t>
            </w:r>
            <w:r>
              <w:t>(</w:t>
            </w:r>
            <w:r w:rsidR="00506E0C">
              <w:t>DOJ l</w:t>
            </w:r>
            <w:r>
              <w:t>egal counsel indicates would need to disclose known errors in crosswalks; questions order of operations)</w:t>
            </w:r>
          </w:p>
        </w:tc>
        <w:tc>
          <w:tcPr>
            <w:tcW w:w="4012" w:type="dxa"/>
            <w:tcBorders>
              <w:bottom w:val="single" w:sz="24" w:space="0" w:color="auto"/>
            </w:tcBorders>
          </w:tcPr>
          <w:p w:rsidR="00097C00" w:rsidRDefault="00AE1F99" w:rsidP="00AE1F99">
            <w:r>
              <w:t>Identify OARs in</w:t>
            </w:r>
            <w:r w:rsidR="00506E0C">
              <w:t xml:space="preserve"> SIP</w:t>
            </w:r>
            <w:r>
              <w:t xml:space="preserve">, make necessary corrections to crosswalks prior to completion of </w:t>
            </w:r>
            <w:r w:rsidR="00506E0C">
              <w:t xml:space="preserve">bundled Infrastructure </w:t>
            </w:r>
            <w:r>
              <w:t>SIP rulemaking</w:t>
            </w:r>
            <w:r w:rsidR="00506E0C">
              <w:t xml:space="preserve"> and submittal to EPA</w:t>
            </w:r>
          </w:p>
        </w:tc>
      </w:tr>
      <w:tr w:rsidR="00097C00" w:rsidTr="000F7F09">
        <w:trPr>
          <w:trHeight w:val="665"/>
        </w:trPr>
        <w:tc>
          <w:tcPr>
            <w:tcW w:w="2538" w:type="dxa"/>
            <w:tcBorders>
              <w:top w:val="single" w:sz="24" w:space="0" w:color="auto"/>
            </w:tcBorders>
            <w:shd w:val="clear" w:color="auto" w:fill="A6A6A6" w:themeFill="background1" w:themeFillShade="A6"/>
          </w:tcPr>
          <w:p w:rsidR="00097C00" w:rsidRPr="005D78EA" w:rsidRDefault="00097C00" w:rsidP="00570C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78EA">
              <w:rPr>
                <w:rFonts w:ascii="Arial" w:hAnsi="Arial" w:cs="Arial"/>
                <w:b/>
                <w:sz w:val="20"/>
                <w:szCs w:val="20"/>
              </w:rPr>
              <w:t xml:space="preserve">Correct SIP Notes </w:t>
            </w:r>
            <w:r w:rsidR="00791936">
              <w:rPr>
                <w:rFonts w:ascii="Arial" w:hAnsi="Arial" w:cs="Arial"/>
                <w:b/>
                <w:sz w:val="20"/>
                <w:szCs w:val="20"/>
              </w:rPr>
              <w:t xml:space="preserve">in OARs and revise crosswalks </w:t>
            </w:r>
            <w:r w:rsidRPr="005D78EA">
              <w:rPr>
                <w:rFonts w:ascii="Arial" w:hAnsi="Arial" w:cs="Arial"/>
                <w:b/>
                <w:sz w:val="20"/>
                <w:szCs w:val="20"/>
              </w:rPr>
              <w:t>before submitting i-SIP to EPA</w:t>
            </w:r>
          </w:p>
        </w:tc>
        <w:tc>
          <w:tcPr>
            <w:tcW w:w="2430" w:type="dxa"/>
            <w:tcBorders>
              <w:top w:val="single" w:sz="24" w:space="0" w:color="auto"/>
            </w:tcBorders>
          </w:tcPr>
          <w:p w:rsidR="00097C00" w:rsidRDefault="00097C00">
            <w:r>
              <w:t>Delayed submittal (Dec. 2013 EQC adoption</w:t>
            </w:r>
            <w:r w:rsidR="00FE289D">
              <w:t xml:space="preserve"> instead of Oct. 2013</w:t>
            </w:r>
            <w:r>
              <w:t>)</w:t>
            </w:r>
          </w:p>
        </w:tc>
        <w:tc>
          <w:tcPr>
            <w:tcW w:w="2610" w:type="dxa"/>
            <w:tcBorders>
              <w:top w:val="single" w:sz="24" w:space="0" w:color="auto"/>
            </w:tcBorders>
          </w:tcPr>
          <w:p w:rsidR="004F074A" w:rsidRDefault="00412EFB">
            <w:r>
              <w:t xml:space="preserve">Postponement of i-SIP submittals </w:t>
            </w:r>
          </w:p>
          <w:p w:rsidR="004F074A" w:rsidRDefault="000F7F09">
            <w:r>
              <w:t xml:space="preserve"> ( </w:t>
            </w:r>
            <w:r w:rsidR="004F074A">
              <w:t>D</w:t>
            </w:r>
            <w:r w:rsidR="00097C00">
              <w:t xml:space="preserve">eadlines </w:t>
            </w:r>
            <w:r>
              <w:t>below)</w:t>
            </w:r>
          </w:p>
          <w:p w:rsidR="004F074A" w:rsidRDefault="00097C00" w:rsidP="004F074A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>NO2</w:t>
            </w:r>
            <w:r w:rsidR="00412EFB">
              <w:t xml:space="preserve"> (</w:t>
            </w:r>
            <w:r w:rsidR="00570CED">
              <w:t>1/ 22/</w:t>
            </w:r>
            <w:r w:rsidR="00412EFB">
              <w:t>13)</w:t>
            </w:r>
            <w:r>
              <w:t xml:space="preserve"> </w:t>
            </w:r>
          </w:p>
          <w:p w:rsidR="00FE289D" w:rsidRDefault="00097C00" w:rsidP="004F074A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 xml:space="preserve">SO2 </w:t>
            </w:r>
            <w:r w:rsidR="00570CED">
              <w:t>(5/3/</w:t>
            </w:r>
            <w:r w:rsidR="00412EFB">
              <w:t>13)</w:t>
            </w:r>
          </w:p>
          <w:p w:rsidR="00097C00" w:rsidRDefault="00097C00" w:rsidP="00570CED">
            <w:pPr>
              <w:pStyle w:val="ListParagraph"/>
              <w:numPr>
                <w:ilvl w:val="0"/>
                <w:numId w:val="1"/>
              </w:numPr>
              <w:ind w:left="432"/>
            </w:pPr>
            <w:r>
              <w:t xml:space="preserve">Pb </w:t>
            </w:r>
            <w:r w:rsidR="00412EFB">
              <w:t>(</w:t>
            </w:r>
            <w:r w:rsidR="00570CED">
              <w:t>10/15/</w:t>
            </w:r>
            <w:r w:rsidR="00412EFB">
              <w:t>11</w:t>
            </w:r>
            <w:r w:rsidR="000F7F09">
              <w:t>*</w:t>
            </w:r>
            <w:r>
              <w:t>)</w:t>
            </w:r>
          </w:p>
          <w:p w:rsidR="000F7F09" w:rsidRPr="000F7F09" w:rsidRDefault="000F7F09" w:rsidP="000F7F09">
            <w:pPr>
              <w:pStyle w:val="ListParagraph"/>
              <w:ind w:left="432"/>
              <w:rPr>
                <w:sz w:val="16"/>
                <w:szCs w:val="16"/>
              </w:rPr>
            </w:pPr>
            <w:r w:rsidRPr="000F7F09">
              <w:rPr>
                <w:sz w:val="16"/>
                <w:szCs w:val="16"/>
              </w:rPr>
              <w:t>*FOFS 2/15/13</w:t>
            </w:r>
            <w:r>
              <w:rPr>
                <w:sz w:val="16"/>
                <w:szCs w:val="16"/>
              </w:rPr>
              <w:t>; EPA must approve SIP or finalize ad FIP by 2/15/15.</w:t>
            </w:r>
          </w:p>
        </w:tc>
        <w:tc>
          <w:tcPr>
            <w:tcW w:w="1980" w:type="dxa"/>
            <w:tcBorders>
              <w:top w:val="single" w:sz="24" w:space="0" w:color="auto"/>
            </w:tcBorders>
          </w:tcPr>
          <w:p w:rsidR="000F7F09" w:rsidRDefault="00AE1F99">
            <w:r>
              <w:t>Low</w:t>
            </w:r>
            <w:r w:rsidR="000F7F09">
              <w:t xml:space="preserve"> </w:t>
            </w:r>
            <w:r>
              <w:t>(~0-20%)</w:t>
            </w:r>
          </w:p>
          <w:p w:rsidR="00132001" w:rsidRDefault="00132001"/>
        </w:tc>
        <w:tc>
          <w:tcPr>
            <w:tcW w:w="4050" w:type="dxa"/>
            <w:tcBorders>
              <w:top w:val="single" w:sz="24" w:space="0" w:color="auto"/>
            </w:tcBorders>
          </w:tcPr>
          <w:p w:rsidR="00132001" w:rsidRDefault="00097C00" w:rsidP="00132001">
            <w:r w:rsidRPr="005D45D4">
              <w:rPr>
                <w:b/>
              </w:rPr>
              <w:t>1</w:t>
            </w:r>
            <w:r>
              <w:t xml:space="preserve"> </w:t>
            </w:r>
            <w:r w:rsidR="00132001">
              <w:t>(i-SIP submittals currently overdue, no action expected from environmental groups for at least 6 months after deadline; likely send EPA a notice of intent to sue at that time</w:t>
            </w:r>
            <w:r w:rsidR="000F7F09">
              <w:t xml:space="preserve">. </w:t>
            </w:r>
            <w:r w:rsidR="00506E0C">
              <w:t>DOJ l</w:t>
            </w:r>
            <w:r w:rsidR="000F7F09">
              <w:t>egal counsel indicates EPA will not apply sanctions except in Nonattainment areas)</w:t>
            </w:r>
          </w:p>
          <w:p w:rsidR="00097C00" w:rsidRDefault="00097C00" w:rsidP="00132001"/>
        </w:tc>
        <w:tc>
          <w:tcPr>
            <w:tcW w:w="4012" w:type="dxa"/>
            <w:tcBorders>
              <w:top w:val="single" w:sz="24" w:space="0" w:color="auto"/>
            </w:tcBorders>
          </w:tcPr>
          <w:p w:rsidR="00097C00" w:rsidRDefault="00506E0C" w:rsidP="005D78EA">
            <w:r>
              <w:t>DOJ l</w:t>
            </w:r>
            <w:r w:rsidR="005D78EA">
              <w:t>egal counsel suggests fixing SIP notes and crosswalks prior to EPA submittal and public noticing.</w:t>
            </w:r>
          </w:p>
        </w:tc>
      </w:tr>
      <w:tr w:rsidR="00097C00" w:rsidTr="000F7F09">
        <w:trPr>
          <w:trHeight w:val="737"/>
        </w:trPr>
        <w:tc>
          <w:tcPr>
            <w:tcW w:w="2538" w:type="dxa"/>
            <w:shd w:val="clear" w:color="auto" w:fill="A6A6A6" w:themeFill="background1" w:themeFillShade="A6"/>
          </w:tcPr>
          <w:p w:rsidR="00097C00" w:rsidRPr="005D78EA" w:rsidRDefault="00097C00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:rsidR="00097C00" w:rsidRDefault="00097C00">
            <w:r>
              <w:t>Process of correcting SIP notes in OARs could take more time than expected</w:t>
            </w:r>
          </w:p>
        </w:tc>
        <w:tc>
          <w:tcPr>
            <w:tcW w:w="2610" w:type="dxa"/>
          </w:tcPr>
          <w:p w:rsidR="00097C00" w:rsidRDefault="00097C00">
            <w:r>
              <w:t>Could push rulemaking schedule out past Dec. ’13 EQC adoption date</w:t>
            </w:r>
          </w:p>
        </w:tc>
        <w:tc>
          <w:tcPr>
            <w:tcW w:w="1980" w:type="dxa"/>
          </w:tcPr>
          <w:p w:rsidR="00097C00" w:rsidRDefault="00097C00">
            <w:r>
              <w:t>Low</w:t>
            </w:r>
          </w:p>
          <w:p w:rsidR="00097C00" w:rsidRDefault="00097C00">
            <w:r>
              <w:t>(0-20%)</w:t>
            </w:r>
          </w:p>
        </w:tc>
        <w:tc>
          <w:tcPr>
            <w:tcW w:w="4050" w:type="dxa"/>
          </w:tcPr>
          <w:p w:rsidR="00097C00" w:rsidRDefault="00097C00">
            <w:r w:rsidRPr="005D45D4">
              <w:rPr>
                <w:b/>
              </w:rPr>
              <w:t>4</w:t>
            </w:r>
            <w:r>
              <w:t xml:space="preserve"> (EPA would be in legal jeopardy of being sued if SIP deadlines for NO2 and SO2 not met. Risk to DEQ is more reputational than legal.)</w:t>
            </w:r>
          </w:p>
        </w:tc>
        <w:tc>
          <w:tcPr>
            <w:tcW w:w="4012" w:type="dxa"/>
          </w:tcPr>
          <w:p w:rsidR="00097C00" w:rsidRDefault="00300949" w:rsidP="00300949">
            <w:r>
              <w:t>Work w/ EPA, DOJ paralegal to produce list of OARs in SIP. Revise crosswalks based on list of SIP rules developed by DEQ/EPA/DOJ.</w:t>
            </w:r>
          </w:p>
        </w:tc>
      </w:tr>
    </w:tbl>
    <w:p w:rsidR="005D45D4" w:rsidRPr="005D45D4" w:rsidRDefault="005D45D4" w:rsidP="005D45D4">
      <w:pPr>
        <w:spacing w:after="0"/>
        <w:rPr>
          <w:b/>
          <w:sz w:val="16"/>
          <w:szCs w:val="16"/>
          <w:u w:val="single"/>
        </w:rPr>
      </w:pPr>
    </w:p>
    <w:p w:rsidR="002F0C4B" w:rsidRDefault="002F0C4B">
      <w:r w:rsidRPr="00183BE2">
        <w:rPr>
          <w:b/>
          <w:u w:val="single"/>
        </w:rPr>
        <w:t>STAFF RECOMMENDATION:</w:t>
      </w:r>
      <w:r>
        <w:t xml:space="preserve"> </w:t>
      </w:r>
      <w:r w:rsidR="00EF40B2">
        <w:t xml:space="preserve"> </w:t>
      </w:r>
      <w:r>
        <w:t>Reschedule rule adopti</w:t>
      </w:r>
      <w:r w:rsidR="005D45D4">
        <w:t>on for December</w:t>
      </w:r>
      <w:r w:rsidR="00183BE2">
        <w:t xml:space="preserve"> 2013 EQC m</w:t>
      </w:r>
      <w:r>
        <w:t>eeting</w:t>
      </w:r>
      <w:r w:rsidR="005D45D4">
        <w:t xml:space="preserve"> </w:t>
      </w:r>
      <w:r>
        <w:t xml:space="preserve">in order to work with DOJ and EPA to develop a </w:t>
      </w:r>
      <w:r w:rsidR="00183BE2">
        <w:t xml:space="preserve">current list of Oregon Administrative Rules that are contained in the SIP. Use developed list of OARs </w:t>
      </w:r>
      <w:r w:rsidR="009326D6">
        <w:t xml:space="preserve">included </w:t>
      </w:r>
      <w:r w:rsidR="00183BE2">
        <w:t xml:space="preserve">in SIP to make corrections to Pb, NO2 and SO2 infrastructure SIP crosswalks. Present </w:t>
      </w:r>
      <w:r w:rsidR="00183BE2">
        <w:lastRenderedPageBreak/>
        <w:t>corrected crosswalks with infrastructure SIP submittal packet to EQC for adoption December 2013, and to EPA as soon as possible after filing with Secretary of State</w:t>
      </w:r>
      <w:r w:rsidR="009326D6">
        <w:t xml:space="preserve"> (target date Jan. 2014)</w:t>
      </w:r>
      <w:r w:rsidR="00183BE2">
        <w:t>.</w:t>
      </w:r>
    </w:p>
    <w:sectPr w:rsidR="002F0C4B" w:rsidSect="00097C00">
      <w:headerReference w:type="default" r:id="rId7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583" w:rsidRDefault="00394583" w:rsidP="00EF40B2">
      <w:pPr>
        <w:spacing w:after="0" w:line="240" w:lineRule="auto"/>
      </w:pPr>
      <w:r>
        <w:separator/>
      </w:r>
    </w:p>
  </w:endnote>
  <w:endnote w:type="continuationSeparator" w:id="0">
    <w:p w:rsidR="00394583" w:rsidRDefault="00394583" w:rsidP="00EF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583" w:rsidRDefault="00394583" w:rsidP="00EF40B2">
      <w:pPr>
        <w:spacing w:after="0" w:line="240" w:lineRule="auto"/>
      </w:pPr>
      <w:r>
        <w:separator/>
      </w:r>
    </w:p>
  </w:footnote>
  <w:footnote w:type="continuationSeparator" w:id="0">
    <w:p w:rsidR="00394583" w:rsidRDefault="00394583" w:rsidP="00EF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0B2" w:rsidRPr="00EF40B2" w:rsidRDefault="00EF40B2" w:rsidP="00EF40B2">
    <w:pPr>
      <w:pStyle w:val="Header"/>
      <w:jc w:val="center"/>
      <w:rPr>
        <w:b/>
      </w:rPr>
    </w:pPr>
    <w:r w:rsidRPr="00EF40B2">
      <w:rPr>
        <w:b/>
      </w:rPr>
      <w:t xml:space="preserve">May 30, 2013 Risk Analysis for submitting </w:t>
    </w:r>
    <w:r>
      <w:rPr>
        <w:b/>
      </w:rPr>
      <w:t>NO2, SO2 and Pb I</w:t>
    </w:r>
    <w:r w:rsidRPr="00EF40B2">
      <w:rPr>
        <w:b/>
      </w:rPr>
      <w:t>nfrastructure SIP crosswalks with known errors vs. delaying submittal to correct errors.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81A73"/>
    <w:multiLevelType w:val="hybridMultilevel"/>
    <w:tmpl w:val="C9D45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933"/>
    <w:rsid w:val="000351C2"/>
    <w:rsid w:val="0009194A"/>
    <w:rsid w:val="00097C00"/>
    <w:rsid w:val="000F7F09"/>
    <w:rsid w:val="00132001"/>
    <w:rsid w:val="00183BE2"/>
    <w:rsid w:val="002F0C4B"/>
    <w:rsid w:val="00300949"/>
    <w:rsid w:val="00394583"/>
    <w:rsid w:val="003C0FFD"/>
    <w:rsid w:val="00412EFB"/>
    <w:rsid w:val="004F074A"/>
    <w:rsid w:val="00506E0C"/>
    <w:rsid w:val="00570CED"/>
    <w:rsid w:val="005B3933"/>
    <w:rsid w:val="005D45D4"/>
    <w:rsid w:val="005D78EA"/>
    <w:rsid w:val="00791936"/>
    <w:rsid w:val="007A4877"/>
    <w:rsid w:val="009326D6"/>
    <w:rsid w:val="009B0DAD"/>
    <w:rsid w:val="00AE1F99"/>
    <w:rsid w:val="00BE5844"/>
    <w:rsid w:val="00C47E4F"/>
    <w:rsid w:val="00CB4862"/>
    <w:rsid w:val="00DB2AAB"/>
    <w:rsid w:val="00EF40B2"/>
    <w:rsid w:val="00F218A5"/>
    <w:rsid w:val="00FE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3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F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40B2"/>
  </w:style>
  <w:style w:type="paragraph" w:styleId="Footer">
    <w:name w:val="footer"/>
    <w:basedOn w:val="Normal"/>
    <w:link w:val="FooterChar"/>
    <w:uiPriority w:val="99"/>
    <w:semiHidden/>
    <w:unhideWhenUsed/>
    <w:rsid w:val="00EF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0B2"/>
  </w:style>
  <w:style w:type="paragraph" w:styleId="ListParagraph">
    <w:name w:val="List Paragraph"/>
    <w:basedOn w:val="Normal"/>
    <w:uiPriority w:val="34"/>
    <w:qFormat/>
    <w:rsid w:val="004F07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ccapp</dc:creator>
  <cp:lastModifiedBy>ccapp</cp:lastModifiedBy>
  <cp:revision>17</cp:revision>
  <cp:lastPrinted>2013-05-30T20:20:00Z</cp:lastPrinted>
  <dcterms:created xsi:type="dcterms:W3CDTF">2013-05-30T18:21:00Z</dcterms:created>
  <dcterms:modified xsi:type="dcterms:W3CDTF">2013-05-30T20:53:00Z</dcterms:modified>
</cp:coreProperties>
</file>