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439727023"/>
    <w:bookmarkEnd w:id="0"/>
    <w:p w:rsidR="00D35E91" w:rsidRDefault="00D35E91">
      <w:r w:rsidRPr="00024F82">
        <w:rPr>
          <w:rFonts w:asciiTheme="minorHAnsi" w:eastAsia="Times New Roman" w:hAnsiTheme="minorHAnsi" w:cstheme="minorHAnsi"/>
          <w:b/>
          <w:color w:val="000000" w:themeColor="text1"/>
        </w:rPr>
        <w:object w:dxaOrig="18577" w:dyaOrig="3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8pt;height:151.2pt" o:ole="">
            <v:imagedata r:id="rId5" o:title=""/>
          </v:shape>
          <o:OLEObject Type="Embed" ProgID="Word.Document.12" ShapeID="_x0000_i1025" DrawAspect="Content" ObjectID="_1441454293" r:id="rId6">
            <o:FieldCodes>\s</o:FieldCodes>
          </o:OLEObject>
        </w:objec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D35E91" w:rsidRPr="007A6D95" w:rsidTr="008F3C94">
        <w:trPr>
          <w:trHeight w:val="153"/>
        </w:trPr>
        <w:tc>
          <w:tcPr>
            <w:tcW w:w="1881" w:type="dxa"/>
            <w:tcBorders>
              <w:bottom w:val="single" w:sz="4" w:space="0" w:color="auto"/>
            </w:tcBorders>
            <w:shd w:val="clear" w:color="auto" w:fill="008080"/>
          </w:tcPr>
          <w:p w:rsidR="00D35E91" w:rsidRPr="007A6D95" w:rsidRDefault="00D35E91" w:rsidP="008F3C94">
            <w:pPr>
              <w:ind w:left="-18"/>
              <w:rPr>
                <w:rFonts w:cstheme="minorHAnsi"/>
                <w:b/>
                <w:color w:val="FFFFFF" w:themeColor="background1"/>
                <w:highlight w:val="darkCyan"/>
              </w:rPr>
            </w:pPr>
            <w:r w:rsidRPr="007A6D95">
              <w:rPr>
                <w:rFonts w:cstheme="minorHAnsi"/>
                <w:b/>
                <w:color w:val="FFFFFF" w:themeColor="background1"/>
                <w:highlight w:val="darkCyan"/>
              </w:rPr>
              <w:t>Comment Category</w:t>
            </w:r>
          </w:p>
        </w:tc>
        <w:tc>
          <w:tcPr>
            <w:tcW w:w="3942" w:type="dxa"/>
            <w:tcBorders>
              <w:bottom w:val="single" w:sz="4" w:space="0" w:color="auto"/>
            </w:tcBorders>
            <w:shd w:val="clear" w:color="auto" w:fill="008080"/>
          </w:tcPr>
          <w:p w:rsidR="00D35E91" w:rsidRPr="007A6D95" w:rsidRDefault="00D35E91" w:rsidP="008F3C94">
            <w:pPr>
              <w:ind w:left="0"/>
              <w:rPr>
                <w:rFonts w:cstheme="minorHAnsi"/>
                <w:b/>
                <w:color w:val="FFFFFF" w:themeColor="background1"/>
                <w:highlight w:val="darkCyan"/>
              </w:rPr>
            </w:pPr>
            <w:r w:rsidRPr="007A6D95">
              <w:rPr>
                <w:rFonts w:cstheme="minorHAnsi"/>
                <w:b/>
                <w:color w:val="FFFFFF" w:themeColor="background1"/>
                <w:highlight w:val="darkCyan"/>
              </w:rPr>
              <w:t>Comment</w:t>
            </w:r>
          </w:p>
        </w:tc>
        <w:tc>
          <w:tcPr>
            <w:tcW w:w="4415" w:type="dxa"/>
            <w:tcBorders>
              <w:bottom w:val="single" w:sz="4" w:space="0" w:color="auto"/>
            </w:tcBorders>
            <w:shd w:val="clear" w:color="auto" w:fill="008080"/>
          </w:tcPr>
          <w:p w:rsidR="00D35E91" w:rsidRPr="007A6D95" w:rsidRDefault="00D35E91" w:rsidP="008F3C94">
            <w:pPr>
              <w:ind w:left="0"/>
              <w:rPr>
                <w:rFonts w:cstheme="minorHAnsi"/>
                <w:b/>
                <w:color w:val="FFFFFF" w:themeColor="background1"/>
              </w:rPr>
            </w:pPr>
            <w:r w:rsidRPr="007A6D95">
              <w:rPr>
                <w:rFonts w:cstheme="minorHAnsi"/>
                <w:b/>
                <w:color w:val="FFFFFF" w:themeColor="background1"/>
                <w:highlight w:val="darkCyan"/>
              </w:rPr>
              <w:t>DEQ Response to Comment</w:t>
            </w:r>
          </w:p>
        </w:tc>
      </w:tr>
      <w:tr w:rsidR="00D35E91" w:rsidRPr="007A6D95" w:rsidTr="008F3C94">
        <w:trPr>
          <w:trHeight w:val="1520"/>
        </w:trPr>
        <w:tc>
          <w:tcPr>
            <w:tcW w:w="1881" w:type="dxa"/>
            <w:tcBorders>
              <w:bottom w:val="single" w:sz="4" w:space="0" w:color="auto"/>
            </w:tcBorders>
          </w:tcPr>
          <w:p w:rsidR="00D35E91" w:rsidRPr="007A6D95" w:rsidRDefault="00D35E91" w:rsidP="008F3C94">
            <w:pPr>
              <w:ind w:left="-18"/>
              <w:rPr>
                <w:rFonts w:cstheme="minorHAnsi"/>
              </w:rPr>
            </w:pPr>
          </w:p>
          <w:p w:rsidR="00D35E91" w:rsidRPr="007A6D95" w:rsidRDefault="00D35E91" w:rsidP="008F3C94">
            <w:pPr>
              <w:ind w:left="-18"/>
              <w:rPr>
                <w:rFonts w:cstheme="minorHAnsi"/>
              </w:rPr>
            </w:pPr>
            <w:r w:rsidRPr="007A6D95">
              <w:rPr>
                <w:rFonts w:cstheme="minorHAnsi"/>
              </w:rPr>
              <w:t>In support of proposal.</w:t>
            </w:r>
          </w:p>
        </w:tc>
        <w:tc>
          <w:tcPr>
            <w:tcW w:w="3942" w:type="dxa"/>
            <w:tcBorders>
              <w:bottom w:val="single" w:sz="4" w:space="0" w:color="auto"/>
            </w:tcBorders>
            <w:shd w:val="clear" w:color="auto" w:fill="auto"/>
          </w:tcPr>
          <w:p w:rsidR="00D35E91" w:rsidRPr="007A6D95" w:rsidRDefault="00D35E91" w:rsidP="00D35E91">
            <w:pPr>
              <w:pStyle w:val="ListParagraph"/>
              <w:numPr>
                <w:ilvl w:val="0"/>
                <w:numId w:val="1"/>
              </w:numPr>
              <w:ind w:left="9" w:hanging="9"/>
              <w:rPr>
                <w:rFonts w:asciiTheme="minorHAnsi" w:hAnsiTheme="minorHAnsi" w:cstheme="minorHAnsi"/>
              </w:rPr>
            </w:pPr>
            <w:r w:rsidRPr="007A6D95">
              <w:rPr>
                <w:rFonts w:asciiTheme="minorHAnsi" w:hAnsiTheme="minorHAnsi" w:cstheme="minorHAnsi"/>
              </w:rPr>
              <w:t>AOI supports incorporation of the (nitrogen dioxide, sulfide dioxide and lead ambient air quality) standards, as well as the new, 1-hour Significant Air Quality Impact Levels for Nitrogen dioxide and sulfur dioxide.</w:t>
            </w:r>
          </w:p>
        </w:tc>
        <w:tc>
          <w:tcPr>
            <w:tcW w:w="4415" w:type="dxa"/>
            <w:tcBorders>
              <w:bottom w:val="single" w:sz="4" w:space="0" w:color="auto"/>
            </w:tcBorders>
            <w:shd w:val="clear" w:color="auto" w:fill="auto"/>
          </w:tcPr>
          <w:p w:rsidR="00D35E91" w:rsidRPr="007A6D95" w:rsidRDefault="00D35E91" w:rsidP="00D35E91">
            <w:pPr>
              <w:pStyle w:val="ListParagraph"/>
              <w:numPr>
                <w:ilvl w:val="0"/>
                <w:numId w:val="2"/>
              </w:numPr>
              <w:ind w:left="0" w:hanging="14"/>
              <w:rPr>
                <w:rFonts w:asciiTheme="minorHAnsi" w:hAnsiTheme="minorHAnsi" w:cstheme="minorHAnsi"/>
              </w:rPr>
            </w:pPr>
            <w:r w:rsidRPr="007A6D95">
              <w:rPr>
                <w:rFonts w:asciiTheme="minorHAnsi" w:hAnsiTheme="minorHAnsi" w:cstheme="minorHAnsi"/>
              </w:rPr>
              <w:t>DEQ acknowledges comments in support of the proposed rule changes.</w:t>
            </w:r>
          </w:p>
        </w:tc>
      </w:tr>
      <w:tr w:rsidR="00D35E91" w:rsidRPr="007A6D95" w:rsidTr="008F3C94">
        <w:trPr>
          <w:trHeight w:val="3230"/>
        </w:trPr>
        <w:tc>
          <w:tcPr>
            <w:tcW w:w="1881" w:type="dxa"/>
            <w:tcBorders>
              <w:bottom w:val="single" w:sz="4" w:space="0" w:color="auto"/>
            </w:tcBorders>
            <w:shd w:val="clear" w:color="auto" w:fill="99FFCC"/>
          </w:tcPr>
          <w:p w:rsidR="00D35E91" w:rsidRPr="007A6D95" w:rsidRDefault="00D35E91" w:rsidP="008F3C94">
            <w:pPr>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r w:rsidRPr="007A6D95">
              <w:rPr>
                <w:rFonts w:cstheme="minorHAnsi"/>
              </w:rPr>
              <w:t>In support of proposal.</w:t>
            </w: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r w:rsidRPr="007A6D95">
              <w:rPr>
                <w:rFonts w:cstheme="minorHAnsi"/>
              </w:rPr>
              <w:t>Wait for clear EPA guidance.</w:t>
            </w: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Default="00D35E91" w:rsidP="008F3C94">
            <w:pPr>
              <w:ind w:left="0"/>
              <w:rPr>
                <w:rFonts w:cstheme="minorHAnsi"/>
              </w:rPr>
            </w:pPr>
          </w:p>
          <w:p w:rsidR="00D35E91" w:rsidRPr="007A6D95" w:rsidRDefault="00D35E91" w:rsidP="008F3C94">
            <w:pPr>
              <w:ind w:left="0"/>
              <w:rPr>
                <w:rFonts w:cstheme="minorHAnsi"/>
              </w:rPr>
            </w:pPr>
            <w:r w:rsidRPr="007A6D95">
              <w:rPr>
                <w:rFonts w:cstheme="minorHAnsi"/>
              </w:rPr>
              <w:t>In support of proposal.</w:t>
            </w: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p>
          <w:p w:rsidR="00D35E91" w:rsidRPr="007A6D95" w:rsidRDefault="00D35E91" w:rsidP="008F3C94">
            <w:pPr>
              <w:ind w:left="0"/>
              <w:rPr>
                <w:rFonts w:cstheme="minorHAnsi"/>
              </w:rPr>
            </w:pPr>
            <w:r w:rsidRPr="007A6D95">
              <w:rPr>
                <w:rFonts w:cstheme="minorHAnsi"/>
              </w:rPr>
              <w:t>Request for status updates.</w:t>
            </w:r>
          </w:p>
          <w:p w:rsidR="00D35E91" w:rsidRPr="007A6D95" w:rsidRDefault="00D35E91" w:rsidP="008F3C94">
            <w:pPr>
              <w:ind w:left="0"/>
              <w:rPr>
                <w:rFonts w:cstheme="minorHAnsi"/>
              </w:rPr>
            </w:pPr>
          </w:p>
        </w:tc>
        <w:tc>
          <w:tcPr>
            <w:tcW w:w="3942" w:type="dxa"/>
            <w:tcBorders>
              <w:bottom w:val="single" w:sz="4" w:space="0" w:color="auto"/>
            </w:tcBorders>
            <w:shd w:val="clear" w:color="auto" w:fill="99FFCC"/>
          </w:tcPr>
          <w:p w:rsidR="00D35E91" w:rsidRPr="007A6D95" w:rsidRDefault="00D35E91" w:rsidP="00D35E91">
            <w:pPr>
              <w:pStyle w:val="ListParagraph"/>
              <w:numPr>
                <w:ilvl w:val="0"/>
                <w:numId w:val="2"/>
              </w:numPr>
              <w:ind w:left="0" w:firstLine="0"/>
              <w:rPr>
                <w:rFonts w:asciiTheme="minorHAnsi" w:hAnsiTheme="minorHAnsi" w:cstheme="minorHAnsi"/>
              </w:rPr>
            </w:pPr>
            <w:r w:rsidRPr="007A6D95">
              <w:rPr>
                <w:rFonts w:asciiTheme="minorHAnsi" w:hAnsiTheme="minorHAnsi" w:cstheme="minorHAnsi"/>
              </w:rPr>
              <w:lastRenderedPageBreak/>
              <w:t>NWPPA supports DEQ’s proposed changes to Oregon Administrative Rules Chapter 340 division numbers 200 and 202 for implementation of federal NAAQS for nitrogen dioxide, sulfur dioxide and lead.</w:t>
            </w:r>
          </w:p>
          <w:p w:rsidR="00D35E91" w:rsidRDefault="00D35E91" w:rsidP="008F3C94">
            <w:pPr>
              <w:ind w:left="252"/>
              <w:rPr>
                <w:rFonts w:cstheme="minorHAnsi"/>
              </w:rPr>
            </w:pPr>
          </w:p>
          <w:p w:rsidR="00D35E91" w:rsidRPr="00BA5A8B" w:rsidRDefault="00D35E91" w:rsidP="008F3C94">
            <w:pPr>
              <w:ind w:left="0"/>
              <w:rPr>
                <w:rFonts w:cstheme="minorHAnsi"/>
              </w:rPr>
            </w:pPr>
            <w:r w:rsidRPr="00BA5A8B">
              <w:rPr>
                <w:rFonts w:cstheme="minorHAnsi"/>
              </w:rPr>
              <w:t>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the standard.</w:t>
            </w:r>
          </w:p>
          <w:p w:rsidR="00D35E91" w:rsidRDefault="00D35E91" w:rsidP="008F3C94">
            <w:pPr>
              <w:ind w:left="0"/>
              <w:rPr>
                <w:rFonts w:cstheme="minorHAnsi"/>
              </w:rPr>
            </w:pPr>
          </w:p>
          <w:p w:rsidR="00D35E91" w:rsidRPr="00BA5A8B" w:rsidRDefault="00D35E91" w:rsidP="008F3C94">
            <w:pPr>
              <w:ind w:left="0"/>
              <w:rPr>
                <w:rFonts w:cstheme="minorHAnsi"/>
              </w:rPr>
            </w:pPr>
            <w:r w:rsidRPr="00BA5A8B">
              <w:rPr>
                <w:rFonts w:cstheme="minorHAnsi"/>
              </w:rPr>
              <w:t xml:space="preserve">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w:t>
            </w:r>
            <w:r w:rsidRPr="00BA5A8B">
              <w:rPr>
                <w:rFonts w:cstheme="minorHAnsi"/>
              </w:rPr>
              <w:lastRenderedPageBreak/>
              <w:t>Standards.</w:t>
            </w:r>
          </w:p>
          <w:p w:rsidR="00D35E91" w:rsidRDefault="00D35E91" w:rsidP="008F3C94">
            <w:pPr>
              <w:ind w:left="0"/>
              <w:rPr>
                <w:rFonts w:cstheme="minorHAnsi"/>
              </w:rPr>
            </w:pPr>
          </w:p>
          <w:p w:rsidR="00D35E91" w:rsidRPr="00BA5A8B" w:rsidRDefault="00D35E91" w:rsidP="008F3C94">
            <w:pPr>
              <w:ind w:left="0"/>
              <w:rPr>
                <w:rFonts w:cstheme="minorHAnsi"/>
              </w:rPr>
            </w:pPr>
            <w:r w:rsidRPr="00BA5A8B">
              <w:rPr>
                <w:rFonts w:cstheme="minorHAnsi"/>
              </w:rPr>
              <w:t>NWPPA strongly encourages the EQC and the EPA to promptly approve the proposed administrative rule changes for Oregon’s SIP for nitrogen dioxide, sulfur dioxide and lead NAAQS. Given our role in Oregon, NWPPA requests that it be notified of developments in DEQ’s efforts to obtain approval of these rules into the SIP.</w:t>
            </w:r>
          </w:p>
        </w:tc>
        <w:tc>
          <w:tcPr>
            <w:tcW w:w="4415" w:type="dxa"/>
            <w:tcBorders>
              <w:bottom w:val="single" w:sz="4" w:space="0" w:color="auto"/>
            </w:tcBorders>
            <w:shd w:val="clear" w:color="auto" w:fill="99FFCC"/>
          </w:tcPr>
          <w:p w:rsidR="00D35E91" w:rsidRPr="007A6D95" w:rsidRDefault="00D35E91" w:rsidP="00D35E91">
            <w:pPr>
              <w:pStyle w:val="ListParagraph"/>
              <w:numPr>
                <w:ilvl w:val="0"/>
                <w:numId w:val="3"/>
              </w:numPr>
              <w:ind w:left="27" w:firstLine="4"/>
              <w:rPr>
                <w:rFonts w:asciiTheme="minorHAnsi" w:hAnsiTheme="minorHAnsi" w:cstheme="minorHAnsi"/>
              </w:rPr>
            </w:pPr>
            <w:r w:rsidRPr="007A6D95">
              <w:rPr>
                <w:rFonts w:asciiTheme="minorHAnsi" w:hAnsiTheme="minorHAnsi" w:cstheme="minorHAnsi"/>
              </w:rPr>
              <w:lastRenderedPageBreak/>
              <w:t>DEQ acknowledges comments in support of the proposed rule changes.</w:t>
            </w:r>
          </w:p>
          <w:p w:rsidR="00D35E91" w:rsidRPr="00F43C5F" w:rsidRDefault="00D35E91" w:rsidP="008F3C94">
            <w:pPr>
              <w:ind w:left="747"/>
              <w:rPr>
                <w:rFonts w:cstheme="minorHAnsi"/>
                <w:sz w:val="24"/>
                <w:szCs w:val="24"/>
              </w:rPr>
            </w:pPr>
          </w:p>
          <w:p w:rsidR="00D35E91" w:rsidRDefault="00D35E91" w:rsidP="008F3C94">
            <w:pPr>
              <w:ind w:left="0"/>
              <w:rPr>
                <w:rFonts w:cstheme="minorHAnsi"/>
              </w:rPr>
            </w:pPr>
            <w:r w:rsidRPr="00A56774">
              <w:rPr>
                <w:rFonts w:cstheme="minorHAnsi"/>
              </w:rPr>
              <w:t xml:space="preserve">In July 2013, </w:t>
            </w:r>
            <w:r w:rsidRPr="00BA5A8B">
              <w:rPr>
                <w:rFonts w:cstheme="minorHAnsi"/>
              </w:rPr>
              <w:t xml:space="preserve">EPA </w:t>
            </w:r>
            <w:r>
              <w:rPr>
                <w:rFonts w:cstheme="minorHAnsi"/>
              </w:rPr>
              <w:t>completed its initial round of</w:t>
            </w:r>
            <w:r w:rsidRPr="00BA5A8B">
              <w:rPr>
                <w:rFonts w:cstheme="minorHAnsi"/>
              </w:rPr>
              <w:t xml:space="preserve"> area designations for the 1-hr SO</w:t>
            </w:r>
            <w:r w:rsidRPr="00BA5A8B">
              <w:rPr>
                <w:rFonts w:cstheme="minorHAnsi"/>
                <w:vertAlign w:val="subscript"/>
              </w:rPr>
              <w:t>2</w:t>
            </w:r>
            <w:r w:rsidRPr="00BA5A8B">
              <w:rPr>
                <w:rFonts w:cstheme="minorHAnsi"/>
              </w:rPr>
              <w:t xml:space="preserve"> NAAQS in areas of the country where monitors are located and the data collected indicates ambient air concentrations of SO</w:t>
            </w:r>
            <w:r w:rsidRPr="00BA5A8B">
              <w:rPr>
                <w:rFonts w:cstheme="minorHAnsi"/>
                <w:vertAlign w:val="subscript"/>
              </w:rPr>
              <w:t>2</w:t>
            </w:r>
            <w:r w:rsidRPr="00BA5A8B">
              <w:rPr>
                <w:rFonts w:cstheme="minorHAnsi"/>
              </w:rPr>
              <w:t xml:space="preserve"> are in violation of the standard. Because there are relatively few 1-hr SO</w:t>
            </w:r>
            <w:r w:rsidRPr="00BA5A8B">
              <w:rPr>
                <w:rFonts w:cstheme="minorHAnsi"/>
                <w:vertAlign w:val="subscript"/>
              </w:rPr>
              <w:t>2</w:t>
            </w:r>
            <w:r w:rsidRPr="00BA5A8B">
              <w:rPr>
                <w:rFonts w:cstheme="minorHAnsi"/>
              </w:rPr>
              <w:t xml:space="preserve"> monitors in the existing monitoring network, the initial round of area designations did not include Oregon. EPA intends to propose the SO</w:t>
            </w:r>
            <w:r w:rsidRPr="00BA5A8B">
              <w:rPr>
                <w:rFonts w:cstheme="minorHAnsi"/>
                <w:vertAlign w:val="subscript"/>
              </w:rPr>
              <w:t>2</w:t>
            </w:r>
            <w:r w:rsidRPr="00BA5A8B">
              <w:rPr>
                <w:rFonts w:cstheme="minorHAnsi"/>
              </w:rPr>
              <w:t xml:space="preserve"> Data Requirements Rule in 2014, and will solicit comments on how to move forward with nationwide areas designations as part of that rulemaking</w:t>
            </w:r>
            <w:r>
              <w:rPr>
                <w:rFonts w:cstheme="minorHAnsi"/>
              </w:rPr>
              <w:t xml:space="preserve">. </w:t>
            </w:r>
            <w:r w:rsidRPr="009B6B6B">
              <w:rPr>
                <w:rFonts w:cstheme="minorHAnsi"/>
              </w:rPr>
              <w:t xml:space="preserve">DEQ will review the current status of EPA’s </w:t>
            </w:r>
            <w:r>
              <w:rPr>
                <w:rFonts w:cstheme="minorHAnsi"/>
              </w:rPr>
              <w:t xml:space="preserve">rule and </w:t>
            </w:r>
            <w:r w:rsidRPr="009B6B6B">
              <w:rPr>
                <w:rFonts w:cstheme="minorHAnsi"/>
              </w:rPr>
              <w:t xml:space="preserve">guidance as it proceeds with implementation of this rule and welcomes input from NWPPA on issues associated with both SO2 modeling and monitoring. </w:t>
            </w:r>
          </w:p>
          <w:p w:rsidR="00D35E91" w:rsidRDefault="00D35E91" w:rsidP="008F3C94">
            <w:pPr>
              <w:ind w:left="0"/>
              <w:rPr>
                <w:rFonts w:cstheme="minorHAnsi"/>
              </w:rPr>
            </w:pPr>
          </w:p>
          <w:p w:rsidR="00D35E91" w:rsidRPr="00481979" w:rsidRDefault="00D35E91" w:rsidP="008F3C94">
            <w:pPr>
              <w:ind w:left="0"/>
              <w:rPr>
                <w:rFonts w:cstheme="minorHAnsi"/>
              </w:rPr>
            </w:pPr>
            <w:r w:rsidRPr="00481979">
              <w:rPr>
                <w:rFonts w:cstheme="minorHAnsi"/>
              </w:rPr>
              <w:t>DEQ acknowledges the comment asserting the agency has adequate resources to implement the revised NAAQS for nitrogen dioxide, sulfur dioxide and lead.</w:t>
            </w:r>
          </w:p>
          <w:p w:rsidR="00D35E91" w:rsidRDefault="00D35E91" w:rsidP="008F3C94">
            <w:pPr>
              <w:ind w:left="0"/>
              <w:rPr>
                <w:rFonts w:cstheme="minorHAnsi"/>
              </w:rPr>
            </w:pPr>
          </w:p>
          <w:p w:rsidR="00D35E91" w:rsidRPr="00BA5A8B" w:rsidRDefault="00D35E91" w:rsidP="008F3C94">
            <w:pPr>
              <w:ind w:left="0"/>
              <w:rPr>
                <w:rFonts w:cstheme="minorHAnsi"/>
              </w:rPr>
            </w:pPr>
            <w:r w:rsidRPr="00BA5A8B">
              <w:rPr>
                <w:rFonts w:cstheme="minorHAnsi"/>
              </w:rPr>
              <w:t>EPA plans to complete 1-hr SO</w:t>
            </w:r>
            <w:r w:rsidRPr="00BA5A8B">
              <w:rPr>
                <w:rFonts w:cstheme="minorHAnsi"/>
                <w:vertAlign w:val="subscript"/>
              </w:rPr>
              <w:t>2</w:t>
            </w:r>
            <w:r w:rsidRPr="00BA5A8B">
              <w:rPr>
                <w:rFonts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cstheme="minorHAnsi"/>
                <w:vertAlign w:val="subscript"/>
              </w:rPr>
              <w:t>2</w:t>
            </w:r>
            <w:r w:rsidRPr="00BA5A8B">
              <w:rPr>
                <w:rFonts w:cstheme="minorHAnsi"/>
              </w:rPr>
              <w:t xml:space="preserve"> NAAQS.  For more information on past and planned EPA actions with regard to the 1-h</w:t>
            </w:r>
            <w:r>
              <w:rPr>
                <w:rFonts w:cstheme="minorHAnsi"/>
              </w:rPr>
              <w:t>r</w:t>
            </w:r>
            <w:r w:rsidRPr="00BA5A8B">
              <w:rPr>
                <w:rFonts w:cstheme="minorHAnsi"/>
              </w:rPr>
              <w:t xml:space="preserve"> SO</w:t>
            </w:r>
            <w:r w:rsidRPr="00DD25DE">
              <w:rPr>
                <w:rFonts w:cstheme="minorHAnsi"/>
                <w:vertAlign w:val="subscript"/>
              </w:rPr>
              <w:t>2</w:t>
            </w:r>
            <w:r w:rsidRPr="00BA5A8B">
              <w:rPr>
                <w:rFonts w:cstheme="minorHAnsi"/>
              </w:rPr>
              <w:t xml:space="preserve"> NAAQS, please see </w:t>
            </w:r>
            <w:hyperlink r:id="rId7" w:history="1">
              <w:r w:rsidRPr="00BA5A8B">
                <w:rPr>
                  <w:rStyle w:val="Hyperlink"/>
                  <w:rFonts w:cstheme="minorHAnsi"/>
                </w:rPr>
                <w:t>http://www.epa.gov/airquality/sulfurdioxide/implement.html</w:t>
              </w:r>
            </w:hyperlink>
          </w:p>
          <w:p w:rsidR="00D35E91" w:rsidRDefault="00D35E91" w:rsidP="008F3C94">
            <w:pPr>
              <w:pStyle w:val="ListParagraph"/>
              <w:rPr>
                <w:rFonts w:asciiTheme="minorHAnsi" w:hAnsiTheme="minorHAnsi" w:cstheme="minorHAnsi"/>
              </w:rPr>
            </w:pPr>
          </w:p>
          <w:p w:rsidR="00D35E91" w:rsidRDefault="00D35E91" w:rsidP="008F3C94">
            <w:pPr>
              <w:ind w:left="0"/>
              <w:rPr>
                <w:rFonts w:cstheme="minorHAnsi"/>
              </w:rPr>
            </w:pPr>
          </w:p>
          <w:p w:rsidR="00D35E91" w:rsidRPr="00481979" w:rsidRDefault="00D35E91" w:rsidP="008F3C94">
            <w:pPr>
              <w:ind w:left="0"/>
              <w:rPr>
                <w:rFonts w:cstheme="minorHAnsi"/>
              </w:rPr>
            </w:pPr>
            <w:r w:rsidRPr="00481979">
              <w:rPr>
                <w:rFonts w:cstheme="minorHAnsi"/>
              </w:rPr>
              <w:t xml:space="preserve">The status of approval actions related to Infrastructure SIP submittals is included in the U.S. EPA’s public participation process. Outcomes of completeness and approval reviews by the US EPA are published in the Federal Register and </w:t>
            </w:r>
            <w:r>
              <w:rPr>
                <w:rFonts w:cstheme="minorHAnsi"/>
              </w:rPr>
              <w:t xml:space="preserve">all of EPA’s actions are posted on regulations.gov, where interested parties can sign up for email alerts and submit comments electronically. </w:t>
            </w:r>
            <w:r w:rsidRPr="00481979">
              <w:rPr>
                <w:rFonts w:cstheme="minorHAnsi"/>
              </w:rPr>
              <w:t xml:space="preserve">DEQ encourages NWPPA to </w:t>
            </w:r>
            <w:r w:rsidRPr="00E00C73">
              <w:rPr>
                <w:rFonts w:cstheme="minorHAnsi"/>
              </w:rPr>
              <w:t>visit regulations.gov for periodic federal approval updates on this infrastructure SIP submittal</w:t>
            </w:r>
          </w:p>
        </w:tc>
      </w:tr>
      <w:tr w:rsidR="00D35E91" w:rsidRPr="007A6D95" w:rsidTr="008F3C94">
        <w:trPr>
          <w:trHeight w:val="4130"/>
        </w:trPr>
        <w:tc>
          <w:tcPr>
            <w:tcW w:w="1881" w:type="dxa"/>
            <w:tcBorders>
              <w:bottom w:val="single" w:sz="4" w:space="0" w:color="auto"/>
            </w:tcBorders>
          </w:tcPr>
          <w:p w:rsidR="00D35E91" w:rsidRPr="007A6D95" w:rsidRDefault="00D35E91" w:rsidP="008F3C94">
            <w:pPr>
              <w:ind w:left="-18"/>
              <w:rPr>
                <w:rFonts w:cstheme="minorHAnsi"/>
              </w:rPr>
            </w:pPr>
          </w:p>
          <w:p w:rsidR="00D35E91" w:rsidRPr="007A6D95" w:rsidRDefault="00D35E91" w:rsidP="008F3C94">
            <w:pPr>
              <w:ind w:left="-18"/>
              <w:rPr>
                <w:rFonts w:cstheme="minorHAnsi"/>
              </w:rPr>
            </w:pPr>
            <w:r w:rsidRPr="007A6D95">
              <w:rPr>
                <w:rFonts w:cstheme="minorHAnsi"/>
              </w:rPr>
              <w:t>Request to add applicability language for delegating authority to LRAPA.</w:t>
            </w:r>
          </w:p>
        </w:tc>
        <w:tc>
          <w:tcPr>
            <w:tcW w:w="3942" w:type="dxa"/>
            <w:tcBorders>
              <w:bottom w:val="single" w:sz="4" w:space="0" w:color="auto"/>
            </w:tcBorders>
            <w:shd w:val="clear" w:color="auto" w:fill="auto"/>
          </w:tcPr>
          <w:p w:rsidR="00D35E91" w:rsidRPr="007A6D95" w:rsidRDefault="00D35E91" w:rsidP="00D35E91">
            <w:pPr>
              <w:pStyle w:val="ListParagraph"/>
              <w:numPr>
                <w:ilvl w:val="0"/>
                <w:numId w:val="3"/>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D35E91" w:rsidRDefault="00D35E91" w:rsidP="008F3C94">
            <w:pPr>
              <w:ind w:left="234"/>
              <w:rPr>
                <w:rFonts w:cstheme="minorHAnsi"/>
              </w:rPr>
            </w:pPr>
          </w:p>
          <w:p w:rsidR="00D35E91" w:rsidRPr="00942190" w:rsidRDefault="00D35E91" w:rsidP="008F3C94">
            <w:pPr>
              <w:ind w:left="0"/>
              <w:rPr>
                <w:rFonts w:cstheme="minorHAnsi"/>
                <w:i/>
              </w:rPr>
            </w:pPr>
            <w:r w:rsidRPr="00942190">
              <w:rPr>
                <w:rFonts w:cstheme="minorHAnsi"/>
              </w:rPr>
              <w:t xml:space="preserve">LRAPA suggests such a provision be added as a new section to division 202 (e.g., OAR 340-202-0020).  </w:t>
            </w:r>
          </w:p>
          <w:p w:rsidR="00D35E91" w:rsidRDefault="00D35E91" w:rsidP="008F3C94">
            <w:pPr>
              <w:ind w:left="0"/>
              <w:rPr>
                <w:rFonts w:cstheme="minorHAnsi"/>
              </w:rPr>
            </w:pPr>
          </w:p>
          <w:p w:rsidR="00D35E91" w:rsidRPr="00942190" w:rsidRDefault="00D35E91" w:rsidP="008F3C94">
            <w:pPr>
              <w:ind w:left="0"/>
              <w:rPr>
                <w:rFonts w:cstheme="minorHAnsi"/>
              </w:rPr>
            </w:pPr>
            <w:r w:rsidRPr="00942190">
              <w:rPr>
                <w:rFonts w:cstheme="minorHAnsi"/>
              </w:rPr>
              <w:t>For purposes of the division 200 changes, the provision could replace the existing language in OAR 340-200-0010(3), or added specifically to the OAR 340-200-0020 Table 1; LRAPA prefers the former.</w:t>
            </w:r>
          </w:p>
        </w:tc>
        <w:tc>
          <w:tcPr>
            <w:tcW w:w="4415" w:type="dxa"/>
            <w:tcBorders>
              <w:bottom w:val="single" w:sz="4" w:space="0" w:color="auto"/>
            </w:tcBorders>
            <w:shd w:val="clear" w:color="auto" w:fill="auto"/>
          </w:tcPr>
          <w:p w:rsidR="00D35E91" w:rsidRDefault="00D35E91" w:rsidP="008F3C94">
            <w:pPr>
              <w:ind w:left="27"/>
              <w:rPr>
                <w:rFonts w:cstheme="minorHAnsi"/>
              </w:rPr>
            </w:pPr>
            <w:r w:rsidRPr="00EC2865">
              <w:rPr>
                <w:rFonts w:cstheme="minorHAnsi"/>
              </w:rPr>
              <w:t xml:space="preserve">3. </w:t>
            </w:r>
            <w:r>
              <w:rPr>
                <w:rFonts w:cstheme="minorHAnsi"/>
              </w:rPr>
              <w:t xml:space="preserve"> </w:t>
            </w:r>
            <w:r w:rsidRPr="00EC2865">
              <w:rPr>
                <w:rFonts w:cstheme="minorHAnsi"/>
              </w:rPr>
              <w:t xml:space="preserve">DEQ acknowledges comment and proposes to amend Oregon Administrative Rule chapter 340, division 202 to adopt an applicability section (OAR 340-202-0020). </w:t>
            </w:r>
          </w:p>
          <w:p w:rsidR="00D35E91" w:rsidRDefault="00D35E91" w:rsidP="008F3C94">
            <w:pPr>
              <w:ind w:left="27"/>
              <w:rPr>
                <w:rFonts w:cstheme="minorHAnsi"/>
              </w:rPr>
            </w:pPr>
          </w:p>
          <w:p w:rsidR="00D35E91" w:rsidRPr="00EC2865" w:rsidRDefault="00D35E91" w:rsidP="008F3C94">
            <w:pPr>
              <w:ind w:left="27"/>
              <w:rPr>
                <w:rFonts w:cstheme="minorHAnsi"/>
              </w:rPr>
            </w:pPr>
            <w:r w:rsidRPr="00EC2865">
              <w:rPr>
                <w:rFonts w:cstheme="minorHAnsi"/>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  DEQ will work with LRAPA to determine the best path forward to accomplishing the objective of streamlining rulemaking by authorizing LRAPA to implement the Commission’s rules directly in Lane County.</w:t>
            </w:r>
          </w:p>
          <w:p w:rsidR="00D35E91" w:rsidRPr="00EC2865" w:rsidRDefault="00D35E91" w:rsidP="008F3C94">
            <w:pPr>
              <w:pStyle w:val="ListParagraph"/>
              <w:ind w:left="522"/>
              <w:rPr>
                <w:rFonts w:asciiTheme="minorHAnsi" w:hAnsiTheme="minorHAnsi" w:cstheme="minorHAnsi"/>
              </w:rPr>
            </w:pPr>
          </w:p>
        </w:tc>
      </w:tr>
      <w:tr w:rsidR="00D35E91" w:rsidRPr="000E3F44" w:rsidTr="008F3C94">
        <w:trPr>
          <w:trHeight w:val="350"/>
        </w:trPr>
        <w:tc>
          <w:tcPr>
            <w:tcW w:w="1881" w:type="dxa"/>
            <w:tcBorders>
              <w:bottom w:val="single" w:sz="4" w:space="0" w:color="auto"/>
            </w:tcBorders>
            <w:shd w:val="clear" w:color="auto" w:fill="99FFCC"/>
          </w:tcPr>
          <w:p w:rsidR="00D35E91" w:rsidRPr="00B20609" w:rsidRDefault="00D35E91" w:rsidP="008F3C94">
            <w:pPr>
              <w:ind w:left="-18"/>
              <w:rPr>
                <w:rFonts w:cstheme="minorHAnsi"/>
              </w:rPr>
            </w:pPr>
          </w:p>
          <w:p w:rsidR="00D35E91" w:rsidRPr="00B20609" w:rsidRDefault="00D35E91" w:rsidP="008F3C94">
            <w:pPr>
              <w:ind w:left="0"/>
              <w:rPr>
                <w:rFonts w:cstheme="minorHAnsi"/>
              </w:rPr>
            </w:pPr>
            <w:r w:rsidRPr="00B20609">
              <w:rPr>
                <w:rFonts w:cstheme="minorHAnsi"/>
              </w:rPr>
              <w:t>Opposes adoption of 1-hr NO</w:t>
            </w:r>
            <w:r w:rsidRPr="00DD25DE">
              <w:rPr>
                <w:rFonts w:cstheme="minorHAnsi"/>
                <w:vertAlign w:val="subscript"/>
              </w:rPr>
              <w:t>2</w:t>
            </w:r>
            <w:r w:rsidRPr="00B20609">
              <w:rPr>
                <w:rFonts w:cstheme="minorHAnsi"/>
              </w:rPr>
              <w:t xml:space="preserve"> and SO</w:t>
            </w:r>
            <w:r w:rsidRPr="00DD25DE">
              <w:rPr>
                <w:rFonts w:cstheme="minorHAnsi"/>
                <w:vertAlign w:val="subscript"/>
              </w:rPr>
              <w:t>2</w:t>
            </w:r>
            <w:r w:rsidRPr="00B20609">
              <w:rPr>
                <w:rFonts w:cstheme="minorHAnsi"/>
              </w:rPr>
              <w:t xml:space="preserve"> Significant Air </w:t>
            </w:r>
            <w:r w:rsidRPr="00B20609">
              <w:rPr>
                <w:rFonts w:cstheme="minorHAnsi"/>
              </w:rPr>
              <w:lastRenderedPageBreak/>
              <w:t xml:space="preserve">Quality Impact Levels </w:t>
            </w:r>
          </w:p>
        </w:tc>
        <w:tc>
          <w:tcPr>
            <w:tcW w:w="3942" w:type="dxa"/>
            <w:tcBorders>
              <w:bottom w:val="single" w:sz="4" w:space="0" w:color="auto"/>
            </w:tcBorders>
            <w:shd w:val="clear" w:color="auto" w:fill="99FFCC"/>
          </w:tcPr>
          <w:p w:rsidR="00D35E91" w:rsidRPr="00B20609" w:rsidRDefault="00D35E91" w:rsidP="00D35E91">
            <w:pPr>
              <w:pStyle w:val="ListParagraph"/>
              <w:numPr>
                <w:ilvl w:val="0"/>
                <w:numId w:val="3"/>
              </w:numPr>
              <w:ind w:left="9" w:firstLine="0"/>
              <w:rPr>
                <w:rFonts w:asciiTheme="minorHAnsi" w:hAnsiTheme="minorHAnsi" w:cstheme="minorHAnsi"/>
              </w:rPr>
            </w:pPr>
            <w:r w:rsidRPr="00B20609">
              <w:rPr>
                <w:rFonts w:asciiTheme="minorHAnsi" w:hAnsiTheme="minorHAnsi" w:cstheme="minorHAnsi"/>
              </w:rPr>
              <w:lastRenderedPageBreak/>
              <w:t xml:space="preserve">Oregon’s proposal, like EPA’s SIL rule, is contrary to the Clean Air Act. Oregon must revise its rulemaking to remove the Significant Air Quality Impact </w:t>
            </w:r>
            <w:r w:rsidRPr="00B20609">
              <w:rPr>
                <w:rFonts w:asciiTheme="minorHAnsi" w:hAnsiTheme="minorHAnsi" w:cstheme="minorHAnsi"/>
              </w:rPr>
              <w:lastRenderedPageBreak/>
              <w:t>Levels from the proposal, and re-propose it’s rulemaking to address the issues in these comments.</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 xml:space="preserve">The United State Court of Appeals for the District of Columbia held that the Significant Impact Levels promulgated by the U.S. EPA were illegal in </w:t>
            </w:r>
            <w:r w:rsidRPr="00EC2865">
              <w:rPr>
                <w:rFonts w:cstheme="minorHAnsi"/>
                <w:i/>
              </w:rPr>
              <w:t>Sierra Club v. E.P.A</w:t>
            </w:r>
            <w:r w:rsidRPr="00EC2865">
              <w:rPr>
                <w:rFonts w:cstheme="minorHAnsi"/>
              </w:rPr>
              <w:t>., 705 F.3d 458 (D.C. Cir. 2013). The Significant Air Quality Impact Levels proposed by DEQ in this rulemaking are similar in effect to the EPA rules found infirm by the court.</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 xml:space="preserve">According to the Court, the only legal SIL is one that does “not allow the construction or modification of a source to evade the requirements of the Act...” </w:t>
            </w:r>
            <w:r w:rsidRPr="00EC2865">
              <w:rPr>
                <w:rFonts w:cstheme="minorHAnsi"/>
                <w:i/>
              </w:rPr>
              <w:t>id</w:t>
            </w:r>
            <w:r w:rsidRPr="00EC2865">
              <w:rPr>
                <w:rFonts w:cstheme="minorHAnsi"/>
              </w:rPr>
              <w:t xml:space="preserve">. </w:t>
            </w:r>
            <w:proofErr w:type="gramStart"/>
            <w:r w:rsidRPr="00EC2865">
              <w:rPr>
                <w:rFonts w:cstheme="minorHAnsi"/>
              </w:rPr>
              <w:t>at</w:t>
            </w:r>
            <w:proofErr w:type="gramEnd"/>
            <w:r w:rsidRPr="00EC2865">
              <w:rPr>
                <w:rFonts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cstheme="minorHAnsi"/>
                <w:i/>
              </w:rPr>
              <w:t>Id.</w:t>
            </w:r>
            <w:r w:rsidRPr="00EC2865">
              <w:rPr>
                <w:rFonts w:cstheme="minorHAnsi"/>
              </w:rPr>
              <w:t xml:space="preserve"> at 465.</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cstheme="minorHAnsi"/>
                <w:i/>
              </w:rPr>
              <w:t>See</w:t>
            </w:r>
            <w:r w:rsidRPr="00EC2865">
              <w:rPr>
                <w:rFonts w:cstheme="minorHAnsi"/>
              </w:rPr>
              <w:t xml:space="preserve"> OAR 340-200-0020(132) The Clean Air Act requires that any major emitting </w:t>
            </w:r>
            <w:r w:rsidRPr="00EC2865">
              <w:rPr>
                <w:rFonts w:cstheme="minorHAnsi"/>
              </w:rPr>
              <w:lastRenderedPageBreak/>
              <w:t>facility that proposed to construct or modify in an area that is designated as in attainment for the NAAQS must demonstrate that it will not cause or contribute to air pollution in excess of the NAAQS.</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 xml:space="preserve">Oregon’s regulation would allow unlimited numbers of sources whose impacts are less than the Significant Air Quality Impact Levels to cumulatively cause or contribute to ambient concentrations higher than the NAAQS. </w:t>
            </w:r>
          </w:p>
          <w:p w:rsidR="00D35E91" w:rsidRDefault="00D35E91" w:rsidP="008F3C94">
            <w:pPr>
              <w:ind w:left="0"/>
              <w:rPr>
                <w:rFonts w:cstheme="minorHAnsi"/>
              </w:rPr>
            </w:pPr>
          </w:p>
          <w:p w:rsidR="00D35E91" w:rsidRPr="00EC2865" w:rsidRDefault="00D35E91" w:rsidP="008F3C94">
            <w:pPr>
              <w:ind w:left="0"/>
              <w:rPr>
                <w:rFonts w:cstheme="minorHAnsi"/>
              </w:rPr>
            </w:pPr>
            <w:r w:rsidRPr="00EC2865">
              <w:rPr>
                <w:rFonts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D35E91" w:rsidRDefault="00D35E91" w:rsidP="008F3C94">
            <w:pPr>
              <w:ind w:left="0"/>
              <w:rPr>
                <w:rFonts w:cstheme="minorHAnsi"/>
              </w:rPr>
            </w:pPr>
            <w:r w:rsidRPr="0094145F">
              <w:rPr>
                <w:rFonts w:cstheme="minorHAnsi"/>
              </w:rPr>
              <w:lastRenderedPageBreak/>
              <w:t xml:space="preserve">4.  DEQ acknowledges the comments regarding the proposed 1-hr Significant Air Quality Impact Levels (SILs) for nitrogen dioxide and sulfur dioxide and </w:t>
            </w:r>
            <w:r w:rsidRPr="00952F19">
              <w:rPr>
                <w:rFonts w:cstheme="minorHAnsi"/>
              </w:rPr>
              <w:t>recognizes</w:t>
            </w:r>
            <w:r w:rsidRPr="00952F19">
              <w:t xml:space="preserve"> </w:t>
            </w:r>
            <w:r w:rsidRPr="00952F19">
              <w:rPr>
                <w:rFonts w:cstheme="minorHAnsi"/>
              </w:rPr>
              <w:t xml:space="preserve">that </w:t>
            </w:r>
            <w:r w:rsidRPr="00952F19">
              <w:rPr>
                <w:rFonts w:cstheme="minorHAnsi"/>
              </w:rPr>
              <w:lastRenderedPageBreak/>
              <w:t>the court decision affects how SILs may be used.</w:t>
            </w:r>
            <w:r w:rsidRPr="0094145F">
              <w:rPr>
                <w:rFonts w:cstheme="minorHAnsi"/>
              </w:rPr>
              <w:t xml:space="preserve"> </w:t>
            </w:r>
          </w:p>
          <w:p w:rsidR="00D35E91" w:rsidRDefault="00D35E91" w:rsidP="008F3C94">
            <w:pPr>
              <w:ind w:left="0"/>
              <w:rPr>
                <w:rFonts w:cstheme="minorHAnsi"/>
              </w:rPr>
            </w:pPr>
          </w:p>
          <w:p w:rsidR="00D35E91" w:rsidRDefault="00D35E91" w:rsidP="008F3C94">
            <w:pPr>
              <w:ind w:left="0"/>
              <w:rPr>
                <w:rFonts w:cstheme="minorHAnsi"/>
              </w:rPr>
            </w:pPr>
            <w:r w:rsidRPr="0094145F">
              <w:rPr>
                <w:rFonts w:cstheme="minorHAnsi"/>
              </w:rPr>
              <w:t>However, DEQ cannot correct the issue in this rulemaking because it only proposes the levels for 1-hr NO</w:t>
            </w:r>
            <w:r w:rsidRPr="00DD25DE">
              <w:rPr>
                <w:rFonts w:cstheme="minorHAnsi"/>
                <w:vertAlign w:val="subscript"/>
              </w:rPr>
              <w:t>2</w:t>
            </w:r>
            <w:r w:rsidRPr="0094145F">
              <w:rPr>
                <w:rFonts w:cstheme="minorHAnsi"/>
              </w:rPr>
              <w:t xml:space="preserve"> and SO</w:t>
            </w:r>
            <w:r w:rsidRPr="00DD25DE">
              <w:rPr>
                <w:rFonts w:cstheme="minorHAnsi"/>
                <w:vertAlign w:val="subscript"/>
              </w:rPr>
              <w:t>2</w:t>
            </w:r>
            <w:r w:rsidRPr="0094145F">
              <w:rPr>
                <w:rFonts w:cstheme="minorHAnsi"/>
              </w:rPr>
              <w:t xml:space="preserve"> SILs and does not specify how they are to be used.  An amendment regarding how SILs are implemented, which would impact SILs for other pollutants in addition to NO</w:t>
            </w:r>
            <w:r w:rsidRPr="00DD25DE">
              <w:rPr>
                <w:rFonts w:cstheme="minorHAnsi"/>
                <w:vertAlign w:val="subscript"/>
              </w:rPr>
              <w:t>2</w:t>
            </w:r>
            <w:r w:rsidRPr="0094145F">
              <w:rPr>
                <w:rFonts w:cstheme="minorHAnsi"/>
              </w:rPr>
              <w:t xml:space="preserve"> and SO</w:t>
            </w:r>
            <w:r w:rsidRPr="00DD25DE">
              <w:rPr>
                <w:rFonts w:cstheme="minorHAnsi"/>
                <w:vertAlign w:val="subscript"/>
              </w:rPr>
              <w:t>2</w:t>
            </w:r>
            <w:r w:rsidRPr="0094145F">
              <w:rPr>
                <w:rFonts w:cstheme="minorHAnsi"/>
              </w:rPr>
              <w:t>, would be beyond the scope of this rulemaking. DEQ consulted with EPA Region 10 and plans to draft revisions to Oregon Administrative Rules to address the court decision referenced in the comment</w:t>
            </w:r>
            <w:r>
              <w:rPr>
                <w:rFonts w:cstheme="minorHAnsi"/>
              </w:rPr>
              <w:t>.</w:t>
            </w:r>
          </w:p>
          <w:p w:rsidR="00D35E91" w:rsidRPr="0094145F" w:rsidRDefault="00D35E91" w:rsidP="008F3C94">
            <w:pPr>
              <w:ind w:left="0"/>
              <w:rPr>
                <w:rFonts w:cstheme="minorHAnsi"/>
              </w:rPr>
            </w:pPr>
          </w:p>
          <w:p w:rsidR="00D35E91" w:rsidRPr="008759AB" w:rsidRDefault="00D35E91" w:rsidP="008F3C94">
            <w:pPr>
              <w:ind w:left="0"/>
              <w:rPr>
                <w:rFonts w:cstheme="minorHAnsi"/>
              </w:rPr>
            </w:pPr>
            <w:r w:rsidRPr="0094145F">
              <w:rPr>
                <w:rFonts w:cstheme="minorHAnsi"/>
              </w:rPr>
              <w:t>Specifically, DEQ plans to address the court decision in the upcoming Permitting Program Updates rulemaking proposal scheduled to be noticed and out for public comment on October 1, 2013 with EQC consideration scheduled for March 2014. DEQ plans to propose rule amendments such that SILs would not provide an automatic exemption from cumulative air quality analysis demonstrations if a source’s modeled emissions are below the applicable SIL, but would instead be one of several factors considered by DEQ on a case-by-case basis to ensure that a proposed source does not cause or contribute to a violation of the NAAQS or consumption of a PSD increment</w:t>
            </w:r>
            <w:r>
              <w:rPr>
                <w:rFonts w:cstheme="minorHAnsi"/>
              </w:rPr>
              <w:t>.</w:t>
            </w:r>
            <w:r w:rsidRPr="00B20609">
              <w:rPr>
                <w:rFonts w:cstheme="minorHAnsi"/>
              </w:rPr>
              <w:t xml:space="preserve"> </w:t>
            </w:r>
          </w:p>
          <w:p w:rsidR="00D35E91" w:rsidRDefault="00D35E91" w:rsidP="008F3C94">
            <w:pPr>
              <w:ind w:left="252" w:hanging="162"/>
              <w:rPr>
                <w:sz w:val="24"/>
                <w:szCs w:val="24"/>
              </w:rPr>
            </w:pPr>
            <w:r w:rsidRPr="00B20609">
              <w:rPr>
                <w:rFonts w:cstheme="minorHAnsi"/>
              </w:rPr>
              <w:t xml:space="preserve">   </w:t>
            </w:r>
          </w:p>
        </w:tc>
      </w:tr>
    </w:tbl>
    <w:p w:rsidR="00CB4862" w:rsidRDefault="00CB4862"/>
    <w:sectPr w:rsidR="00CB4862"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E91"/>
    <w:rsid w:val="00045C21"/>
    <w:rsid w:val="0009194A"/>
    <w:rsid w:val="00121E5D"/>
    <w:rsid w:val="003C0FFD"/>
    <w:rsid w:val="003E1F77"/>
    <w:rsid w:val="005203E1"/>
    <w:rsid w:val="005553BB"/>
    <w:rsid w:val="005D0B5F"/>
    <w:rsid w:val="00624E29"/>
    <w:rsid w:val="0065379B"/>
    <w:rsid w:val="00742E4F"/>
    <w:rsid w:val="00766700"/>
    <w:rsid w:val="007E7155"/>
    <w:rsid w:val="00917078"/>
    <w:rsid w:val="00935586"/>
    <w:rsid w:val="00986110"/>
    <w:rsid w:val="009B0DAD"/>
    <w:rsid w:val="00C801B7"/>
    <w:rsid w:val="00C85CF4"/>
    <w:rsid w:val="00C97119"/>
    <w:rsid w:val="00CB4862"/>
    <w:rsid w:val="00CE41A3"/>
    <w:rsid w:val="00D35E91"/>
    <w:rsid w:val="00D65985"/>
    <w:rsid w:val="00DB2AAB"/>
    <w:rsid w:val="00E62135"/>
    <w:rsid w:val="00EA1605"/>
    <w:rsid w:val="00EF39EC"/>
    <w:rsid w:val="00F218A5"/>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E91"/>
    <w:rPr>
      <w:color w:val="0000FF" w:themeColor="hyperlink"/>
      <w:u w:val="single"/>
    </w:rPr>
  </w:style>
  <w:style w:type="paragraph" w:styleId="ListParagraph">
    <w:name w:val="List Paragraph"/>
    <w:basedOn w:val="Normal"/>
    <w:uiPriority w:val="34"/>
    <w:qFormat/>
    <w:rsid w:val="00D35E91"/>
    <w:pPr>
      <w:spacing w:after="0" w:line="240" w:lineRule="auto"/>
      <w:ind w:left="720"/>
      <w:contextualSpacing/>
    </w:pPr>
    <w:rPr>
      <w:rFonts w:ascii="Arial" w:hAnsi="Arial" w:cs="Arial"/>
      <w:bCs w:val="0"/>
      <w:color w:val="auto"/>
    </w:rPr>
  </w:style>
  <w:style w:type="table" w:styleId="TableGrid">
    <w:name w:val="Table Grid"/>
    <w:basedOn w:val="TableNormal"/>
    <w:uiPriority w:val="59"/>
    <w:rsid w:val="00D35E91"/>
    <w:pPr>
      <w:spacing w:after="0" w:line="240" w:lineRule="auto"/>
      <w:ind w:left="2880"/>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airquality/sulfurdioxide/implem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1328</Words>
  <Characters>7576</Characters>
  <Application>Microsoft Office Word</Application>
  <DocSecurity>0</DocSecurity>
  <Lines>63</Lines>
  <Paragraphs>17</Paragraphs>
  <ScaleCrop>false</ScaleCrop>
  <Company>State of Oregon Department of Environmental Quality</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cp:revision>
  <dcterms:created xsi:type="dcterms:W3CDTF">2013-09-23T22:09:00Z</dcterms:created>
  <dcterms:modified xsi:type="dcterms:W3CDTF">2013-09-23T22:12:00Z</dcterms:modified>
</cp:coreProperties>
</file>