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DAB" w:rsidRPr="00CA1DAB" w:rsidRDefault="00CA1DAB">
      <w:pPr>
        <w:rPr>
          <w:sz w:val="28"/>
          <w:szCs w:val="28"/>
        </w:rPr>
      </w:pPr>
      <w:r w:rsidRPr="00CA1DAB">
        <w:rPr>
          <w:sz w:val="28"/>
          <w:szCs w:val="28"/>
        </w:rPr>
        <w:t>TEMPORARY RULES</w:t>
      </w:r>
    </w:p>
    <w:p w:rsidR="00CE67AC" w:rsidRDefault="00200BBF">
      <w:r>
        <w:t xml:space="preserve">LINKS ARE NOT OPERATIONAL </w:t>
      </w:r>
      <w:r w:rsidR="00CE67AC">
        <w:t>YET</w:t>
      </w:r>
    </w:p>
    <w:p w:rsidR="00200BBF" w:rsidRDefault="00200BBF" w:rsidP="00200BBF">
      <w:pPr>
        <w:pStyle w:val="ListParagraph"/>
        <w:numPr>
          <w:ilvl w:val="0"/>
          <w:numId w:val="1"/>
        </w:numPr>
        <w:spacing w:after="0" w:line="240" w:lineRule="auto"/>
      </w:pPr>
      <w:r>
        <w:t>Contact email</w:t>
      </w:r>
      <w:r>
        <w:tab/>
      </w:r>
      <w:r>
        <w:tab/>
      </w:r>
      <w:r>
        <w:tab/>
      </w:r>
      <w:r>
        <w:tab/>
      </w:r>
      <w:hyperlink r:id="rId8" w:history="1">
        <w:r w:rsidR="00CF0D61">
          <w:rPr>
            <w:rStyle w:val="Hyperlink"/>
          </w:rPr>
          <w:t>Downing.Kevin@deq.state.or.us</w:t>
        </w:r>
      </w:hyperlink>
    </w:p>
    <w:p w:rsidR="00F11039" w:rsidRDefault="00105339" w:rsidP="00200BBF">
      <w:pPr>
        <w:pStyle w:val="ListParagraph"/>
        <w:numPr>
          <w:ilvl w:val="0"/>
          <w:numId w:val="1"/>
        </w:numPr>
        <w:spacing w:after="0" w:line="240" w:lineRule="auto"/>
      </w:pPr>
      <w:r>
        <w:t>Submit/view Comment</w:t>
      </w:r>
      <w:r>
        <w:tab/>
      </w:r>
      <w:r w:rsidR="00200BBF">
        <w:tab/>
      </w:r>
      <w:r w:rsidR="00200BBF">
        <w:tab/>
      </w:r>
      <w:r w:rsidR="00FC2E04">
        <w:t>None</w:t>
      </w:r>
    </w:p>
    <w:p w:rsidR="00200BBF" w:rsidRDefault="00200BBF" w:rsidP="00200BBF">
      <w:pPr>
        <w:pStyle w:val="ListParagraph"/>
        <w:numPr>
          <w:ilvl w:val="0"/>
          <w:numId w:val="1"/>
        </w:numPr>
        <w:spacing w:after="0" w:line="240" w:lineRule="auto"/>
      </w:pPr>
      <w:r>
        <w:t>Advisory committee link</w:t>
      </w:r>
      <w:r>
        <w:tab/>
      </w:r>
      <w:r>
        <w:tab/>
      </w:r>
      <w:r w:rsidR="00FC2E04">
        <w:t>None</w:t>
      </w:r>
    </w:p>
    <w:p w:rsidR="00401660" w:rsidRDefault="00105339" w:rsidP="00401660">
      <w:pPr>
        <w:pStyle w:val="NormalWeb"/>
        <w:numPr>
          <w:ilvl w:val="0"/>
          <w:numId w:val="1"/>
        </w:numPr>
      </w:pPr>
      <w:r w:rsidRPr="00401660">
        <w:rPr>
          <w:rFonts w:asciiTheme="minorHAnsi" w:hAnsiTheme="minorHAnsi" w:cstheme="minorBidi"/>
          <w:sz w:val="22"/>
          <w:szCs w:val="22"/>
        </w:rPr>
        <w:t>Public notice packet</w:t>
      </w:r>
      <w:r>
        <w:t xml:space="preserve"> </w:t>
      </w:r>
      <w:r>
        <w:tab/>
      </w:r>
      <w:r>
        <w:tab/>
      </w:r>
      <w:r>
        <w:tab/>
      </w:r>
      <w:r w:rsidR="00401660">
        <w:rPr>
          <w:rFonts w:ascii="Calibri" w:hAnsi="Calibri" w:cs="Calibri"/>
        </w:rPr>
        <w:t>None</w:t>
      </w:r>
    </w:p>
    <w:p w:rsidR="00200BBF" w:rsidRDefault="00200BBF" w:rsidP="00200BBF">
      <w:pPr>
        <w:pStyle w:val="ListParagraph"/>
        <w:numPr>
          <w:ilvl w:val="0"/>
          <w:numId w:val="1"/>
        </w:numPr>
        <w:spacing w:after="0" w:line="240" w:lineRule="auto"/>
      </w:pPr>
      <w:r>
        <w:t>Final documents</w:t>
      </w:r>
      <w:r>
        <w:tab/>
      </w:r>
      <w:r>
        <w:tab/>
      </w:r>
      <w:r>
        <w:tab/>
      </w:r>
      <w:hyperlink r:id="rId9" w:history="1">
        <w:r w:rsidR="00C857B0">
          <w:rPr>
            <w:rStyle w:val="Hyperlink"/>
          </w:rPr>
          <w:t>http://www.oregon.gov/deq/RulesandRegulations/Pages/2013/DESLGRNT.aspx</w:t>
        </w:r>
      </w:hyperlink>
    </w:p>
    <w:p w:rsidR="00CA1DAB" w:rsidRDefault="00CA1DAB" w:rsidP="00CA1DAB">
      <w:pPr>
        <w:spacing w:after="0" w:line="240" w:lineRule="auto"/>
      </w:pPr>
    </w:p>
    <w:tbl>
      <w:tblPr>
        <w:tblStyle w:val="TableGrid"/>
        <w:tblpPr w:leftFromText="180" w:rightFromText="180" w:vertAnchor="page" w:horzAnchor="margin" w:tblpY="4021"/>
        <w:tblW w:w="11866" w:type="dxa"/>
        <w:tblLook w:val="04A0"/>
      </w:tblPr>
      <w:tblGrid>
        <w:gridCol w:w="4327"/>
        <w:gridCol w:w="3769"/>
        <w:gridCol w:w="3770"/>
      </w:tblGrid>
      <w:tr w:rsidR="00200BBF" w:rsidTr="00200BBF">
        <w:trPr>
          <w:trHeight w:val="423"/>
        </w:trPr>
        <w:tc>
          <w:tcPr>
            <w:tcW w:w="11866" w:type="dxa"/>
            <w:gridSpan w:val="3"/>
            <w:shd w:val="clear" w:color="auto" w:fill="365F91" w:themeFill="accent1" w:themeFillShade="BF"/>
            <w:vAlign w:val="center"/>
          </w:tcPr>
          <w:p w:rsidR="00200BBF" w:rsidRDefault="00200BBF" w:rsidP="00200BBF">
            <w:pPr>
              <w:rPr>
                <w:rFonts w:ascii="Verdana" w:hAnsi="Verdana"/>
                <w:b/>
                <w:color w:val="FFFFFF" w:themeColor="background1"/>
              </w:rPr>
            </w:pPr>
          </w:p>
          <w:p w:rsidR="00200BBF" w:rsidRDefault="00FC2E04" w:rsidP="00200BBF">
            <w:pPr>
              <w:rPr>
                <w:rFonts w:ascii="Verdana" w:hAnsi="Verdana"/>
                <w:b/>
                <w:color w:val="FFFFFF" w:themeColor="background1"/>
              </w:rPr>
            </w:pPr>
            <w:r>
              <w:rPr>
                <w:rFonts w:ascii="Verdana" w:hAnsi="Verdana"/>
                <w:b/>
                <w:color w:val="FFFFFF" w:themeColor="background1"/>
              </w:rPr>
              <w:t>Clean Diesel Grant Program – Alignment with Federal Guidelines</w:t>
            </w:r>
          </w:p>
          <w:p w:rsidR="00200BBF" w:rsidRPr="009F3421" w:rsidRDefault="00200BBF" w:rsidP="00200BBF">
            <w:pPr>
              <w:rPr>
                <w:rFonts w:ascii="Verdana" w:hAnsi="Verdana"/>
                <w:b/>
                <w:color w:val="FFFFFF" w:themeColor="background1"/>
              </w:rPr>
            </w:pPr>
          </w:p>
        </w:tc>
      </w:tr>
      <w:tr w:rsidR="00200BBF" w:rsidTr="00200BBF">
        <w:trPr>
          <w:trHeight w:val="933"/>
        </w:trPr>
        <w:tc>
          <w:tcPr>
            <w:tcW w:w="11866" w:type="dxa"/>
            <w:gridSpan w:val="3"/>
            <w:vAlign w:val="center"/>
          </w:tcPr>
          <w:p w:rsidR="00200BBF" w:rsidRPr="00CE4233" w:rsidRDefault="00200BBF" w:rsidP="00200BBF">
            <w:pPr>
              <w:rPr>
                <w:rFonts w:ascii="Arial" w:hAnsi="Arial" w:cs="Arial"/>
                <w:sz w:val="20"/>
                <w:szCs w:val="20"/>
              </w:rPr>
            </w:pPr>
          </w:p>
          <w:p w:rsidR="00200BBF" w:rsidRPr="00CE4233" w:rsidRDefault="00FC2E04" w:rsidP="00200BBF">
            <w:pPr>
              <w:rPr>
                <w:rFonts w:ascii="Arial" w:hAnsi="Arial" w:cs="Arial"/>
                <w:sz w:val="20"/>
                <w:szCs w:val="20"/>
              </w:rPr>
            </w:pPr>
            <w:r>
              <w:rPr>
                <w:rFonts w:ascii="Arial" w:hAnsi="Arial" w:cs="Arial"/>
                <w:sz w:val="20"/>
                <w:szCs w:val="20"/>
              </w:rPr>
              <w:t xml:space="preserve">The Oregon Clean Diesel grant program has focused since 2001 on funding for exhaust </w:t>
            </w:r>
            <w:proofErr w:type="gramStart"/>
            <w:r>
              <w:rPr>
                <w:rFonts w:ascii="Arial" w:hAnsi="Arial" w:cs="Arial"/>
                <w:sz w:val="20"/>
                <w:szCs w:val="20"/>
              </w:rPr>
              <w:t>retrofits,</w:t>
            </w:r>
            <w:proofErr w:type="gramEnd"/>
            <w:r>
              <w:rPr>
                <w:rFonts w:ascii="Arial" w:hAnsi="Arial" w:cs="Arial"/>
                <w:sz w:val="20"/>
                <w:szCs w:val="20"/>
              </w:rPr>
              <w:t xml:space="preserve"> </w:t>
            </w:r>
            <w:proofErr w:type="spellStart"/>
            <w:r>
              <w:rPr>
                <w:rFonts w:ascii="Arial" w:hAnsi="Arial" w:cs="Arial"/>
                <w:sz w:val="20"/>
                <w:szCs w:val="20"/>
              </w:rPr>
              <w:t>nonroad</w:t>
            </w:r>
            <w:proofErr w:type="spellEnd"/>
            <w:r>
              <w:rPr>
                <w:rFonts w:ascii="Arial" w:hAnsi="Arial" w:cs="Arial"/>
                <w:sz w:val="20"/>
                <w:szCs w:val="20"/>
              </w:rPr>
              <w:t xml:space="preserve"> engine repowers and truck scrapping to reduce diesel engine emissions. Federal grants allow for a broader range of activities, including idle reduction technologies and vehicle replacement, for funding under EPA program rules. SB 249, adopted by the 2013 Oregon legislature and signed into law in April 2013, authorizes DEQ to apply for and administer federal grants under the </w:t>
            </w:r>
            <w:r w:rsidR="00401660">
              <w:rPr>
                <w:rFonts w:ascii="Arial" w:hAnsi="Arial" w:cs="Arial"/>
                <w:sz w:val="20"/>
                <w:szCs w:val="20"/>
              </w:rPr>
              <w:t>comprehensive</w:t>
            </w:r>
            <w:r>
              <w:rPr>
                <w:rFonts w:ascii="Arial" w:hAnsi="Arial" w:cs="Arial"/>
                <w:sz w:val="20"/>
                <w:szCs w:val="20"/>
              </w:rPr>
              <w:t xml:space="preserve"> guidelines. This temporary rule codifies that authority until a permanent rule is considered in March 2014. </w:t>
            </w:r>
          </w:p>
          <w:p w:rsidR="00200BBF" w:rsidRPr="00CE4233" w:rsidRDefault="00200BBF" w:rsidP="00200BBF">
            <w:pPr>
              <w:jc w:val="right"/>
              <w:rPr>
                <w:rFonts w:ascii="Arial" w:hAnsi="Arial" w:cs="Arial"/>
                <w:sz w:val="20"/>
                <w:szCs w:val="20"/>
              </w:rPr>
            </w:pPr>
          </w:p>
          <w:p w:rsidR="00200BBF" w:rsidRPr="000E7579" w:rsidRDefault="00200BBF" w:rsidP="00CF0D61">
            <w:pPr>
              <w:tabs>
                <w:tab w:val="left" w:pos="6480"/>
              </w:tabs>
              <w:rPr>
                <w:rFonts w:ascii="Arial" w:hAnsi="Arial" w:cs="Arial"/>
                <w:sz w:val="20"/>
                <w:szCs w:val="20"/>
              </w:rPr>
            </w:pPr>
            <w:r>
              <w:rPr>
                <w:rFonts w:ascii="Arial" w:hAnsi="Arial" w:cs="Arial"/>
                <w:sz w:val="20"/>
                <w:szCs w:val="20"/>
              </w:rPr>
              <w:tab/>
            </w:r>
            <w:r w:rsidRPr="00CE4233">
              <w:rPr>
                <w:rFonts w:ascii="Arial" w:hAnsi="Arial" w:cs="Arial"/>
                <w:sz w:val="20"/>
                <w:szCs w:val="20"/>
              </w:rPr>
              <w:t>Contact:</w:t>
            </w:r>
            <w:r w:rsidR="00105339">
              <w:rPr>
                <w:rFonts w:ascii="Arial" w:hAnsi="Arial" w:cs="Arial"/>
                <w:sz w:val="20"/>
                <w:szCs w:val="20"/>
              </w:rPr>
              <w:t xml:space="preserve"> </w:t>
            </w:r>
            <w:hyperlink r:id="rId10" w:history="1">
              <w:r w:rsidR="00CF0D61">
                <w:rPr>
                  <w:rStyle w:val="Hyperlink"/>
                  <w:rFonts w:ascii="Arial" w:hAnsi="Arial" w:cs="Arial"/>
                  <w:sz w:val="20"/>
                  <w:szCs w:val="20"/>
                </w:rPr>
                <w:t>Kevin Downing</w:t>
              </w:r>
            </w:hyperlink>
            <w:r>
              <w:t>, (503) 229-</w:t>
            </w:r>
            <w:r w:rsidR="00CF0D61">
              <w:t>6549</w:t>
            </w:r>
          </w:p>
        </w:tc>
      </w:tr>
      <w:tr w:rsidR="00200BBF" w:rsidTr="00200BBF">
        <w:trPr>
          <w:trHeight w:val="370"/>
        </w:trPr>
        <w:tc>
          <w:tcPr>
            <w:tcW w:w="11866" w:type="dxa"/>
            <w:gridSpan w:val="3"/>
            <w:shd w:val="clear" w:color="auto" w:fill="DBE5F1" w:themeFill="accent1" w:themeFillTint="33"/>
            <w:tcMar>
              <w:top w:w="115" w:type="dxa"/>
              <w:left w:w="144" w:type="dxa"/>
              <w:right w:w="115" w:type="dxa"/>
            </w:tcMar>
          </w:tcPr>
          <w:p w:rsidR="00200BBF" w:rsidRPr="00CE4233" w:rsidRDefault="00200BBF" w:rsidP="00200BBF">
            <w:pPr>
              <w:rPr>
                <w:rFonts w:ascii="Arial" w:hAnsi="Arial" w:cs="Arial"/>
                <w:b/>
                <w:color w:val="365F91" w:themeColor="accent1" w:themeShade="BF"/>
              </w:rPr>
            </w:pPr>
            <w:r>
              <w:rPr>
                <w:rFonts w:ascii="Arial" w:hAnsi="Arial" w:cs="Arial"/>
                <w:b/>
                <w:color w:val="365F91" w:themeColor="accent1" w:themeShade="BF"/>
              </w:rPr>
              <w:t>Public I</w:t>
            </w:r>
            <w:r w:rsidRPr="00F00BE4">
              <w:rPr>
                <w:rFonts w:ascii="Arial" w:hAnsi="Arial" w:cs="Arial"/>
                <w:b/>
                <w:color w:val="365F91" w:themeColor="accent1" w:themeShade="BF"/>
              </w:rPr>
              <w:t>nvolvement</w:t>
            </w:r>
          </w:p>
        </w:tc>
      </w:tr>
      <w:tr w:rsidR="00200BBF" w:rsidTr="00200BBF">
        <w:trPr>
          <w:trHeight w:val="1063"/>
        </w:trPr>
        <w:tc>
          <w:tcPr>
            <w:tcW w:w="4327" w:type="dxa"/>
            <w:shd w:val="clear" w:color="auto" w:fill="FFFFFF" w:themeFill="background1"/>
            <w:tcMar>
              <w:top w:w="115" w:type="dxa"/>
              <w:left w:w="144" w:type="dxa"/>
              <w:right w:w="115" w:type="dxa"/>
            </w:tcMar>
          </w:tcPr>
          <w:p w:rsidR="00200BBF" w:rsidRPr="00CE4233" w:rsidRDefault="00200BBF" w:rsidP="00200BBF">
            <w:pPr>
              <w:rPr>
                <w:rFonts w:ascii="Arial" w:hAnsi="Arial" w:cs="Arial"/>
                <w:b/>
                <w:sz w:val="20"/>
                <w:szCs w:val="20"/>
              </w:rPr>
            </w:pPr>
          </w:p>
          <w:p w:rsidR="00200BBF" w:rsidRPr="00CE4233" w:rsidRDefault="00C96DFF" w:rsidP="00200BBF">
            <w:pPr>
              <w:rPr>
                <w:rFonts w:ascii="Arial" w:hAnsi="Arial" w:cs="Arial"/>
                <w:b/>
                <w:sz w:val="20"/>
                <w:szCs w:val="20"/>
              </w:rPr>
            </w:pPr>
            <w:r>
              <w:rPr>
                <w:rFonts w:ascii="Arial" w:eastAsia="Times New Roman" w:hAnsi="Arial" w:cs="Arial"/>
                <w:sz w:val="20"/>
                <w:szCs w:val="20"/>
              </w:rPr>
              <w:t>Notice not required</w:t>
            </w:r>
          </w:p>
        </w:tc>
        <w:tc>
          <w:tcPr>
            <w:tcW w:w="3769" w:type="dxa"/>
            <w:shd w:val="clear" w:color="auto" w:fill="FFFFFF" w:themeFill="background1"/>
            <w:tcMar>
              <w:top w:w="115" w:type="dxa"/>
              <w:left w:w="144" w:type="dxa"/>
              <w:right w:w="115" w:type="dxa"/>
            </w:tcMar>
          </w:tcPr>
          <w:p w:rsidR="00200BBF" w:rsidRDefault="00200BBF" w:rsidP="00200BBF">
            <w:pPr>
              <w:rPr>
                <w:rFonts w:ascii="Arial" w:hAnsi="Arial" w:cs="Arial"/>
                <w:sz w:val="20"/>
                <w:szCs w:val="20"/>
              </w:rPr>
            </w:pPr>
          </w:p>
          <w:p w:rsidR="00200BBF" w:rsidRPr="00CE4233" w:rsidRDefault="00200BBF" w:rsidP="00C96DFF">
            <w:pPr>
              <w:rPr>
                <w:rFonts w:ascii="Arial" w:hAnsi="Arial" w:cs="Arial"/>
                <w:sz w:val="20"/>
                <w:szCs w:val="20"/>
              </w:rPr>
            </w:pPr>
            <w:r>
              <w:rPr>
                <w:rFonts w:ascii="Arial" w:hAnsi="Arial" w:cs="Arial"/>
                <w:sz w:val="20"/>
                <w:szCs w:val="20"/>
              </w:rPr>
              <w:t>No advisory committee</w:t>
            </w:r>
            <w:r w:rsidR="00105339">
              <w:rPr>
                <w:rFonts w:ascii="Arial" w:hAnsi="Arial" w:cs="Arial"/>
                <w:sz w:val="20"/>
                <w:szCs w:val="20"/>
              </w:rPr>
              <w:t xml:space="preserve"> </w:t>
            </w:r>
          </w:p>
        </w:tc>
        <w:tc>
          <w:tcPr>
            <w:tcW w:w="3770" w:type="dxa"/>
            <w:shd w:val="clear" w:color="auto" w:fill="FFFFFF" w:themeFill="background1"/>
            <w:tcMar>
              <w:top w:w="115" w:type="dxa"/>
              <w:left w:w="144" w:type="dxa"/>
              <w:right w:w="115" w:type="dxa"/>
            </w:tcMar>
          </w:tcPr>
          <w:p w:rsidR="00200BBF" w:rsidRDefault="00200BBF" w:rsidP="00200BBF">
            <w:pPr>
              <w:rPr>
                <w:rFonts w:ascii="Arial" w:hAnsi="Arial" w:cs="Arial"/>
                <w:sz w:val="20"/>
                <w:szCs w:val="20"/>
              </w:rPr>
            </w:pPr>
          </w:p>
          <w:p w:rsidR="00200BBF" w:rsidRDefault="003610F4" w:rsidP="00200BBF">
            <w:pPr>
              <w:rPr>
                <w:rFonts w:ascii="Arial" w:hAnsi="Arial" w:cs="Arial"/>
                <w:color w:val="000000"/>
                <w:sz w:val="20"/>
                <w:szCs w:val="20"/>
              </w:rPr>
            </w:pPr>
            <w:r>
              <w:rPr>
                <w:rFonts w:ascii="Arial" w:hAnsi="Arial" w:cs="Arial"/>
                <w:color w:val="000000"/>
                <w:sz w:val="20"/>
                <w:szCs w:val="20"/>
              </w:rPr>
              <w:t>Allowed under ORS 183.335(5), DEQ did not issue formal notice of this temporary rule before the EQC Rulemaking Action.</w:t>
            </w:r>
          </w:p>
          <w:p w:rsidR="00C96DFF" w:rsidRPr="000D7C63" w:rsidRDefault="00C96DFF" w:rsidP="00200BBF">
            <w:pPr>
              <w:rPr>
                <w:rFonts w:ascii="Arial" w:hAnsi="Arial" w:cs="Arial"/>
                <w:b/>
                <w:sz w:val="20"/>
                <w:szCs w:val="20"/>
              </w:rPr>
            </w:pPr>
          </w:p>
        </w:tc>
      </w:tr>
      <w:tr w:rsidR="00200BBF" w:rsidTr="00200BBF">
        <w:trPr>
          <w:trHeight w:val="388"/>
        </w:trPr>
        <w:tc>
          <w:tcPr>
            <w:tcW w:w="11866" w:type="dxa"/>
            <w:gridSpan w:val="3"/>
            <w:shd w:val="clear" w:color="auto" w:fill="DBE5F1" w:themeFill="accent1" w:themeFillTint="33"/>
            <w:tcMar>
              <w:top w:w="115" w:type="dxa"/>
              <w:left w:w="144" w:type="dxa"/>
              <w:right w:w="115" w:type="dxa"/>
            </w:tcMar>
          </w:tcPr>
          <w:p w:rsidR="00200BBF" w:rsidRPr="00CE4233" w:rsidRDefault="00200BBF" w:rsidP="00200BBF">
            <w:pPr>
              <w:rPr>
                <w:rFonts w:ascii="Arial" w:hAnsi="Arial" w:cs="Arial"/>
                <w:b/>
                <w:color w:val="365F91" w:themeColor="accent1" w:themeShade="BF"/>
              </w:rPr>
            </w:pPr>
            <w:r w:rsidRPr="00F00BE4">
              <w:rPr>
                <w:rFonts w:ascii="Arial" w:hAnsi="Arial" w:cs="Arial"/>
                <w:b/>
                <w:color w:val="365F91" w:themeColor="accent1" w:themeShade="BF"/>
              </w:rPr>
              <w:t>Environmental Quality Commission action</w:t>
            </w:r>
          </w:p>
        </w:tc>
      </w:tr>
      <w:tr w:rsidR="00200BBF" w:rsidTr="00200BBF">
        <w:trPr>
          <w:trHeight w:val="829"/>
        </w:trPr>
        <w:tc>
          <w:tcPr>
            <w:tcW w:w="4327" w:type="dxa"/>
            <w:tcMar>
              <w:top w:w="115" w:type="dxa"/>
              <w:left w:w="144" w:type="dxa"/>
              <w:right w:w="115" w:type="dxa"/>
            </w:tcMar>
          </w:tcPr>
          <w:p w:rsidR="00200BBF" w:rsidRPr="000E7579" w:rsidRDefault="00200BBF" w:rsidP="00200BBF">
            <w:pPr>
              <w:rPr>
                <w:rFonts w:ascii="Arial" w:hAnsi="Arial" w:cs="Arial"/>
                <w:b/>
                <w:sz w:val="20"/>
                <w:szCs w:val="20"/>
              </w:rPr>
            </w:pPr>
          </w:p>
          <w:p w:rsidR="00200BBF" w:rsidRPr="000E7579" w:rsidRDefault="00200BBF" w:rsidP="00A62F6F">
            <w:pPr>
              <w:rPr>
                <w:rFonts w:ascii="Arial" w:hAnsi="Arial" w:cs="Arial"/>
                <w:sz w:val="20"/>
                <w:szCs w:val="20"/>
              </w:rPr>
            </w:pPr>
            <w:r>
              <w:rPr>
                <w:rFonts w:ascii="Arial" w:hAnsi="Arial" w:cs="Arial"/>
                <w:sz w:val="20"/>
                <w:szCs w:val="20"/>
              </w:rPr>
              <w:t xml:space="preserve">EQC meeting scheduled </w:t>
            </w:r>
            <w:r w:rsidR="00A62F6F">
              <w:rPr>
                <w:rFonts w:ascii="Arial" w:hAnsi="Arial" w:cs="Arial"/>
                <w:sz w:val="20"/>
                <w:szCs w:val="20"/>
              </w:rPr>
              <w:t>Oct.</w:t>
            </w:r>
            <w:r>
              <w:rPr>
                <w:rFonts w:ascii="Arial" w:hAnsi="Arial" w:cs="Arial"/>
                <w:sz w:val="20"/>
                <w:szCs w:val="20"/>
              </w:rPr>
              <w:t xml:space="preserve"> </w:t>
            </w:r>
            <w:r w:rsidR="00A62F6F">
              <w:rPr>
                <w:rFonts w:ascii="Arial" w:hAnsi="Arial" w:cs="Arial"/>
                <w:sz w:val="20"/>
                <w:szCs w:val="20"/>
              </w:rPr>
              <w:t>16</w:t>
            </w:r>
            <w:r w:rsidRPr="00105339">
              <w:rPr>
                <w:rFonts w:ascii="Arial" w:hAnsi="Arial" w:cs="Arial"/>
                <w:sz w:val="20"/>
                <w:szCs w:val="20"/>
              </w:rPr>
              <w:t>-</w:t>
            </w:r>
            <w:r w:rsidR="00A62F6F">
              <w:rPr>
                <w:rFonts w:ascii="Arial" w:hAnsi="Arial" w:cs="Arial"/>
                <w:sz w:val="20"/>
                <w:szCs w:val="20"/>
              </w:rPr>
              <w:t>17</w:t>
            </w:r>
            <w:r w:rsidRPr="00105339">
              <w:rPr>
                <w:rFonts w:ascii="Arial" w:hAnsi="Arial" w:cs="Arial"/>
                <w:sz w:val="20"/>
                <w:szCs w:val="20"/>
              </w:rPr>
              <w:t>,</w:t>
            </w:r>
            <w:r>
              <w:rPr>
                <w:rFonts w:ascii="Arial" w:hAnsi="Arial" w:cs="Arial"/>
                <w:sz w:val="20"/>
                <w:szCs w:val="20"/>
              </w:rPr>
              <w:t xml:space="preserve"> </w:t>
            </w:r>
            <w:r w:rsidR="00A62F6F">
              <w:rPr>
                <w:rFonts w:ascii="Arial" w:hAnsi="Arial" w:cs="Arial"/>
                <w:sz w:val="20"/>
                <w:szCs w:val="20"/>
              </w:rPr>
              <w:t>2013</w:t>
            </w:r>
          </w:p>
        </w:tc>
        <w:tc>
          <w:tcPr>
            <w:tcW w:w="3769" w:type="dxa"/>
            <w:tcMar>
              <w:top w:w="115" w:type="dxa"/>
              <w:left w:w="144" w:type="dxa"/>
              <w:right w:w="115" w:type="dxa"/>
            </w:tcMar>
          </w:tcPr>
          <w:p w:rsidR="00200BBF" w:rsidRDefault="00200BBF" w:rsidP="00200BBF">
            <w:pPr>
              <w:rPr>
                <w:rFonts w:ascii="Arial" w:hAnsi="Arial" w:cs="Arial"/>
                <w:sz w:val="20"/>
                <w:szCs w:val="20"/>
              </w:rPr>
            </w:pPr>
          </w:p>
          <w:p w:rsidR="001A31F9" w:rsidRPr="001A31F9" w:rsidRDefault="001A31F9" w:rsidP="001A31F9">
            <w:pPr>
              <w:rPr>
                <w:rFonts w:ascii="Arial" w:eastAsia="Times New Roman" w:hAnsi="Arial" w:cs="Arial"/>
                <w:color w:val="000000"/>
                <w:sz w:val="24"/>
                <w:szCs w:val="24"/>
              </w:rPr>
            </w:pPr>
            <w:r w:rsidRPr="001A31F9">
              <w:rPr>
                <w:rFonts w:ascii="Arial" w:eastAsia="Times New Roman" w:hAnsi="Arial" w:cs="Arial"/>
                <w:b/>
                <w:bCs/>
                <w:color w:val="000000"/>
                <w:sz w:val="20"/>
                <w:szCs w:val="20"/>
              </w:rPr>
              <w:t>Materials</w:t>
            </w:r>
          </w:p>
          <w:p w:rsidR="001A31F9" w:rsidRPr="001A31F9" w:rsidRDefault="00501F2F" w:rsidP="001A31F9">
            <w:pPr>
              <w:ind w:left="317"/>
              <w:rPr>
                <w:rFonts w:ascii="Arial" w:eastAsia="Times New Roman" w:hAnsi="Arial" w:cs="Arial"/>
                <w:color w:val="000000"/>
                <w:sz w:val="24"/>
                <w:szCs w:val="24"/>
              </w:rPr>
            </w:pPr>
            <w:hyperlink r:id="rId11" w:history="1">
              <w:r w:rsidR="001A31F9" w:rsidRPr="00C857B0">
                <w:rPr>
                  <w:rFonts w:ascii="Arial" w:eastAsia="Times New Roman" w:hAnsi="Arial" w:cs="Arial"/>
                  <w:color w:val="0000FF"/>
                  <w:sz w:val="20"/>
                  <w:szCs w:val="20"/>
                  <w:u w:val="single"/>
                </w:rPr>
                <w:t>EQC Packet</w:t>
              </w:r>
            </w:hyperlink>
            <w:r w:rsidR="001A31F9" w:rsidRPr="001A31F9">
              <w:rPr>
                <w:rFonts w:ascii="Arial" w:eastAsia="Times New Roman" w:hAnsi="Arial" w:cs="Arial"/>
                <w:color w:val="000000"/>
                <w:sz w:val="20"/>
                <w:szCs w:val="20"/>
              </w:rPr>
              <w:t>—includes Staff Report, Proposed Rules and supporting documents</w:t>
            </w:r>
          </w:p>
          <w:p w:rsidR="001A31F9" w:rsidRPr="000E7579" w:rsidRDefault="001A31F9" w:rsidP="00200BBF">
            <w:pPr>
              <w:rPr>
                <w:rFonts w:ascii="Arial" w:hAnsi="Arial" w:cs="Arial"/>
                <w:sz w:val="20"/>
                <w:szCs w:val="20"/>
              </w:rPr>
            </w:pPr>
          </w:p>
        </w:tc>
        <w:tc>
          <w:tcPr>
            <w:tcW w:w="3770" w:type="dxa"/>
          </w:tcPr>
          <w:p w:rsidR="00200BBF" w:rsidRPr="000E7579" w:rsidRDefault="00200BBF" w:rsidP="00200BBF">
            <w:pPr>
              <w:rPr>
                <w:rFonts w:ascii="Arial" w:hAnsi="Arial" w:cs="Arial"/>
                <w:sz w:val="20"/>
                <w:szCs w:val="20"/>
              </w:rPr>
            </w:pPr>
          </w:p>
        </w:tc>
      </w:tr>
      <w:tr w:rsidR="00200BBF" w:rsidTr="00200BBF">
        <w:trPr>
          <w:trHeight w:val="352"/>
        </w:trPr>
        <w:tc>
          <w:tcPr>
            <w:tcW w:w="11866" w:type="dxa"/>
            <w:gridSpan w:val="3"/>
            <w:shd w:val="clear" w:color="auto" w:fill="DBE5F1" w:themeFill="accent1" w:themeFillTint="33"/>
            <w:tcMar>
              <w:top w:w="115" w:type="dxa"/>
              <w:left w:w="144" w:type="dxa"/>
              <w:right w:w="115" w:type="dxa"/>
            </w:tcMar>
          </w:tcPr>
          <w:p w:rsidR="00200BBF" w:rsidRPr="000E7579" w:rsidRDefault="00200BBF" w:rsidP="00200BBF">
            <w:pPr>
              <w:rPr>
                <w:rFonts w:ascii="Arial" w:hAnsi="Arial" w:cs="Arial"/>
                <w:sz w:val="20"/>
                <w:szCs w:val="20"/>
              </w:rPr>
            </w:pPr>
            <w:r w:rsidRPr="00D2448D">
              <w:rPr>
                <w:rFonts w:ascii="Arial" w:hAnsi="Arial" w:cs="Arial"/>
                <w:b/>
                <w:color w:val="365F91" w:themeColor="accent1" w:themeShade="BF"/>
              </w:rPr>
              <w:t>File</w:t>
            </w:r>
            <w:r>
              <w:rPr>
                <w:rFonts w:ascii="Arial" w:hAnsi="Arial" w:cs="Arial"/>
                <w:b/>
                <w:color w:val="365F91" w:themeColor="accent1" w:themeShade="BF"/>
              </w:rPr>
              <w:t>d</w:t>
            </w:r>
            <w:r w:rsidRPr="00D2448D">
              <w:rPr>
                <w:rFonts w:ascii="Arial" w:hAnsi="Arial" w:cs="Arial"/>
                <w:b/>
                <w:color w:val="365F91" w:themeColor="accent1" w:themeShade="BF"/>
              </w:rPr>
              <w:t xml:space="preserve"> </w:t>
            </w:r>
            <w:r>
              <w:rPr>
                <w:rFonts w:ascii="Arial" w:hAnsi="Arial" w:cs="Arial"/>
                <w:b/>
                <w:color w:val="365F91" w:themeColor="accent1" w:themeShade="BF"/>
              </w:rPr>
              <w:t>with Secretary of State</w:t>
            </w:r>
          </w:p>
        </w:tc>
      </w:tr>
      <w:tr w:rsidR="00200BBF" w:rsidTr="00200BBF">
        <w:trPr>
          <w:trHeight w:val="784"/>
        </w:trPr>
        <w:tc>
          <w:tcPr>
            <w:tcW w:w="4327" w:type="dxa"/>
            <w:shd w:val="clear" w:color="auto" w:fill="FFFFFF" w:themeFill="background1"/>
            <w:tcMar>
              <w:top w:w="115" w:type="dxa"/>
              <w:left w:w="144" w:type="dxa"/>
              <w:right w:w="115" w:type="dxa"/>
            </w:tcMar>
          </w:tcPr>
          <w:p w:rsidR="00200BBF" w:rsidRPr="00CE67AC" w:rsidRDefault="00200BBF" w:rsidP="00200BBF">
            <w:pPr>
              <w:rPr>
                <w:rFonts w:ascii="Arial" w:hAnsi="Arial" w:cs="Arial"/>
                <w:sz w:val="20"/>
                <w:szCs w:val="20"/>
              </w:rPr>
            </w:pPr>
          </w:p>
          <w:p w:rsidR="00200BBF" w:rsidRPr="000E7579" w:rsidRDefault="00200BBF" w:rsidP="00200BBF">
            <w:pPr>
              <w:rPr>
                <w:rFonts w:ascii="Arial" w:hAnsi="Arial" w:cs="Arial"/>
                <w:b/>
                <w:sz w:val="20"/>
                <w:szCs w:val="20"/>
              </w:rPr>
            </w:pPr>
            <w:r w:rsidRPr="00CE67AC">
              <w:rPr>
                <w:rFonts w:ascii="Arial" w:hAnsi="Arial" w:cs="Arial"/>
                <w:sz w:val="20"/>
                <w:szCs w:val="20"/>
              </w:rPr>
              <w:t>Pending EQC action</w:t>
            </w:r>
          </w:p>
        </w:tc>
        <w:tc>
          <w:tcPr>
            <w:tcW w:w="3769" w:type="dxa"/>
            <w:shd w:val="clear" w:color="auto" w:fill="FFFFFF" w:themeFill="background1"/>
            <w:tcMar>
              <w:top w:w="115" w:type="dxa"/>
              <w:left w:w="144" w:type="dxa"/>
              <w:right w:w="115" w:type="dxa"/>
            </w:tcMar>
          </w:tcPr>
          <w:p w:rsidR="00200BBF" w:rsidRPr="000E7579" w:rsidRDefault="00200BBF" w:rsidP="00200BBF">
            <w:pPr>
              <w:rPr>
                <w:rFonts w:ascii="Arial" w:hAnsi="Arial" w:cs="Arial"/>
                <w:sz w:val="20"/>
                <w:szCs w:val="20"/>
              </w:rPr>
            </w:pPr>
          </w:p>
        </w:tc>
        <w:tc>
          <w:tcPr>
            <w:tcW w:w="3770" w:type="dxa"/>
            <w:shd w:val="clear" w:color="auto" w:fill="FFFFFF" w:themeFill="background1"/>
          </w:tcPr>
          <w:p w:rsidR="00200BBF" w:rsidRPr="000E7579" w:rsidRDefault="00200BBF" w:rsidP="00200BBF">
            <w:pPr>
              <w:rPr>
                <w:rFonts w:ascii="Arial" w:hAnsi="Arial" w:cs="Arial"/>
                <w:sz w:val="20"/>
                <w:szCs w:val="20"/>
              </w:rPr>
            </w:pPr>
          </w:p>
        </w:tc>
      </w:tr>
    </w:tbl>
    <w:p w:rsidR="00200BBF" w:rsidRDefault="00200BBF" w:rsidP="00CF0D61"/>
    <w:sectPr w:rsidR="00200BBF" w:rsidSect="00200BBF">
      <w:pgSz w:w="15840" w:h="12240" w:orient="landscape"/>
      <w:pgMar w:top="5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D61EA4"/>
    <w:multiLevelType w:val="hybridMultilevel"/>
    <w:tmpl w:val="63703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F13A0"/>
    <w:rsid w:val="000B2B33"/>
    <w:rsid w:val="000D7C63"/>
    <w:rsid w:val="00105339"/>
    <w:rsid w:val="001057F2"/>
    <w:rsid w:val="00125830"/>
    <w:rsid w:val="001A31F9"/>
    <w:rsid w:val="001B0A1C"/>
    <w:rsid w:val="00200B2A"/>
    <w:rsid w:val="00200BBF"/>
    <w:rsid w:val="002548E5"/>
    <w:rsid w:val="00267C3F"/>
    <w:rsid w:val="002D1EF4"/>
    <w:rsid w:val="00317B0D"/>
    <w:rsid w:val="003610F4"/>
    <w:rsid w:val="0038778D"/>
    <w:rsid w:val="003B7757"/>
    <w:rsid w:val="00401660"/>
    <w:rsid w:val="0042157E"/>
    <w:rsid w:val="004316CC"/>
    <w:rsid w:val="004621FA"/>
    <w:rsid w:val="004A22A1"/>
    <w:rsid w:val="004B4F97"/>
    <w:rsid w:val="004D58F8"/>
    <w:rsid w:val="004E07E2"/>
    <w:rsid w:val="00501F2F"/>
    <w:rsid w:val="00526079"/>
    <w:rsid w:val="0056168F"/>
    <w:rsid w:val="005675D6"/>
    <w:rsid w:val="005942EC"/>
    <w:rsid w:val="005B2D80"/>
    <w:rsid w:val="006414E1"/>
    <w:rsid w:val="006C2E87"/>
    <w:rsid w:val="006D5399"/>
    <w:rsid w:val="0074405D"/>
    <w:rsid w:val="0076506D"/>
    <w:rsid w:val="007A2A98"/>
    <w:rsid w:val="00805647"/>
    <w:rsid w:val="008908B4"/>
    <w:rsid w:val="008B6FE3"/>
    <w:rsid w:val="00931E5C"/>
    <w:rsid w:val="009F13A0"/>
    <w:rsid w:val="00A10776"/>
    <w:rsid w:val="00A370EF"/>
    <w:rsid w:val="00A50F2D"/>
    <w:rsid w:val="00A54C7E"/>
    <w:rsid w:val="00A62F6F"/>
    <w:rsid w:val="00AB2F90"/>
    <w:rsid w:val="00AC09E3"/>
    <w:rsid w:val="00AE32EB"/>
    <w:rsid w:val="00AF51B0"/>
    <w:rsid w:val="00B15B25"/>
    <w:rsid w:val="00B270E7"/>
    <w:rsid w:val="00B40244"/>
    <w:rsid w:val="00B569E9"/>
    <w:rsid w:val="00B912B2"/>
    <w:rsid w:val="00BE3B10"/>
    <w:rsid w:val="00C13720"/>
    <w:rsid w:val="00C42183"/>
    <w:rsid w:val="00C47F11"/>
    <w:rsid w:val="00C857B0"/>
    <w:rsid w:val="00C96DFF"/>
    <w:rsid w:val="00CA1DAB"/>
    <w:rsid w:val="00CA63CA"/>
    <w:rsid w:val="00CC348B"/>
    <w:rsid w:val="00CE10B5"/>
    <w:rsid w:val="00CE67AC"/>
    <w:rsid w:val="00CF0D61"/>
    <w:rsid w:val="00CF3B83"/>
    <w:rsid w:val="00D209FA"/>
    <w:rsid w:val="00D86255"/>
    <w:rsid w:val="00DD51B7"/>
    <w:rsid w:val="00DF40F2"/>
    <w:rsid w:val="00E22B0F"/>
    <w:rsid w:val="00E24685"/>
    <w:rsid w:val="00E328FE"/>
    <w:rsid w:val="00E8155D"/>
    <w:rsid w:val="00E87C47"/>
    <w:rsid w:val="00E911AD"/>
    <w:rsid w:val="00E9367F"/>
    <w:rsid w:val="00EB1BD4"/>
    <w:rsid w:val="00ED4A54"/>
    <w:rsid w:val="00EE0B5C"/>
    <w:rsid w:val="00EE2334"/>
    <w:rsid w:val="00F11039"/>
    <w:rsid w:val="00F137F7"/>
    <w:rsid w:val="00FB1F2D"/>
    <w:rsid w:val="00FC1777"/>
    <w:rsid w:val="00FC2E04"/>
    <w:rsid w:val="00FF61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3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13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F13A0"/>
    <w:rPr>
      <w:color w:val="0000FF" w:themeColor="hyperlink"/>
      <w:u w:val="single"/>
    </w:rPr>
  </w:style>
  <w:style w:type="character" w:styleId="FollowedHyperlink">
    <w:name w:val="FollowedHyperlink"/>
    <w:basedOn w:val="DefaultParagraphFont"/>
    <w:uiPriority w:val="99"/>
    <w:semiHidden/>
    <w:unhideWhenUsed/>
    <w:rsid w:val="00CE67AC"/>
    <w:rPr>
      <w:color w:val="800080" w:themeColor="followedHyperlink"/>
      <w:u w:val="single"/>
    </w:rPr>
  </w:style>
  <w:style w:type="paragraph" w:styleId="ListParagraph">
    <w:name w:val="List Paragraph"/>
    <w:basedOn w:val="Normal"/>
    <w:uiPriority w:val="34"/>
    <w:qFormat/>
    <w:rsid w:val="00200BBF"/>
    <w:pPr>
      <w:ind w:left="720"/>
      <w:contextualSpacing/>
    </w:pPr>
  </w:style>
  <w:style w:type="character" w:styleId="CommentReference">
    <w:name w:val="annotation reference"/>
    <w:basedOn w:val="DefaultParagraphFont"/>
    <w:uiPriority w:val="99"/>
    <w:semiHidden/>
    <w:unhideWhenUsed/>
    <w:rsid w:val="00200B2A"/>
    <w:rPr>
      <w:sz w:val="16"/>
      <w:szCs w:val="16"/>
    </w:rPr>
  </w:style>
  <w:style w:type="paragraph" w:styleId="CommentText">
    <w:name w:val="annotation text"/>
    <w:basedOn w:val="Normal"/>
    <w:link w:val="CommentTextChar"/>
    <w:uiPriority w:val="99"/>
    <w:semiHidden/>
    <w:unhideWhenUsed/>
    <w:rsid w:val="00200B2A"/>
    <w:pPr>
      <w:spacing w:line="240" w:lineRule="auto"/>
    </w:pPr>
    <w:rPr>
      <w:sz w:val="20"/>
      <w:szCs w:val="20"/>
    </w:rPr>
  </w:style>
  <w:style w:type="character" w:customStyle="1" w:styleId="CommentTextChar">
    <w:name w:val="Comment Text Char"/>
    <w:basedOn w:val="DefaultParagraphFont"/>
    <w:link w:val="CommentText"/>
    <w:uiPriority w:val="99"/>
    <w:semiHidden/>
    <w:rsid w:val="00200B2A"/>
    <w:rPr>
      <w:sz w:val="20"/>
      <w:szCs w:val="20"/>
    </w:rPr>
  </w:style>
  <w:style w:type="paragraph" w:styleId="CommentSubject">
    <w:name w:val="annotation subject"/>
    <w:basedOn w:val="CommentText"/>
    <w:next w:val="CommentText"/>
    <w:link w:val="CommentSubjectChar"/>
    <w:uiPriority w:val="99"/>
    <w:semiHidden/>
    <w:unhideWhenUsed/>
    <w:rsid w:val="00200B2A"/>
    <w:rPr>
      <w:b/>
      <w:bCs/>
    </w:rPr>
  </w:style>
  <w:style w:type="character" w:customStyle="1" w:styleId="CommentSubjectChar">
    <w:name w:val="Comment Subject Char"/>
    <w:basedOn w:val="CommentTextChar"/>
    <w:link w:val="CommentSubject"/>
    <w:uiPriority w:val="99"/>
    <w:semiHidden/>
    <w:rsid w:val="00200B2A"/>
    <w:rPr>
      <w:b/>
      <w:bCs/>
    </w:rPr>
  </w:style>
  <w:style w:type="paragraph" w:styleId="BalloonText">
    <w:name w:val="Balloon Text"/>
    <w:basedOn w:val="Normal"/>
    <w:link w:val="BalloonTextChar"/>
    <w:uiPriority w:val="99"/>
    <w:semiHidden/>
    <w:unhideWhenUsed/>
    <w:rsid w:val="00200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B2A"/>
    <w:rPr>
      <w:rFonts w:ascii="Tahoma" w:hAnsi="Tahoma" w:cs="Tahoma"/>
      <w:sz w:val="16"/>
      <w:szCs w:val="16"/>
    </w:rPr>
  </w:style>
  <w:style w:type="paragraph" w:styleId="NormalWeb">
    <w:name w:val="Normal (Web)"/>
    <w:basedOn w:val="Normal"/>
    <w:uiPriority w:val="99"/>
    <w:semiHidden/>
    <w:unhideWhenUsed/>
    <w:rsid w:val="00401660"/>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38041103">
      <w:bodyDiv w:val="1"/>
      <w:marLeft w:val="0"/>
      <w:marRight w:val="0"/>
      <w:marTop w:val="0"/>
      <w:marBottom w:val="0"/>
      <w:divBdr>
        <w:top w:val="none" w:sz="0" w:space="0" w:color="auto"/>
        <w:left w:val="none" w:sz="0" w:space="0" w:color="auto"/>
        <w:bottom w:val="none" w:sz="0" w:space="0" w:color="auto"/>
        <w:right w:val="none" w:sz="0" w:space="0" w:color="auto"/>
      </w:divBdr>
    </w:div>
    <w:div w:id="514227870">
      <w:bodyDiv w:val="1"/>
      <w:marLeft w:val="0"/>
      <w:marRight w:val="0"/>
      <w:marTop w:val="0"/>
      <w:marBottom w:val="0"/>
      <w:divBdr>
        <w:top w:val="none" w:sz="0" w:space="0" w:color="auto"/>
        <w:left w:val="none" w:sz="0" w:space="0" w:color="auto"/>
        <w:bottom w:val="none" w:sz="0" w:space="0" w:color="auto"/>
        <w:right w:val="none" w:sz="0" w:space="0" w:color="auto"/>
      </w:divBdr>
    </w:div>
    <w:div w:id="660041140">
      <w:bodyDiv w:val="1"/>
      <w:marLeft w:val="0"/>
      <w:marRight w:val="0"/>
      <w:marTop w:val="0"/>
      <w:marBottom w:val="0"/>
      <w:divBdr>
        <w:top w:val="none" w:sz="0" w:space="0" w:color="auto"/>
        <w:left w:val="none" w:sz="0" w:space="0" w:color="auto"/>
        <w:bottom w:val="none" w:sz="0" w:space="0" w:color="auto"/>
        <w:right w:val="none" w:sz="0" w:space="0" w:color="auto"/>
      </w:divBdr>
    </w:div>
    <w:div w:id="807941081">
      <w:bodyDiv w:val="1"/>
      <w:marLeft w:val="0"/>
      <w:marRight w:val="0"/>
      <w:marTop w:val="0"/>
      <w:marBottom w:val="0"/>
      <w:divBdr>
        <w:top w:val="none" w:sz="0" w:space="0" w:color="auto"/>
        <w:left w:val="none" w:sz="0" w:space="0" w:color="auto"/>
        <w:bottom w:val="none" w:sz="0" w:space="0" w:color="auto"/>
        <w:right w:val="none" w:sz="0" w:space="0" w:color="auto"/>
      </w:divBdr>
      <w:divsChild>
        <w:div w:id="850529979">
          <w:marLeft w:val="0"/>
          <w:marRight w:val="0"/>
          <w:marTop w:val="0"/>
          <w:marBottom w:val="0"/>
          <w:divBdr>
            <w:top w:val="none" w:sz="0" w:space="0" w:color="auto"/>
            <w:left w:val="none" w:sz="0" w:space="0" w:color="auto"/>
            <w:bottom w:val="none" w:sz="0" w:space="0" w:color="auto"/>
            <w:right w:val="none" w:sz="0" w:space="0" w:color="auto"/>
          </w:divBdr>
          <w:divsChild>
            <w:div w:id="1462259382">
              <w:marLeft w:val="0"/>
              <w:marRight w:val="0"/>
              <w:marTop w:val="0"/>
              <w:marBottom w:val="0"/>
              <w:divBdr>
                <w:top w:val="none" w:sz="0" w:space="0" w:color="auto"/>
                <w:left w:val="none" w:sz="0" w:space="0" w:color="auto"/>
                <w:bottom w:val="none" w:sz="0" w:space="0" w:color="auto"/>
                <w:right w:val="none" w:sz="0" w:space="0" w:color="auto"/>
              </w:divBdr>
              <w:divsChild>
                <w:div w:id="1906067033">
                  <w:marLeft w:val="0"/>
                  <w:marRight w:val="0"/>
                  <w:marTop w:val="0"/>
                  <w:marBottom w:val="0"/>
                  <w:divBdr>
                    <w:top w:val="none" w:sz="0" w:space="0" w:color="auto"/>
                    <w:left w:val="none" w:sz="0" w:space="0" w:color="auto"/>
                    <w:bottom w:val="none" w:sz="0" w:space="0" w:color="auto"/>
                    <w:right w:val="none" w:sz="0" w:space="0" w:color="auto"/>
                  </w:divBdr>
                  <w:divsChild>
                    <w:div w:id="992833917">
                      <w:marLeft w:val="0"/>
                      <w:marRight w:val="0"/>
                      <w:marTop w:val="0"/>
                      <w:marBottom w:val="0"/>
                      <w:divBdr>
                        <w:top w:val="none" w:sz="0" w:space="0" w:color="auto"/>
                        <w:left w:val="none" w:sz="0" w:space="0" w:color="auto"/>
                        <w:bottom w:val="none" w:sz="0" w:space="0" w:color="auto"/>
                        <w:right w:val="none" w:sz="0" w:space="0" w:color="auto"/>
                      </w:divBdr>
                      <w:divsChild>
                        <w:div w:id="184370072">
                          <w:marLeft w:val="0"/>
                          <w:marRight w:val="0"/>
                          <w:marTop w:val="0"/>
                          <w:marBottom w:val="0"/>
                          <w:divBdr>
                            <w:top w:val="none" w:sz="0" w:space="0" w:color="auto"/>
                            <w:left w:val="none" w:sz="0" w:space="0" w:color="auto"/>
                            <w:bottom w:val="none" w:sz="0" w:space="0" w:color="auto"/>
                            <w:right w:val="none" w:sz="0" w:space="0" w:color="auto"/>
                          </w:divBdr>
                          <w:divsChild>
                            <w:div w:id="780730975">
                              <w:marLeft w:val="0"/>
                              <w:marRight w:val="0"/>
                              <w:marTop w:val="0"/>
                              <w:marBottom w:val="0"/>
                              <w:divBdr>
                                <w:top w:val="none" w:sz="0" w:space="0" w:color="auto"/>
                                <w:left w:val="none" w:sz="0" w:space="0" w:color="auto"/>
                                <w:bottom w:val="none" w:sz="0" w:space="0" w:color="auto"/>
                                <w:right w:val="none" w:sz="0" w:space="0" w:color="auto"/>
                              </w:divBdr>
                              <w:divsChild>
                                <w:div w:id="650140247">
                                  <w:marLeft w:val="0"/>
                                  <w:marRight w:val="0"/>
                                  <w:marTop w:val="0"/>
                                  <w:marBottom w:val="0"/>
                                  <w:divBdr>
                                    <w:top w:val="none" w:sz="0" w:space="0" w:color="auto"/>
                                    <w:left w:val="none" w:sz="0" w:space="0" w:color="auto"/>
                                    <w:bottom w:val="none" w:sz="0" w:space="0" w:color="auto"/>
                                    <w:right w:val="none" w:sz="0" w:space="0" w:color="auto"/>
                                  </w:divBdr>
                                </w:div>
                                <w:div w:id="1863132837">
                                  <w:marLeft w:val="328"/>
                                  <w:marRight w:val="0"/>
                                  <w:marTop w:val="0"/>
                                  <w:marBottom w:val="0"/>
                                  <w:divBdr>
                                    <w:top w:val="none" w:sz="0" w:space="0" w:color="auto"/>
                                    <w:left w:val="none" w:sz="0" w:space="0" w:color="auto"/>
                                    <w:bottom w:val="none" w:sz="0" w:space="0" w:color="auto"/>
                                    <w:right w:val="none" w:sz="0" w:space="0" w:color="auto"/>
                                  </w:divBdr>
                                </w:div>
                                <w:div w:id="267587335">
                                  <w:marLeft w:val="328"/>
                                  <w:marRight w:val="0"/>
                                  <w:marTop w:val="0"/>
                                  <w:marBottom w:val="0"/>
                                  <w:divBdr>
                                    <w:top w:val="none" w:sz="0" w:space="0" w:color="auto"/>
                                    <w:left w:val="none" w:sz="0" w:space="0" w:color="auto"/>
                                    <w:bottom w:val="none" w:sz="0" w:space="0" w:color="auto"/>
                                    <w:right w:val="none" w:sz="0" w:space="0" w:color="auto"/>
                                  </w:divBdr>
                                </w:div>
                                <w:div w:id="7829046">
                                  <w:marLeft w:val="32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7471469">
      <w:bodyDiv w:val="1"/>
      <w:marLeft w:val="0"/>
      <w:marRight w:val="0"/>
      <w:marTop w:val="0"/>
      <w:marBottom w:val="0"/>
      <w:divBdr>
        <w:top w:val="none" w:sz="0" w:space="0" w:color="auto"/>
        <w:left w:val="none" w:sz="0" w:space="0" w:color="auto"/>
        <w:bottom w:val="none" w:sz="0" w:space="0" w:color="auto"/>
        <w:right w:val="none" w:sz="0" w:space="0" w:color="auto"/>
      </w:divBdr>
    </w:div>
    <w:div w:id="1095831431">
      <w:bodyDiv w:val="1"/>
      <w:marLeft w:val="0"/>
      <w:marRight w:val="0"/>
      <w:marTop w:val="0"/>
      <w:marBottom w:val="0"/>
      <w:divBdr>
        <w:top w:val="none" w:sz="0" w:space="0" w:color="auto"/>
        <w:left w:val="none" w:sz="0" w:space="0" w:color="auto"/>
        <w:bottom w:val="none" w:sz="0" w:space="0" w:color="auto"/>
        <w:right w:val="none" w:sz="0" w:space="0" w:color="auto"/>
      </w:divBdr>
    </w:div>
    <w:div w:id="1340736189">
      <w:bodyDiv w:val="1"/>
      <w:marLeft w:val="0"/>
      <w:marRight w:val="0"/>
      <w:marTop w:val="0"/>
      <w:marBottom w:val="0"/>
      <w:divBdr>
        <w:top w:val="none" w:sz="0" w:space="0" w:color="auto"/>
        <w:left w:val="none" w:sz="0" w:space="0" w:color="auto"/>
        <w:bottom w:val="none" w:sz="0" w:space="0" w:color="auto"/>
        <w:right w:val="none" w:sz="0" w:space="0" w:color="auto"/>
      </w:divBdr>
    </w:div>
    <w:div w:id="1538855174">
      <w:bodyDiv w:val="1"/>
      <w:marLeft w:val="0"/>
      <w:marRight w:val="0"/>
      <w:marTop w:val="0"/>
      <w:marBottom w:val="0"/>
      <w:divBdr>
        <w:top w:val="none" w:sz="0" w:space="0" w:color="auto"/>
        <w:left w:val="none" w:sz="0" w:space="0" w:color="auto"/>
        <w:bottom w:val="none" w:sz="0" w:space="0" w:color="auto"/>
        <w:right w:val="none" w:sz="0" w:space="0" w:color="auto"/>
      </w:divBdr>
    </w:div>
    <w:div w:id="1651712826">
      <w:bodyDiv w:val="1"/>
      <w:marLeft w:val="0"/>
      <w:marRight w:val="0"/>
      <w:marTop w:val="0"/>
      <w:marBottom w:val="0"/>
      <w:divBdr>
        <w:top w:val="none" w:sz="0" w:space="0" w:color="auto"/>
        <w:left w:val="none" w:sz="0" w:space="0" w:color="auto"/>
        <w:bottom w:val="none" w:sz="0" w:space="0" w:color="auto"/>
        <w:right w:val="none" w:sz="0" w:space="0" w:color="auto"/>
      </w:divBdr>
    </w:div>
    <w:div w:id="1656378134">
      <w:bodyDiv w:val="1"/>
      <w:marLeft w:val="0"/>
      <w:marRight w:val="0"/>
      <w:marTop w:val="0"/>
      <w:marBottom w:val="0"/>
      <w:divBdr>
        <w:top w:val="none" w:sz="0" w:space="0" w:color="auto"/>
        <w:left w:val="none" w:sz="0" w:space="0" w:color="auto"/>
        <w:bottom w:val="none" w:sz="0" w:space="0" w:color="auto"/>
        <w:right w:val="none" w:sz="0" w:space="0" w:color="auto"/>
      </w:divBdr>
    </w:div>
    <w:div w:id="1862163225">
      <w:bodyDiv w:val="1"/>
      <w:marLeft w:val="0"/>
      <w:marRight w:val="0"/>
      <w:marTop w:val="0"/>
      <w:marBottom w:val="0"/>
      <w:divBdr>
        <w:top w:val="none" w:sz="0" w:space="0" w:color="auto"/>
        <w:left w:val="none" w:sz="0" w:space="0" w:color="auto"/>
        <w:bottom w:val="none" w:sz="0" w:space="0" w:color="auto"/>
        <w:right w:val="none" w:sz="0" w:space="0" w:color="auto"/>
      </w:divBdr>
    </w:div>
    <w:div w:id="2030249947">
      <w:bodyDiv w:val="1"/>
      <w:marLeft w:val="0"/>
      <w:marRight w:val="0"/>
      <w:marTop w:val="0"/>
      <w:marBottom w:val="0"/>
      <w:divBdr>
        <w:top w:val="none" w:sz="0" w:space="0" w:color="auto"/>
        <w:left w:val="none" w:sz="0" w:space="0" w:color="auto"/>
        <w:bottom w:val="none" w:sz="0" w:space="0" w:color="auto"/>
        <w:right w:val="none" w:sz="0" w:space="0" w:color="auto"/>
      </w:divBdr>
      <w:divsChild>
        <w:div w:id="1129006031">
          <w:marLeft w:val="0"/>
          <w:marRight w:val="0"/>
          <w:marTop w:val="0"/>
          <w:marBottom w:val="0"/>
          <w:divBdr>
            <w:top w:val="none" w:sz="0" w:space="0" w:color="auto"/>
            <w:left w:val="none" w:sz="0" w:space="0" w:color="auto"/>
            <w:bottom w:val="none" w:sz="0" w:space="0" w:color="auto"/>
            <w:right w:val="none" w:sz="0" w:space="0" w:color="auto"/>
          </w:divBdr>
          <w:divsChild>
            <w:div w:id="1897468047">
              <w:marLeft w:val="0"/>
              <w:marRight w:val="0"/>
              <w:marTop w:val="0"/>
              <w:marBottom w:val="0"/>
              <w:divBdr>
                <w:top w:val="none" w:sz="0" w:space="0" w:color="auto"/>
                <w:left w:val="none" w:sz="0" w:space="0" w:color="auto"/>
                <w:bottom w:val="none" w:sz="0" w:space="0" w:color="auto"/>
                <w:right w:val="none" w:sz="0" w:space="0" w:color="auto"/>
              </w:divBdr>
              <w:divsChild>
                <w:div w:id="843057816">
                  <w:marLeft w:val="0"/>
                  <w:marRight w:val="0"/>
                  <w:marTop w:val="0"/>
                  <w:marBottom w:val="0"/>
                  <w:divBdr>
                    <w:top w:val="none" w:sz="0" w:space="0" w:color="auto"/>
                    <w:left w:val="none" w:sz="0" w:space="0" w:color="auto"/>
                    <w:bottom w:val="none" w:sz="0" w:space="0" w:color="auto"/>
                    <w:right w:val="none" w:sz="0" w:space="0" w:color="auto"/>
                  </w:divBdr>
                  <w:divsChild>
                    <w:div w:id="1423456281">
                      <w:marLeft w:val="0"/>
                      <w:marRight w:val="0"/>
                      <w:marTop w:val="0"/>
                      <w:marBottom w:val="0"/>
                      <w:divBdr>
                        <w:top w:val="none" w:sz="0" w:space="0" w:color="auto"/>
                        <w:left w:val="none" w:sz="0" w:space="0" w:color="auto"/>
                        <w:bottom w:val="none" w:sz="0" w:space="0" w:color="auto"/>
                        <w:right w:val="none" w:sz="0" w:space="0" w:color="auto"/>
                      </w:divBdr>
                      <w:divsChild>
                        <w:div w:id="1109200495">
                          <w:marLeft w:val="0"/>
                          <w:marRight w:val="0"/>
                          <w:marTop w:val="0"/>
                          <w:marBottom w:val="0"/>
                          <w:divBdr>
                            <w:top w:val="none" w:sz="0" w:space="0" w:color="auto"/>
                            <w:left w:val="none" w:sz="0" w:space="0" w:color="auto"/>
                            <w:bottom w:val="none" w:sz="0" w:space="0" w:color="auto"/>
                            <w:right w:val="none" w:sz="0" w:space="0" w:color="auto"/>
                          </w:divBdr>
                          <w:divsChild>
                            <w:div w:id="1957829495">
                              <w:marLeft w:val="0"/>
                              <w:marRight w:val="0"/>
                              <w:marTop w:val="0"/>
                              <w:marBottom w:val="0"/>
                              <w:divBdr>
                                <w:top w:val="none" w:sz="0" w:space="0" w:color="auto"/>
                                <w:left w:val="none" w:sz="0" w:space="0" w:color="auto"/>
                                <w:bottom w:val="none" w:sz="0" w:space="0" w:color="auto"/>
                                <w:right w:val="none" w:sz="0" w:space="0" w:color="auto"/>
                              </w:divBdr>
                              <w:divsChild>
                                <w:div w:id="63912811">
                                  <w:marLeft w:val="0"/>
                                  <w:marRight w:val="0"/>
                                  <w:marTop w:val="0"/>
                                  <w:marBottom w:val="0"/>
                                  <w:divBdr>
                                    <w:top w:val="none" w:sz="0" w:space="0" w:color="auto"/>
                                    <w:left w:val="none" w:sz="0" w:space="0" w:color="auto"/>
                                    <w:bottom w:val="none" w:sz="0" w:space="0" w:color="auto"/>
                                    <w:right w:val="none" w:sz="0" w:space="0" w:color="auto"/>
                                  </w:divBdr>
                                </w:div>
                                <w:div w:id="19211787">
                                  <w:marLeft w:val="31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wning.Kevin@deq.state.or.u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egon.gov/deq/RulesandRegulations/Pages/2013/DESLGRNT.aspx" TargetMode="External"/><Relationship Id="rId5" Type="http://schemas.openxmlformats.org/officeDocument/2006/relationships/styles" Target="styles.xml"/><Relationship Id="rId10" Type="http://schemas.openxmlformats.org/officeDocument/2006/relationships/hyperlink" Target="mailto:Downing.Kevin@deq.state.or.us" TargetMode="External"/><Relationship Id="rId4" Type="http://schemas.openxmlformats.org/officeDocument/2006/relationships/numbering" Target="numbering.xml"/><Relationship Id="rId9" Type="http://schemas.openxmlformats.org/officeDocument/2006/relationships/hyperlink" Target="http://www.oregon.gov/deq/RulesandRegulations/Pages/2013/DESLGRN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0ED9F0E59A94479762C101FB0B2B29" ma:contentTypeVersion="" ma:contentTypeDescription="Create a new document." ma:contentTypeScope="" ma:versionID="209e93f589016b59f9ab3d6fe49be7b8">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Props1.xml><?xml version="1.0" encoding="utf-8"?>
<ds:datastoreItem xmlns:ds="http://schemas.openxmlformats.org/officeDocument/2006/customXml" ds:itemID="{97F2CD58-400D-4632-A24A-4C09CE0E9C69}">
  <ds:schemaRefs>
    <ds:schemaRef ds:uri="http://schemas.microsoft.com/sharepoint/v3/contenttype/forms"/>
  </ds:schemaRefs>
</ds:datastoreItem>
</file>

<file path=customXml/itemProps2.xml><?xml version="1.0" encoding="utf-8"?>
<ds:datastoreItem xmlns:ds="http://schemas.openxmlformats.org/officeDocument/2006/customXml" ds:itemID="{FD101548-C2A1-4E73-A186-494A94408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3688EF-A4D7-4AC7-8AD0-E62AC56909A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Mary-Frances Makichen</dc:creator>
  <cp:lastModifiedBy>ACurtis</cp:lastModifiedBy>
  <cp:revision>2</cp:revision>
  <dcterms:created xsi:type="dcterms:W3CDTF">2013-09-05T19:21:00Z</dcterms:created>
  <dcterms:modified xsi:type="dcterms:W3CDTF">2013-09-05T19:21:00Z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0x010100040ED9F0E59A94479762C101FB0B2B29</vt:lpwstr>
  </property>
</Properties>
</file>