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0878CA"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A27412" w:rsidRPr="00C74D58" w:rsidRDefault="00A27412"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A27412" w:rsidRPr="00C74D58" w:rsidRDefault="00A27412" w:rsidP="00250E7E">
                  <w:pPr>
                    <w:tabs>
                      <w:tab w:val="left" w:pos="908"/>
                      <w:tab w:val="left" w:pos="16582"/>
                    </w:tabs>
                    <w:ind w:left="108"/>
                    <w:jc w:val="center"/>
                    <w:rPr>
                      <w:rFonts w:ascii="Times New Roman" w:eastAsia="Times New Roman" w:hAnsi="Times New Roman"/>
                      <w:b/>
                      <w:color w:val="000000"/>
                    </w:rPr>
                  </w:pPr>
                </w:p>
                <w:p w:rsidR="00A27412" w:rsidRPr="00A019B4" w:rsidRDefault="00A27412"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 16-17, 2013</w:t>
                  </w:r>
                </w:p>
                <w:p w:rsidR="00A27412" w:rsidRPr="00A019B4" w:rsidRDefault="00A27412"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A27412" w:rsidRPr="00A019B4" w:rsidRDefault="00A27412"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r w:rsidRPr="00F86323">
                    <w:rPr>
                      <w:rFonts w:eastAsia="Times New Roman"/>
                      <w:bCs/>
                      <w:color w:val="00494F"/>
                      <w:sz w:val="28"/>
                      <w:szCs w:val="28"/>
                      <w:highlight w:val="yellow"/>
                    </w:rPr>
                    <w:t>#XX</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Default="00F86323" w:rsidP="00D0141A">
      <w:pPr>
        <w:ind w:left="0"/>
        <w:jc w:val="center"/>
      </w:pPr>
      <w:r>
        <w:rPr>
          <w:rFonts w:asciiTheme="majorHAnsi" w:hAnsiTheme="majorHAnsi" w:cstheme="majorHAnsi"/>
          <w:b/>
          <w:sz w:val="22"/>
          <w:szCs w:val="22"/>
        </w:rPr>
        <w:t xml:space="preserve">Increase </w:t>
      </w:r>
      <w:r w:rsidRPr="000303B0">
        <w:rPr>
          <w:rFonts w:asciiTheme="majorHAnsi" w:hAnsiTheme="majorHAnsi" w:cstheme="majorHAnsi"/>
          <w:b/>
          <w:sz w:val="22"/>
          <w:szCs w:val="22"/>
        </w:rPr>
        <w:t>water quality permit fees to address program costs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267B62" w:rsidRDefault="00267B62" w:rsidP="002B4E66">
      <w:pPr>
        <w:spacing w:after="120"/>
        <w:ind w:left="0"/>
        <w:outlineLvl w:val="0"/>
        <w:rPr>
          <w:rFonts w:ascii="Times New Roman" w:eastAsia="Times New Roman" w:hAnsi="Times New Roman"/>
          <w:color w:val="000000"/>
        </w:rPr>
      </w:pPr>
    </w:p>
    <w:p w:rsidR="002B4E66" w:rsidRPr="00304A23" w:rsidRDefault="002B4E66" w:rsidP="002B4E66">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w:t>
      </w:r>
      <w:r>
        <w:rPr>
          <w:rFonts w:ascii="Times New Roman" w:eastAsia="Times New Roman" w:hAnsi="Times New Roman"/>
          <w:color w:val="000000"/>
        </w:rPr>
        <w:t>vironmental Quality Commission:</w:t>
      </w:r>
      <w:r w:rsidRPr="00304A23">
        <w:rPr>
          <w:rFonts w:ascii="Times New Roman" w:eastAsia="Times New Roman" w:hAnsi="Times New Roman"/>
          <w:color w:val="000000"/>
        </w:rPr>
        <w:t xml:space="preserve">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267B62" w:rsidRDefault="000878CA" w:rsidP="002B4E66">
      <w:pPr>
        <w:spacing w:after="120"/>
        <w:ind w:left="720"/>
        <w:outlineLvl w:val="0"/>
        <w:rPr>
          <w:rFonts w:ascii="Times New Roman" w:eastAsia="Times New Roman" w:hAnsi="Times New Roman"/>
          <w:color w:val="000000"/>
        </w:rPr>
      </w:pPr>
      <w:sdt>
        <w:sdtPr>
          <w:rPr>
            <w:rFonts w:ascii="Times New Roman" w:eastAsia="Times New Roman" w:hAnsi="Times New Roman"/>
            <w:color w:val="000000" w:themeColor="text1"/>
          </w:rPr>
          <w:alias w:val="Recommendation"/>
          <w:tag w:val="Recommendation"/>
          <w:id w:val="100334696"/>
          <w:placeholder>
            <w:docPart w:val="72F79D22C5334D5294A0968968E4D98A"/>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B4E66">
            <w:rPr>
              <w:rFonts w:ascii="Times New Roman" w:eastAsia="Times New Roman" w:hAnsi="Times New Roman"/>
              <w:color w:val="000000" w:themeColor="text1"/>
            </w:rPr>
            <w:t>Adopt the proposed PERMANENT rules in Attachment A as part of chapter 340 of the Oregon Administrative Rules.</w:t>
          </w:r>
        </w:sdtContent>
      </w:sdt>
      <w:r w:rsidR="002B4E66" w:rsidRPr="00C74D58">
        <w:rPr>
          <w:rFonts w:ascii="Times New Roman" w:eastAsia="Times New Roman" w:hAnsi="Times New Roman"/>
          <w:bCs/>
          <w:color w:val="000000"/>
        </w:rPr>
        <w:tab/>
      </w:r>
      <w:r w:rsidR="002B4E66" w:rsidRPr="00C74D58">
        <w:rPr>
          <w:rFonts w:ascii="Times New Roman" w:eastAsia="Times New Roman" w:hAnsi="Times New Roman"/>
          <w:bCs/>
          <w:color w:val="000000"/>
          <w:sz w:val="28"/>
          <w:szCs w:val="28"/>
        </w:rPr>
        <w:t> </w:t>
      </w:r>
    </w:p>
    <w:p w:rsidR="00CF52D4" w:rsidRDefault="00CF52D4" w:rsidP="00CF52D4">
      <w:pPr>
        <w:jc w:val="center"/>
      </w:pPr>
    </w:p>
    <w:tbl>
      <w:tblPr>
        <w:tblW w:w="12335" w:type="dxa"/>
        <w:tblInd w:w="-702" w:type="dxa"/>
        <w:tblLook w:val="04A0"/>
      </w:tblPr>
      <w:tblGrid>
        <w:gridCol w:w="12335"/>
      </w:tblGrid>
      <w:tr w:rsidR="00CF52D4" w:rsidRPr="00C74D58" w:rsidTr="00CF52D4">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F52D4" w:rsidRPr="0085122C" w:rsidRDefault="00CF52D4" w:rsidP="00CF52D4">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CF52D4" w:rsidRDefault="00CF52D4" w:rsidP="00CF52D4">
      <w:pPr>
        <w:ind w:left="0"/>
      </w:pPr>
    </w:p>
    <w:p w:rsidR="002B4E66" w:rsidRDefault="002B4E66" w:rsidP="00CF52D4">
      <w:pPr>
        <w:ind w:left="0"/>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F52D4" w:rsidRPr="002B4E66" w:rsidRDefault="00CF52D4" w:rsidP="002B4E66">
      <w:pPr>
        <w:ind w:left="1080" w:right="720"/>
        <w:rPr>
          <w:rFonts w:asciiTheme="minorHAnsi" w:hAnsiTheme="minorHAnsi" w:cstheme="minorHAnsi"/>
        </w:rPr>
      </w:pPr>
      <w:r w:rsidRPr="00AB0850">
        <w:rPr>
          <w:rFonts w:asciiTheme="minorHAnsi" w:hAnsiTheme="minorHAnsi" w:cstheme="minorHAnsi"/>
        </w:rPr>
        <w:t xml:space="preserve">DEQ </w:t>
      </w:r>
      <w:r>
        <w:rPr>
          <w:rFonts w:asciiTheme="minorHAnsi" w:hAnsiTheme="minorHAnsi" w:cstheme="minorHAnsi"/>
        </w:rPr>
        <w:t>proposes increasing most</w:t>
      </w:r>
      <w:r w:rsidRPr="00AB0850">
        <w:rPr>
          <w:rFonts w:asciiTheme="minorHAnsi" w:hAnsiTheme="minorHAnsi" w:cstheme="minorHAnsi"/>
        </w:rPr>
        <w:t xml:space="preserve"> </w:t>
      </w:r>
      <w:r>
        <w:rPr>
          <w:rFonts w:asciiTheme="minorHAnsi" w:hAnsiTheme="minorHAnsi" w:cstheme="minorHAnsi"/>
        </w:rPr>
        <w:t>w</w:t>
      </w:r>
      <w:r w:rsidRPr="00AB0850">
        <w:rPr>
          <w:rFonts w:asciiTheme="minorHAnsi" w:hAnsiTheme="minorHAnsi" w:cstheme="minorHAnsi"/>
        </w:rPr>
        <w:t xml:space="preserve">ater </w:t>
      </w:r>
      <w:r>
        <w:rPr>
          <w:rFonts w:asciiTheme="minorHAnsi" w:hAnsiTheme="minorHAnsi" w:cstheme="minorHAnsi"/>
        </w:rPr>
        <w:t>q</w:t>
      </w:r>
      <w:r w:rsidRPr="00AB0850">
        <w:rPr>
          <w:rFonts w:asciiTheme="minorHAnsi" w:hAnsiTheme="minorHAnsi" w:cstheme="minorHAnsi"/>
        </w:rPr>
        <w:t xml:space="preserve">uality </w:t>
      </w:r>
      <w:r>
        <w:rPr>
          <w:rFonts w:asciiTheme="minorHAnsi" w:hAnsiTheme="minorHAnsi" w:cstheme="minorHAnsi"/>
        </w:rPr>
        <w:t xml:space="preserve">permit fees by </w:t>
      </w:r>
      <w:r w:rsidRPr="00AB0850">
        <w:rPr>
          <w:rFonts w:asciiTheme="minorHAnsi" w:hAnsiTheme="minorHAnsi" w:cstheme="minorHAnsi"/>
        </w:rPr>
        <w:t>2.9 percent</w:t>
      </w:r>
      <w:r>
        <w:rPr>
          <w:rFonts w:asciiTheme="minorHAnsi" w:hAnsiTheme="minorHAnsi" w:cstheme="minorHAnsi"/>
        </w:rPr>
        <w:t>.</w:t>
      </w:r>
    </w:p>
    <w:p w:rsidR="00CF52D4" w:rsidRPr="004D1140" w:rsidRDefault="00CF52D4" w:rsidP="00CF52D4">
      <w:pPr>
        <w:pStyle w:val="ListParagraph"/>
        <w:ind w:left="1800" w:right="720"/>
        <w:rPr>
          <w:rFonts w:asciiTheme="minorHAnsi" w:hAnsiTheme="minorHAnsi" w:cstheme="minorHAnsi"/>
        </w:rPr>
      </w:pPr>
    </w:p>
    <w:p w:rsidR="00CF52D4" w:rsidRPr="00225AE8" w:rsidRDefault="00CF52D4" w:rsidP="00CF52D4">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F52D4" w:rsidRDefault="00CF52D4" w:rsidP="00CF52D4">
      <w:pPr>
        <w:pStyle w:val="ListParagraph"/>
        <w:ind w:left="1080" w:right="720"/>
        <w:rPr>
          <w:rFonts w:ascii="Times New Roman" w:hAnsi="Times New Roman"/>
        </w:rPr>
      </w:pPr>
      <w:r w:rsidRPr="007C3AC9">
        <w:rPr>
          <w:rFonts w:ascii="Times New Roman" w:hAnsi="Times New Roman"/>
        </w:rPr>
        <w:t>In 2002, DEQ convened the Blue Ribbon Committee on Wastewater Permitting to recommend improvements to DEQ’s water quality permit program</w:t>
      </w:r>
      <w:r>
        <w:rPr>
          <w:rFonts w:ascii="Times New Roman" w:hAnsi="Times New Roman"/>
        </w:rPr>
        <w:t xml:space="preserve">. The committee included </w:t>
      </w:r>
      <w:r w:rsidRPr="007C3AC9">
        <w:rPr>
          <w:rFonts w:ascii="Times New Roman" w:hAnsi="Times New Roman"/>
        </w:rPr>
        <w:t>industry, environmental and local government representatives</w:t>
      </w:r>
      <w:r>
        <w:rPr>
          <w:rFonts w:ascii="Times New Roman" w:hAnsi="Times New Roman"/>
        </w:rPr>
        <w:t xml:space="preserve">. </w:t>
      </w:r>
      <w:r w:rsidRPr="007C3AC9">
        <w:rPr>
          <w:rFonts w:ascii="Times New Roman" w:hAnsi="Times New Roman"/>
        </w:rPr>
        <w:t>In 2004, the committee published a report containing a variety of recommendations</w:t>
      </w:r>
      <w:r>
        <w:rPr>
          <w:rFonts w:ascii="Times New Roman" w:hAnsi="Times New Roman"/>
        </w:rPr>
        <w:t>,</w:t>
      </w:r>
      <w:r w:rsidRPr="007C3AC9">
        <w:rPr>
          <w:rFonts w:ascii="Times New Roman" w:hAnsi="Times New Roman"/>
        </w:rPr>
        <w:t xml:space="preserve"> including increasing f</w:t>
      </w:r>
      <w:r>
        <w:rPr>
          <w:rFonts w:ascii="Times New Roman" w:hAnsi="Times New Roman"/>
        </w:rPr>
        <w:t>ee revenue by no more than 3</w:t>
      </w:r>
      <w:r w:rsidRPr="007C3AC9">
        <w:rPr>
          <w:rFonts w:ascii="Times New Roman" w:hAnsi="Times New Roman"/>
        </w:rPr>
        <w:t xml:space="preserve"> percent each year to ad</w:t>
      </w:r>
      <w:r>
        <w:rPr>
          <w:rFonts w:ascii="Times New Roman" w:hAnsi="Times New Roman"/>
        </w:rPr>
        <w:t xml:space="preserve">dress increasing program costs. </w:t>
      </w:r>
      <w:r w:rsidRPr="007C3AC9">
        <w:rPr>
          <w:rFonts w:ascii="Times New Roman" w:hAnsi="Times New Roman"/>
        </w:rPr>
        <w:t>The annual fee increase recommendation was adopted into law in 2005</w:t>
      </w:r>
      <w:r>
        <w:rPr>
          <w:rFonts w:ascii="Times New Roman" w:hAnsi="Times New Roman"/>
        </w:rPr>
        <w:t xml:space="preserve">. To address </w:t>
      </w:r>
      <w:r w:rsidRPr="007C3AC9">
        <w:rPr>
          <w:rFonts w:ascii="Times New Roman" w:hAnsi="Times New Roman"/>
        </w:rPr>
        <w:t>increasing program costs</w:t>
      </w:r>
      <w:r>
        <w:rPr>
          <w:rFonts w:ascii="Times New Roman" w:hAnsi="Times New Roman"/>
        </w:rPr>
        <w:t xml:space="preserve">, </w:t>
      </w:r>
      <w:r w:rsidRPr="007C3AC9">
        <w:rPr>
          <w:rFonts w:ascii="Times New Roman" w:hAnsi="Times New Roman"/>
        </w:rPr>
        <w:t>DEQ implemented fee increases in 2007, 2008, 2010</w:t>
      </w:r>
      <w:r>
        <w:rPr>
          <w:rFonts w:ascii="Times New Roman" w:hAnsi="Times New Roman"/>
        </w:rPr>
        <w:t xml:space="preserve">, </w:t>
      </w:r>
      <w:r w:rsidRPr="007C3AC9">
        <w:rPr>
          <w:rFonts w:ascii="Times New Roman" w:hAnsi="Times New Roman"/>
        </w:rPr>
        <w:t>2011</w:t>
      </w:r>
      <w:r>
        <w:rPr>
          <w:rFonts w:ascii="Times New Roman" w:hAnsi="Times New Roman"/>
        </w:rPr>
        <w:t xml:space="preserve"> and 2012 and proposes this 2013 permit fee increase of 2.9 percent.  </w:t>
      </w:r>
    </w:p>
    <w:p w:rsidR="00CF52D4" w:rsidRDefault="00CF52D4" w:rsidP="00CF52D4">
      <w:pPr>
        <w:ind w:left="0" w:right="720"/>
        <w:outlineLvl w:val="0"/>
        <w:rPr>
          <w:rFonts w:ascii="Times New Roman" w:eastAsia="Times New Roman" w:hAnsi="Times New Roman" w:cs="Times New Roman"/>
        </w:rPr>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CF52D4" w:rsidRPr="00AB0850" w:rsidRDefault="00CF52D4" w:rsidP="00CF52D4">
      <w:pPr>
        <w:ind w:left="1080" w:right="720"/>
        <w:rPr>
          <w:rFonts w:ascii="Times New Roman" w:hAnsi="Times New Roman" w:cs="Times New Roman"/>
          <w:bCs/>
        </w:rPr>
      </w:pPr>
      <w:r w:rsidRPr="00AB0850">
        <w:rPr>
          <w:rFonts w:ascii="Times New Roman" w:eastAsia="Times New Roman" w:hAnsi="Times New Roman" w:cs="Times New Roman"/>
        </w:rPr>
        <w:t xml:space="preserve">Regulated parties include </w:t>
      </w:r>
      <w:r w:rsidRPr="00AB0850">
        <w:rPr>
          <w:rFonts w:ascii="Times New Roman" w:hAnsi="Times New Roman" w:cs="Times New Roman"/>
          <w:bCs/>
        </w:rPr>
        <w:t>individuals, private businesses and government agencies.</w:t>
      </w:r>
    </w:p>
    <w:p w:rsidR="00CF52D4" w:rsidRPr="00AB0850" w:rsidRDefault="00CF52D4" w:rsidP="00CF52D4">
      <w:pPr>
        <w:ind w:left="1080" w:right="720"/>
        <w:rPr>
          <w:rFonts w:ascii="Times New Roman" w:hAnsi="Times New Roman" w:cs="Times New Roman"/>
        </w:rPr>
      </w:pPr>
    </w:p>
    <w:p w:rsidR="00CF52D4" w:rsidRDefault="00CF52D4" w:rsidP="00CF52D4">
      <w:pPr>
        <w:autoSpaceDE w:val="0"/>
        <w:autoSpaceDN w:val="0"/>
        <w:adjustRightInd w:val="0"/>
        <w:ind w:left="1080" w:right="720"/>
        <w:rPr>
          <w:rFonts w:ascii="Times New Roman" w:hAnsi="Times New Roman" w:cs="Times New Roman"/>
          <w:color w:val="000000"/>
        </w:rPr>
      </w:pPr>
      <w:r w:rsidRPr="00AB0850">
        <w:rPr>
          <w:rFonts w:ascii="Times New Roman" w:hAnsi="Times New Roman" w:cs="Times New Roman"/>
          <w:color w:val="000000"/>
        </w:rPr>
        <w:t>Permit fees would increase for most National Pollutant Discharge Elimination System, Water Pollution Control Facility, and WPC</w:t>
      </w:r>
      <w:r>
        <w:rPr>
          <w:rFonts w:ascii="Times New Roman" w:hAnsi="Times New Roman" w:cs="Times New Roman"/>
          <w:color w:val="000000"/>
        </w:rPr>
        <w:t>F-Onsite septic system permits. The fee increase would not affect:</w:t>
      </w:r>
    </w:p>
    <w:p w:rsidR="00CF52D4" w:rsidRDefault="00CF52D4" w:rsidP="00CF52D4">
      <w:pPr>
        <w:pStyle w:val="ListParagraph"/>
        <w:numPr>
          <w:ilvl w:val="3"/>
          <w:numId w:val="31"/>
        </w:numPr>
        <w:autoSpaceDE w:val="0"/>
        <w:autoSpaceDN w:val="0"/>
        <w:adjustRightInd w:val="0"/>
        <w:spacing w:after="120"/>
        <w:ind w:left="1800" w:right="720"/>
        <w:contextualSpacing w:val="0"/>
        <w:rPr>
          <w:rFonts w:ascii="Times New Roman" w:hAnsi="Times New Roman" w:cs="Times New Roman"/>
          <w:color w:val="000000"/>
        </w:rPr>
      </w:pPr>
      <w:r w:rsidRPr="00DB3741">
        <w:rPr>
          <w:rFonts w:ascii="Times New Roman" w:hAnsi="Times New Roman" w:cs="Times New Roman"/>
          <w:color w:val="000000"/>
        </w:rPr>
        <w:t>Suction dredge (700-PM) permits</w:t>
      </w:r>
      <w:r>
        <w:rPr>
          <w:rFonts w:ascii="Times New Roman" w:hAnsi="Times New Roman" w:cs="Times New Roman"/>
          <w:color w:val="000000"/>
        </w:rPr>
        <w:t xml:space="preserve">. These fees </w:t>
      </w:r>
      <w:r w:rsidRPr="00DB3741">
        <w:rPr>
          <w:rFonts w:ascii="Times New Roman" w:hAnsi="Times New Roman" w:cs="Times New Roman"/>
          <w:color w:val="000000"/>
        </w:rPr>
        <w:t xml:space="preserve">are set in statute and can only be changed by the Oregon Legislature. </w:t>
      </w:r>
    </w:p>
    <w:p w:rsidR="00CF52D4" w:rsidRDefault="00CF52D4" w:rsidP="00CF52D4">
      <w:pPr>
        <w:pStyle w:val="ListParagraph"/>
        <w:numPr>
          <w:ilvl w:val="0"/>
          <w:numId w:val="31"/>
        </w:numPr>
        <w:autoSpaceDE w:val="0"/>
        <w:autoSpaceDN w:val="0"/>
        <w:adjustRightInd w:val="0"/>
        <w:spacing w:after="120"/>
        <w:ind w:right="720"/>
        <w:contextualSpacing w:val="0"/>
        <w:rPr>
          <w:rFonts w:ascii="Times New Roman" w:hAnsi="Times New Roman" w:cs="Times New Roman"/>
          <w:color w:val="000000"/>
        </w:rPr>
      </w:pPr>
      <w:r w:rsidRPr="00DB3741">
        <w:rPr>
          <w:rFonts w:ascii="Times New Roman" w:hAnsi="Times New Roman" w:cs="Times New Roman"/>
          <w:color w:val="000000"/>
        </w:rPr>
        <w:t>Graywater (2401 and 2402) permits</w:t>
      </w:r>
      <w:r>
        <w:rPr>
          <w:rFonts w:ascii="Times New Roman" w:hAnsi="Times New Roman" w:cs="Times New Roman"/>
          <w:color w:val="000000"/>
        </w:rPr>
        <w:t xml:space="preserve"> </w:t>
      </w:r>
      <w:r w:rsidRPr="00DB3741">
        <w:rPr>
          <w:rFonts w:ascii="Times New Roman" w:hAnsi="Times New Roman" w:cs="Times New Roman"/>
          <w:color w:val="000000"/>
        </w:rPr>
        <w:t xml:space="preserve">in an effort to encourage graywater reuse permitting. </w:t>
      </w:r>
    </w:p>
    <w:p w:rsidR="00CF52D4" w:rsidRPr="002B4E66" w:rsidRDefault="00CF52D4" w:rsidP="002B4E66">
      <w:pPr>
        <w:pStyle w:val="ListParagraph"/>
        <w:numPr>
          <w:ilvl w:val="0"/>
          <w:numId w:val="31"/>
        </w:numPr>
        <w:autoSpaceDE w:val="0"/>
        <w:autoSpaceDN w:val="0"/>
        <w:adjustRightInd w:val="0"/>
        <w:spacing w:after="120"/>
        <w:ind w:right="720"/>
        <w:contextualSpacing w:val="0"/>
        <w:rPr>
          <w:rFonts w:ascii="Times New Roman" w:hAnsi="Times New Roman" w:cs="Times New Roman"/>
          <w:color w:val="000000"/>
        </w:rPr>
      </w:pPr>
      <w:r>
        <w:rPr>
          <w:rFonts w:ascii="Times New Roman" w:hAnsi="Times New Roman" w:cs="Times New Roman"/>
        </w:rPr>
        <w:t>S</w:t>
      </w:r>
      <w:r w:rsidRPr="009F15A8">
        <w:rPr>
          <w:rFonts w:ascii="Times New Roman" w:hAnsi="Times New Roman" w:cs="Times New Roman"/>
        </w:rPr>
        <w:t>mall offstream mining operations (WPCF 600)</w:t>
      </w:r>
      <w:r>
        <w:rPr>
          <w:rFonts w:ascii="Times New Roman" w:hAnsi="Times New Roman" w:cs="Times New Roman"/>
          <w:color w:val="000000"/>
        </w:rPr>
        <w:t xml:space="preserve">. </w:t>
      </w:r>
      <w:r w:rsidRPr="00DB3741">
        <w:rPr>
          <w:rFonts w:ascii="Times New Roman" w:hAnsi="Times New Roman" w:cs="Times New Roman"/>
        </w:rPr>
        <w:t xml:space="preserve">There are no application fees or annual fees.  </w:t>
      </w:r>
    </w:p>
    <w:tbl>
      <w:tblPr>
        <w:tblW w:w="12240" w:type="dxa"/>
        <w:tblInd w:w="-612" w:type="dxa"/>
        <w:tblLook w:val="04A0"/>
      </w:tblPr>
      <w:tblGrid>
        <w:gridCol w:w="12240"/>
      </w:tblGrid>
      <w:tr w:rsidR="00CF52D4" w:rsidRPr="00B15DF7" w:rsidTr="00CF52D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C933AC" w:rsidRDefault="00CF52D4" w:rsidP="00CF52D4">
            <w:pPr>
              <w:ind w:left="0" w:right="72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CF52D4" w:rsidRPr="001B08A2" w:rsidRDefault="00CF52D4" w:rsidP="00CF52D4">
      <w:pPr>
        <w:tabs>
          <w:tab w:val="left" w:pos="4000"/>
        </w:tabs>
        <w:spacing w:after="120"/>
        <w:ind w:left="0" w:right="720"/>
        <w:rPr>
          <w:rFonts w:asciiTheme="majorHAnsi" w:hAnsiTheme="majorHAnsi" w:cstheme="majorHAnsi"/>
          <w:color w:val="808080" w:themeColor="background1" w:themeShade="80"/>
          <w:highlight w:val="yellow"/>
        </w:rPr>
      </w:pPr>
    </w:p>
    <w:p w:rsidR="00CF52D4" w:rsidRPr="00C10049" w:rsidRDefault="00CF52D4" w:rsidP="002B4E66">
      <w:pPr>
        <w:spacing w:after="120"/>
        <w:ind w:left="1080" w:right="720" w:hanging="36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What problem is DEQ trying to solve?</w:t>
      </w:r>
    </w:p>
    <w:p w:rsidR="00CF52D4" w:rsidRPr="00AB0850" w:rsidRDefault="00CF52D4" w:rsidP="002B4E66">
      <w:pPr>
        <w:spacing w:after="120"/>
        <w:ind w:left="1080" w:right="720"/>
        <w:rPr>
          <w:rFonts w:ascii="Times New Roman" w:hAnsi="Times New Roman" w:cs="Times New Roman"/>
          <w:color w:val="702C1C" w:themeColor="accent1" w:themeShade="80"/>
        </w:rPr>
      </w:pPr>
      <w:r>
        <w:rPr>
          <w:rFonts w:ascii="Times New Roman" w:hAnsi="Times New Roman" w:cs="Times New Roman"/>
        </w:rPr>
        <w:t xml:space="preserve">Based on a comparison of the </w:t>
      </w:r>
      <w:r w:rsidRPr="00AB0850">
        <w:rPr>
          <w:rFonts w:ascii="Times New Roman" w:hAnsi="Times New Roman" w:cs="Times New Roman"/>
        </w:rPr>
        <w:t xml:space="preserve">2013-15 Governor’s Balanced Budget </w:t>
      </w:r>
      <w:r>
        <w:rPr>
          <w:rFonts w:ascii="Times New Roman" w:hAnsi="Times New Roman" w:cs="Times New Roman"/>
        </w:rPr>
        <w:t xml:space="preserve">and </w:t>
      </w:r>
      <w:r w:rsidRPr="00AB0850">
        <w:rPr>
          <w:rFonts w:ascii="Times New Roman" w:hAnsi="Times New Roman" w:cs="Times New Roman"/>
        </w:rPr>
        <w:t>the 2011-13 Legislatively Adopted Budget</w:t>
      </w:r>
      <w:r>
        <w:rPr>
          <w:rFonts w:ascii="Times New Roman" w:hAnsi="Times New Roman" w:cs="Times New Roman"/>
        </w:rPr>
        <w:t>, the estimated water quality p</w:t>
      </w:r>
      <w:r w:rsidRPr="00AB0850">
        <w:rPr>
          <w:rFonts w:ascii="Times New Roman" w:hAnsi="Times New Roman" w:cs="Times New Roman"/>
        </w:rPr>
        <w:t xml:space="preserve">rogram costs </w:t>
      </w:r>
      <w:r>
        <w:rPr>
          <w:rFonts w:ascii="Times New Roman" w:hAnsi="Times New Roman" w:cs="Times New Roman"/>
        </w:rPr>
        <w:t xml:space="preserve">would </w:t>
      </w:r>
      <w:r w:rsidRPr="00AB0850">
        <w:rPr>
          <w:rFonts w:ascii="Times New Roman" w:hAnsi="Times New Roman" w:cs="Times New Roman"/>
        </w:rPr>
        <w:t xml:space="preserve">increase 7.1 percent per full-time employee </w:t>
      </w:r>
      <w:r>
        <w:rPr>
          <w:rFonts w:ascii="Times New Roman" w:hAnsi="Times New Roman" w:cs="Times New Roman"/>
        </w:rPr>
        <w:t xml:space="preserve">each </w:t>
      </w:r>
      <w:r w:rsidRPr="00AB0850">
        <w:rPr>
          <w:rFonts w:ascii="Times New Roman" w:hAnsi="Times New Roman" w:cs="Times New Roman"/>
        </w:rPr>
        <w:t>fiscal</w:t>
      </w:r>
      <w:r>
        <w:rPr>
          <w:rFonts w:ascii="Times New Roman" w:hAnsi="Times New Roman" w:cs="Times New Roman"/>
        </w:rPr>
        <w:t xml:space="preserve"> year during the 2013-15 biennium.</w:t>
      </w:r>
    </w:p>
    <w:p w:rsidR="00CF52D4" w:rsidRPr="00AB0850" w:rsidRDefault="00CF52D4" w:rsidP="002B4E66">
      <w:pPr>
        <w:autoSpaceDE w:val="0"/>
        <w:autoSpaceDN w:val="0"/>
        <w:adjustRightInd w:val="0"/>
        <w:ind w:left="1080" w:right="720"/>
        <w:rPr>
          <w:rFonts w:ascii="Times New Roman" w:hAnsi="Times New Roman" w:cs="Times New Roman"/>
          <w:color w:val="000000"/>
        </w:rPr>
      </w:pPr>
      <w:r w:rsidRPr="00AB0850">
        <w:rPr>
          <w:rFonts w:ascii="Times New Roman" w:hAnsi="Times New Roman" w:cs="Times New Roman"/>
          <w:color w:val="000000"/>
        </w:rPr>
        <w:t>DEQ analyzed expected cost increases per full-time employee</w:t>
      </w:r>
      <w:r>
        <w:rPr>
          <w:rFonts w:ascii="Times New Roman" w:hAnsi="Times New Roman" w:cs="Times New Roman"/>
          <w:color w:val="000000"/>
        </w:rPr>
        <w:t xml:space="preserve"> </w:t>
      </w:r>
      <w:r w:rsidRPr="00AB0850">
        <w:rPr>
          <w:rFonts w:ascii="Times New Roman" w:hAnsi="Times New Roman" w:cs="Times New Roman"/>
          <w:color w:val="000000"/>
        </w:rPr>
        <w:t>for fiscal year 2014 relative to the costs for fiscal year</w:t>
      </w:r>
      <w:r>
        <w:rPr>
          <w:rFonts w:ascii="Times New Roman" w:hAnsi="Times New Roman" w:cs="Times New Roman"/>
          <w:color w:val="000000"/>
        </w:rPr>
        <w:t xml:space="preserve"> 2013</w:t>
      </w:r>
      <w:r w:rsidRPr="00AB0850">
        <w:rPr>
          <w:rFonts w:ascii="Times New Roman" w:hAnsi="Times New Roman" w:cs="Times New Roman"/>
          <w:color w:val="000000"/>
        </w:rPr>
        <w:t xml:space="preserve"> </w:t>
      </w:r>
      <w:r>
        <w:rPr>
          <w:rFonts w:ascii="Times New Roman" w:hAnsi="Times New Roman" w:cs="Times New Roman"/>
          <w:color w:val="000000"/>
        </w:rPr>
        <w:t>t</w:t>
      </w:r>
      <w:r w:rsidRPr="00AB0850">
        <w:rPr>
          <w:rFonts w:ascii="Times New Roman" w:hAnsi="Times New Roman" w:cs="Times New Roman"/>
          <w:color w:val="000000"/>
        </w:rPr>
        <w:t>o establish the amount of the proposed increase for fiscal year 2014 (July 1, 2013-June 30, 2014)</w:t>
      </w:r>
      <w:r>
        <w:rPr>
          <w:rFonts w:ascii="Times New Roman" w:hAnsi="Times New Roman" w:cs="Times New Roman"/>
          <w:color w:val="000000"/>
        </w:rPr>
        <w:t xml:space="preserve">. </w:t>
      </w:r>
      <w:r w:rsidRPr="00AB0850">
        <w:rPr>
          <w:rFonts w:ascii="Times New Roman" w:hAnsi="Times New Roman" w:cs="Times New Roman"/>
          <w:color w:val="000000"/>
        </w:rPr>
        <w:t xml:space="preserve">The projected increases in personnel services can be attributed to projected increasing costs of salaries and fringe benefits. Cost increases are also projected for services and supplies, such as rent and utilities. The combined effects of the budget categories (see table below) represent a total increase of 7.1 percent in projected costs for fiscal year 2014. </w:t>
      </w:r>
    </w:p>
    <w:p w:rsidR="00CF52D4" w:rsidRDefault="00CF52D4" w:rsidP="00CF52D4">
      <w:pPr>
        <w:spacing w:after="120"/>
        <w:ind w:left="1080" w:right="720" w:firstLine="360"/>
        <w:rPr>
          <w:color w:val="702C1C" w:themeColor="accent1" w:themeShade="80"/>
        </w:rPr>
      </w:pPr>
    </w:p>
    <w:tbl>
      <w:tblPr>
        <w:tblStyle w:val="TableGrid"/>
        <w:tblW w:w="0" w:type="auto"/>
        <w:jc w:val="center"/>
        <w:tblInd w:w="1213" w:type="dxa"/>
        <w:tblBorders>
          <w:top w:val="double" w:sz="4" w:space="0" w:color="auto"/>
          <w:left w:val="double" w:sz="4" w:space="0" w:color="auto"/>
          <w:bottom w:val="double" w:sz="4" w:space="0" w:color="auto"/>
          <w:right w:val="double" w:sz="4" w:space="0" w:color="auto"/>
        </w:tblBorders>
        <w:tblLook w:val="04A0"/>
      </w:tblPr>
      <w:tblGrid>
        <w:gridCol w:w="5567"/>
        <w:gridCol w:w="2160"/>
        <w:gridCol w:w="2070"/>
      </w:tblGrid>
      <w:tr w:rsidR="00CF52D4" w:rsidTr="00CF52D4">
        <w:trPr>
          <w:jc w:val="center"/>
        </w:trPr>
        <w:tc>
          <w:tcPr>
            <w:tcW w:w="5567" w:type="dxa"/>
            <w:tcBorders>
              <w:bottom w:val="single" w:sz="12" w:space="0" w:color="auto"/>
            </w:tcBorders>
            <w:shd w:val="clear" w:color="auto" w:fill="008272"/>
          </w:tcPr>
          <w:p w:rsidR="00CF52D4" w:rsidRDefault="00CF52D4" w:rsidP="00CF52D4">
            <w:pPr>
              <w:spacing w:after="120"/>
              <w:ind w:left="0" w:right="47"/>
              <w:jc w:val="center"/>
              <w:rPr>
                <w:rFonts w:asciiTheme="majorHAnsi" w:hAnsiTheme="majorHAnsi" w:cstheme="majorHAnsi"/>
                <w:b/>
                <w:color w:val="FFFFFF" w:themeColor="background1"/>
                <w:sz w:val="24"/>
                <w:szCs w:val="24"/>
              </w:rPr>
            </w:pPr>
          </w:p>
          <w:p w:rsidR="00CF52D4" w:rsidRPr="00DB3741" w:rsidRDefault="00CF52D4" w:rsidP="00CF52D4">
            <w:pPr>
              <w:spacing w:after="120"/>
              <w:ind w:left="0" w:right="47"/>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Budget Category</w:t>
            </w:r>
          </w:p>
        </w:tc>
        <w:tc>
          <w:tcPr>
            <w:tcW w:w="2160" w:type="dxa"/>
            <w:tcBorders>
              <w:bottom w:val="single" w:sz="12" w:space="0" w:color="auto"/>
            </w:tcBorders>
            <w:shd w:val="clear" w:color="auto" w:fill="008272"/>
          </w:tcPr>
          <w:p w:rsidR="00CF52D4" w:rsidRDefault="00CF52D4" w:rsidP="00CF52D4">
            <w:pPr>
              <w:ind w:left="0" w:right="162"/>
              <w:jc w:val="center"/>
              <w:rPr>
                <w:rFonts w:asciiTheme="majorHAnsi" w:hAnsiTheme="majorHAnsi" w:cstheme="majorHAnsi"/>
                <w:b/>
                <w:color w:val="FFFFFF" w:themeColor="background1"/>
                <w:sz w:val="24"/>
                <w:szCs w:val="24"/>
              </w:rPr>
            </w:pPr>
            <w:r w:rsidRPr="00DB3741">
              <w:rPr>
                <w:rFonts w:asciiTheme="majorHAnsi" w:hAnsiTheme="majorHAnsi" w:cstheme="majorHAnsi"/>
                <w:b/>
                <w:color w:val="FFFFFF" w:themeColor="background1"/>
              </w:rPr>
              <w:t xml:space="preserve">Percent of Total Budget  </w:t>
            </w:r>
          </w:p>
          <w:p w:rsidR="00CF52D4" w:rsidRPr="00DB3741" w:rsidRDefault="00CF52D4" w:rsidP="00CF52D4">
            <w:pPr>
              <w:ind w:left="0" w:right="162"/>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Fiscal Year 2014</w:t>
            </w:r>
          </w:p>
        </w:tc>
        <w:tc>
          <w:tcPr>
            <w:tcW w:w="2070" w:type="dxa"/>
            <w:tcBorders>
              <w:bottom w:val="single" w:sz="12" w:space="0" w:color="auto"/>
            </w:tcBorders>
            <w:shd w:val="clear" w:color="auto" w:fill="008272"/>
          </w:tcPr>
          <w:p w:rsidR="00CF52D4" w:rsidRPr="00DB3741" w:rsidRDefault="00CF52D4" w:rsidP="00CF52D4">
            <w:pPr>
              <w:ind w:left="0" w:right="114"/>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Projected Cost Increase           Fiscal Year 2014</w:t>
            </w:r>
          </w:p>
        </w:tc>
      </w:tr>
      <w:tr w:rsidR="00CF52D4" w:rsidTr="00CF52D4">
        <w:trPr>
          <w:jc w:val="center"/>
        </w:trPr>
        <w:tc>
          <w:tcPr>
            <w:tcW w:w="5567" w:type="dxa"/>
            <w:tcBorders>
              <w:top w:val="single" w:sz="12" w:space="0" w:color="auto"/>
            </w:tcBorders>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 xml:space="preserve">Personnel Services </w:t>
            </w:r>
            <w:r>
              <w:rPr>
                <w:rFonts w:asciiTheme="majorHAnsi" w:hAnsiTheme="majorHAnsi" w:cstheme="majorHAnsi"/>
              </w:rPr>
              <w:t>(</w:t>
            </w:r>
            <w:r w:rsidRPr="00DB3741">
              <w:rPr>
                <w:rFonts w:asciiTheme="majorHAnsi" w:hAnsiTheme="majorHAnsi" w:cstheme="majorHAnsi"/>
              </w:rPr>
              <w:t>salaries, benefits)</w:t>
            </w:r>
          </w:p>
        </w:tc>
        <w:tc>
          <w:tcPr>
            <w:tcW w:w="2160" w:type="dxa"/>
            <w:tcBorders>
              <w:top w:val="single" w:sz="12"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72.24%</w:t>
            </w:r>
          </w:p>
        </w:tc>
        <w:tc>
          <w:tcPr>
            <w:tcW w:w="2070" w:type="dxa"/>
            <w:tcBorders>
              <w:top w:val="single" w:sz="12"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7.96%</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Services and Supplies</w:t>
            </w:r>
            <w:r>
              <w:rPr>
                <w:rFonts w:asciiTheme="majorHAnsi" w:hAnsiTheme="majorHAnsi" w:cstheme="majorHAnsi"/>
                <w:sz w:val="24"/>
                <w:szCs w:val="24"/>
              </w:rPr>
              <w:t xml:space="preserve"> </w:t>
            </w:r>
            <w:r w:rsidRPr="00DB3741">
              <w:rPr>
                <w:rFonts w:asciiTheme="majorHAnsi" w:hAnsiTheme="majorHAnsi" w:cstheme="majorHAnsi"/>
              </w:rPr>
              <w:t>(rent, utilities)</w:t>
            </w:r>
          </w:p>
        </w:tc>
        <w:tc>
          <w:tcPr>
            <w:tcW w:w="216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16.65%</w:t>
            </w:r>
          </w:p>
        </w:tc>
        <w:tc>
          <w:tcPr>
            <w:tcW w:w="207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8.42%</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Contract</w:t>
            </w:r>
          </w:p>
        </w:tc>
        <w:tc>
          <w:tcPr>
            <w:tcW w:w="216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1.13%</w:t>
            </w:r>
          </w:p>
        </w:tc>
        <w:tc>
          <w:tcPr>
            <w:tcW w:w="207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3.01%</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Special Payment</w:t>
            </w:r>
          </w:p>
        </w:tc>
        <w:tc>
          <w:tcPr>
            <w:tcW w:w="216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0.50%</w:t>
            </w:r>
          </w:p>
        </w:tc>
        <w:tc>
          <w:tcPr>
            <w:tcW w:w="207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8.50%</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Indirect Services (management, business services)</w:t>
            </w:r>
          </w:p>
        </w:tc>
        <w:tc>
          <w:tcPr>
            <w:tcW w:w="2160" w:type="dxa"/>
            <w:tcBorders>
              <w:bottom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9.48%</w:t>
            </w:r>
          </w:p>
        </w:tc>
        <w:tc>
          <w:tcPr>
            <w:tcW w:w="2070" w:type="dxa"/>
            <w:tcBorders>
              <w:bottom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-0.12%</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jc w:val="right"/>
              <w:rPr>
                <w:rFonts w:asciiTheme="majorHAnsi" w:hAnsiTheme="majorHAnsi" w:cstheme="majorHAnsi"/>
              </w:rPr>
            </w:pPr>
            <w:r w:rsidRPr="00DB3741">
              <w:rPr>
                <w:rFonts w:asciiTheme="majorHAnsi" w:hAnsiTheme="majorHAnsi" w:cstheme="majorHAnsi"/>
              </w:rPr>
              <w:t>Total</w:t>
            </w:r>
          </w:p>
        </w:tc>
        <w:tc>
          <w:tcPr>
            <w:tcW w:w="2160" w:type="dxa"/>
            <w:tcBorders>
              <w:top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Pr>
                <w:rFonts w:ascii="Times New Roman" w:hAnsi="Times New Roman" w:cs="Times New Roman"/>
                <w:sz w:val="24"/>
                <w:szCs w:val="24"/>
              </w:rPr>
              <w:t>100%</w:t>
            </w:r>
          </w:p>
        </w:tc>
        <w:tc>
          <w:tcPr>
            <w:tcW w:w="2070" w:type="dxa"/>
            <w:tcBorders>
              <w:top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7.10%</w:t>
            </w:r>
          </w:p>
        </w:tc>
      </w:tr>
    </w:tbl>
    <w:p w:rsidR="00CF52D4" w:rsidRPr="007030AC" w:rsidRDefault="00CF52D4" w:rsidP="00CF52D4">
      <w:pPr>
        <w:spacing w:after="120"/>
        <w:ind w:left="0" w:right="720"/>
        <w:rPr>
          <w:rFonts w:asciiTheme="minorHAnsi" w:eastAsia="Times New Roman" w:hAnsiTheme="minorHAnsi" w:cstheme="minorHAnsi"/>
          <w:bCs/>
          <w:color w:val="685C54" w:themeColor="accent4" w:themeShade="BF"/>
          <w:sz w:val="22"/>
          <w:szCs w:val="22"/>
          <w:highlight w:val="yellow"/>
        </w:rPr>
      </w:pPr>
    </w:p>
    <w:p w:rsidR="00CF52D4" w:rsidRPr="00C10049" w:rsidRDefault="00CF52D4" w:rsidP="002B4E66">
      <w:pPr>
        <w:tabs>
          <w:tab w:val="left" w:pos="4000"/>
          <w:tab w:val="left" w:pos="6159"/>
        </w:tabs>
        <w:spacing w:after="120"/>
        <w:ind w:left="720" w:right="720"/>
        <w:rPr>
          <w:rFonts w:cstheme="minorHAnsi"/>
          <w:sz w:val="22"/>
          <w:szCs w:val="22"/>
        </w:rPr>
      </w:pPr>
      <w:r w:rsidRPr="00C10049">
        <w:rPr>
          <w:rFonts w:asciiTheme="majorHAnsi" w:eastAsia="Times New Roman" w:hAnsiTheme="majorHAnsi" w:cstheme="majorHAnsi"/>
          <w:bCs/>
          <w:color w:val="685C54" w:themeColor="accent4" w:themeShade="BF"/>
          <w:sz w:val="22"/>
          <w:szCs w:val="22"/>
        </w:rPr>
        <w:t xml:space="preserve">How would the proposed rule solve the problem? </w:t>
      </w:r>
      <w:r w:rsidRPr="00C10049">
        <w:rPr>
          <w:color w:val="702C1C" w:themeColor="accent1" w:themeShade="80"/>
          <w:sz w:val="22"/>
          <w:szCs w:val="22"/>
        </w:rPr>
        <w:tab/>
      </w:r>
    </w:p>
    <w:p w:rsidR="00CF52D4" w:rsidRPr="00AB0850" w:rsidRDefault="00CF52D4" w:rsidP="002B4E66">
      <w:pPr>
        <w:autoSpaceDE w:val="0"/>
        <w:autoSpaceDN w:val="0"/>
        <w:adjustRightInd w:val="0"/>
        <w:ind w:left="1080" w:right="720"/>
        <w:rPr>
          <w:rFonts w:ascii="Times New Roman" w:hAnsi="Times New Roman" w:cs="Times New Roman"/>
        </w:rPr>
      </w:pPr>
      <w:r w:rsidRPr="00AB0850">
        <w:rPr>
          <w:rFonts w:ascii="Times New Roman" w:hAnsi="Times New Roman" w:cs="Times New Roman"/>
        </w:rPr>
        <w:t xml:space="preserve">The proposed rule solves only part of the problem of increased program costs. Oregon Revised Statute 468B.051 authorizes the </w:t>
      </w:r>
      <w:r>
        <w:rPr>
          <w:rFonts w:ascii="Times New Roman" w:hAnsi="Times New Roman" w:cs="Times New Roman"/>
        </w:rPr>
        <w:t>E</w:t>
      </w:r>
      <w:r w:rsidRPr="00AB0850">
        <w:rPr>
          <w:rFonts w:ascii="Times New Roman" w:hAnsi="Times New Roman" w:cs="Times New Roman"/>
        </w:rPr>
        <w:t xml:space="preserve">nvironmental </w:t>
      </w:r>
      <w:r>
        <w:rPr>
          <w:rFonts w:ascii="Times New Roman" w:hAnsi="Times New Roman" w:cs="Times New Roman"/>
        </w:rPr>
        <w:t>Q</w:t>
      </w:r>
      <w:r w:rsidRPr="00AB0850">
        <w:rPr>
          <w:rFonts w:ascii="Times New Roman" w:hAnsi="Times New Roman" w:cs="Times New Roman"/>
        </w:rPr>
        <w:t xml:space="preserve">uality </w:t>
      </w:r>
      <w:r>
        <w:rPr>
          <w:rFonts w:ascii="Times New Roman" w:hAnsi="Times New Roman" w:cs="Times New Roman"/>
        </w:rPr>
        <w:t>C</w:t>
      </w:r>
      <w:r w:rsidRPr="00AB0850">
        <w:rPr>
          <w:rFonts w:ascii="Times New Roman" w:hAnsi="Times New Roman" w:cs="Times New Roman"/>
        </w:rPr>
        <w:t>ommission to raise fees annually</w:t>
      </w:r>
      <w:r>
        <w:rPr>
          <w:rFonts w:ascii="Times New Roman" w:hAnsi="Times New Roman" w:cs="Times New Roman"/>
        </w:rPr>
        <w:t xml:space="preserve">. The annual </w:t>
      </w:r>
      <w:r w:rsidRPr="00AB0850">
        <w:rPr>
          <w:rFonts w:ascii="Times New Roman" w:hAnsi="Times New Roman" w:cs="Times New Roman"/>
        </w:rPr>
        <w:t xml:space="preserve">amount </w:t>
      </w:r>
      <w:r>
        <w:rPr>
          <w:rFonts w:ascii="Times New Roman" w:hAnsi="Times New Roman" w:cs="Times New Roman"/>
        </w:rPr>
        <w:t xml:space="preserve">may </w:t>
      </w:r>
      <w:r w:rsidRPr="00AB0850">
        <w:rPr>
          <w:rFonts w:ascii="Times New Roman" w:hAnsi="Times New Roman" w:cs="Times New Roman"/>
        </w:rPr>
        <w:t>not exceed the anticipated increase in the cost of administering the permit program or 3 percent, whichever is lower</w:t>
      </w:r>
      <w:r>
        <w:rPr>
          <w:rFonts w:ascii="Times New Roman" w:hAnsi="Times New Roman" w:cs="Times New Roman"/>
        </w:rPr>
        <w:t xml:space="preserve">. </w:t>
      </w:r>
      <w:r w:rsidRPr="00AB0850">
        <w:rPr>
          <w:rFonts w:ascii="Times New Roman" w:hAnsi="Times New Roman" w:cs="Times New Roman"/>
        </w:rPr>
        <w:t xml:space="preserve">The estimated program cost increase of 7.1 percent for fiscal year 2014 is greater than the maximum 3 percent allowed by law.  </w:t>
      </w:r>
    </w:p>
    <w:p w:rsidR="00CF52D4" w:rsidRPr="00AB0850" w:rsidRDefault="00CF52D4" w:rsidP="002B4E66">
      <w:pPr>
        <w:autoSpaceDE w:val="0"/>
        <w:autoSpaceDN w:val="0"/>
        <w:adjustRightInd w:val="0"/>
        <w:ind w:left="1080" w:right="720"/>
        <w:rPr>
          <w:rFonts w:ascii="Times New Roman" w:hAnsi="Times New Roman" w:cs="Times New Roman"/>
        </w:rPr>
      </w:pPr>
    </w:p>
    <w:p w:rsidR="00CF52D4" w:rsidRPr="00AB0850" w:rsidRDefault="00CF52D4" w:rsidP="002B4E66">
      <w:pPr>
        <w:autoSpaceDE w:val="0"/>
        <w:autoSpaceDN w:val="0"/>
        <w:adjustRightInd w:val="0"/>
        <w:ind w:left="1080" w:right="720"/>
        <w:rPr>
          <w:rFonts w:ascii="Times New Roman" w:hAnsi="Times New Roman" w:cs="Times New Roman"/>
        </w:rPr>
      </w:pPr>
      <w:r>
        <w:rPr>
          <w:rFonts w:ascii="Times New Roman" w:hAnsi="Times New Roman" w:cs="Times New Roman"/>
        </w:rPr>
        <w:t>Applying the</w:t>
      </w:r>
      <w:r w:rsidRPr="00AB0850">
        <w:rPr>
          <w:rFonts w:ascii="Times New Roman" w:hAnsi="Times New Roman" w:cs="Times New Roman"/>
        </w:rPr>
        <w:t xml:space="preserve"> </w:t>
      </w:r>
      <w:r>
        <w:rPr>
          <w:rFonts w:ascii="Times New Roman" w:hAnsi="Times New Roman" w:cs="Times New Roman"/>
        </w:rPr>
        <w:t xml:space="preserve">three </w:t>
      </w:r>
      <w:r w:rsidRPr="00AB0850">
        <w:rPr>
          <w:rFonts w:ascii="Times New Roman" w:hAnsi="Times New Roman" w:cs="Times New Roman"/>
        </w:rPr>
        <w:t>percent fee increase in the 2013-15 Governor’s Balanced Budget</w:t>
      </w:r>
      <w:r>
        <w:rPr>
          <w:rFonts w:ascii="Times New Roman" w:hAnsi="Times New Roman" w:cs="Times New Roman"/>
        </w:rPr>
        <w:t xml:space="preserve"> would result in </w:t>
      </w:r>
      <w:r w:rsidRPr="00AB0850">
        <w:rPr>
          <w:rFonts w:ascii="Times New Roman" w:hAnsi="Times New Roman" w:cs="Times New Roman"/>
        </w:rPr>
        <w:t>permit fees support</w:t>
      </w:r>
      <w:r>
        <w:rPr>
          <w:rFonts w:ascii="Times New Roman" w:hAnsi="Times New Roman" w:cs="Times New Roman"/>
        </w:rPr>
        <w:t>ing</w:t>
      </w:r>
      <w:r w:rsidRPr="00AB0850">
        <w:rPr>
          <w:rFonts w:ascii="Times New Roman" w:hAnsi="Times New Roman" w:cs="Times New Roman"/>
        </w:rPr>
        <w:t xml:space="preserve"> 62 percent of the </w:t>
      </w:r>
      <w:r>
        <w:rPr>
          <w:rFonts w:ascii="Times New Roman" w:hAnsi="Times New Roman" w:cs="Times New Roman"/>
        </w:rPr>
        <w:t>water quality permit program</w:t>
      </w:r>
      <w:r w:rsidRPr="00AB0850">
        <w:rPr>
          <w:rFonts w:ascii="Times New Roman" w:hAnsi="Times New Roman" w:cs="Times New Roman"/>
        </w:rPr>
        <w:t xml:space="preserve"> budget. </w:t>
      </w:r>
      <w:r>
        <w:rPr>
          <w:rFonts w:ascii="Times New Roman" w:hAnsi="Times New Roman" w:cs="Times New Roman"/>
        </w:rPr>
        <w:t xml:space="preserve">This proposal recommends the lower 2.9 percent increase to meet </w:t>
      </w:r>
      <w:r>
        <w:rPr>
          <w:rFonts w:ascii="Times New Roman" w:hAnsi="Times New Roman" w:cs="Times New Roman"/>
          <w:color w:val="000000"/>
        </w:rPr>
        <w:t xml:space="preserve">the Blue Ribbon Committee recommendation in its 2004 report </w:t>
      </w:r>
      <w:r>
        <w:rPr>
          <w:rFonts w:ascii="Times New Roman" w:hAnsi="Times New Roman" w:cs="Times New Roman"/>
        </w:rPr>
        <w:t xml:space="preserve">that funding for the </w:t>
      </w:r>
      <w:r w:rsidRPr="00AB0850">
        <w:rPr>
          <w:rFonts w:ascii="Times New Roman" w:hAnsi="Times New Roman" w:cs="Times New Roman"/>
        </w:rPr>
        <w:t xml:space="preserve">permit program budget </w:t>
      </w:r>
      <w:r>
        <w:rPr>
          <w:rFonts w:ascii="Times New Roman" w:hAnsi="Times New Roman" w:cs="Times New Roman"/>
        </w:rPr>
        <w:t xml:space="preserve">be 60 percent </w:t>
      </w:r>
      <w:r w:rsidRPr="00AB0850">
        <w:rPr>
          <w:rFonts w:ascii="Times New Roman" w:hAnsi="Times New Roman" w:cs="Times New Roman"/>
        </w:rPr>
        <w:t xml:space="preserve">permit fees </w:t>
      </w:r>
      <w:r>
        <w:rPr>
          <w:rFonts w:ascii="Times New Roman" w:hAnsi="Times New Roman" w:cs="Times New Roman"/>
        </w:rPr>
        <w:t>and 4</w:t>
      </w:r>
      <w:r w:rsidRPr="00AB0850">
        <w:rPr>
          <w:rFonts w:ascii="Times New Roman" w:hAnsi="Times New Roman" w:cs="Times New Roman"/>
        </w:rPr>
        <w:t>0</w:t>
      </w:r>
      <w:r>
        <w:rPr>
          <w:rFonts w:ascii="Times New Roman" w:hAnsi="Times New Roman" w:cs="Times New Roman"/>
        </w:rPr>
        <w:t xml:space="preserve"> </w:t>
      </w:r>
      <w:r w:rsidRPr="00AB0850">
        <w:rPr>
          <w:rFonts w:ascii="Times New Roman" w:hAnsi="Times New Roman" w:cs="Times New Roman"/>
        </w:rPr>
        <w:t>percent</w:t>
      </w:r>
      <w:r>
        <w:rPr>
          <w:rFonts w:ascii="Times New Roman" w:hAnsi="Times New Roman" w:cs="Times New Roman"/>
        </w:rPr>
        <w:t xml:space="preserve"> </w:t>
      </w:r>
      <w:r w:rsidRPr="00AB0850">
        <w:rPr>
          <w:rFonts w:ascii="Times New Roman" w:hAnsi="Times New Roman" w:cs="Times New Roman"/>
        </w:rPr>
        <w:t>public funds (federal, general</w:t>
      </w:r>
      <w:r>
        <w:rPr>
          <w:rFonts w:ascii="Times New Roman" w:hAnsi="Times New Roman" w:cs="Times New Roman"/>
        </w:rPr>
        <w:t xml:space="preserve">). This is consistent with how the 2012 fee increase was calculated. </w:t>
      </w:r>
    </w:p>
    <w:p w:rsidR="00CF52D4" w:rsidRPr="00C10049" w:rsidRDefault="00CF52D4" w:rsidP="002B4E66">
      <w:pPr>
        <w:autoSpaceDE w:val="0"/>
        <w:autoSpaceDN w:val="0"/>
        <w:adjustRightInd w:val="0"/>
        <w:ind w:left="720" w:righ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br w:type="page"/>
      </w:r>
      <w:r w:rsidRPr="00C10049">
        <w:rPr>
          <w:rFonts w:asciiTheme="majorHAnsi" w:eastAsia="Times New Roman" w:hAnsiTheme="majorHAnsi" w:cstheme="majorHAnsi"/>
          <w:bCs/>
          <w:color w:val="685C54" w:themeColor="accent4" w:themeShade="BF"/>
          <w:sz w:val="22"/>
          <w:szCs w:val="22"/>
        </w:rPr>
        <w:lastRenderedPageBreak/>
        <w:t xml:space="preserve">How will DEQ know the problem has been solved? </w:t>
      </w:r>
      <w:r w:rsidRPr="00C10049">
        <w:rPr>
          <w:rFonts w:asciiTheme="majorHAnsi" w:eastAsia="Times New Roman" w:hAnsiTheme="majorHAnsi" w:cstheme="majorHAnsi"/>
          <w:bCs/>
          <w:color w:val="685C54" w:themeColor="accent4" w:themeShade="BF"/>
          <w:sz w:val="22"/>
          <w:szCs w:val="22"/>
        </w:rPr>
        <w:tab/>
      </w:r>
    </w:p>
    <w:p w:rsidR="00CF52D4" w:rsidRDefault="00CF52D4" w:rsidP="00CF52D4">
      <w:pPr>
        <w:tabs>
          <w:tab w:val="left" w:pos="4000"/>
          <w:tab w:val="left" w:pos="6159"/>
        </w:tabs>
        <w:ind w:left="1080" w:right="720"/>
        <w:rPr>
          <w:rFonts w:asciiTheme="majorHAnsi" w:eastAsia="Times New Roman" w:hAnsiTheme="majorHAnsi" w:cstheme="majorHAnsi"/>
          <w:bCs/>
          <w:color w:val="685C54" w:themeColor="accent4" w:themeShade="BF"/>
          <w:sz w:val="22"/>
          <w:szCs w:val="22"/>
          <w:highlight w:val="yellow"/>
        </w:rPr>
      </w:pPr>
    </w:p>
    <w:p w:rsidR="00CF52D4" w:rsidRPr="00AB0850" w:rsidRDefault="00CF52D4" w:rsidP="00BA69E8">
      <w:pPr>
        <w:tabs>
          <w:tab w:val="left" w:pos="4000"/>
          <w:tab w:val="left" w:pos="6159"/>
        </w:tabs>
        <w:ind w:left="1080" w:right="720"/>
        <w:rPr>
          <w:rFonts w:ascii="Times New Roman" w:eastAsia="Times New Roman" w:hAnsi="Times New Roman" w:cs="Times New Roman"/>
          <w:bCs/>
        </w:rPr>
      </w:pPr>
      <w:r>
        <w:rPr>
          <w:rFonts w:ascii="Times New Roman" w:eastAsia="Times New Roman" w:hAnsi="Times New Roman" w:cs="Times New Roman"/>
          <w:bCs/>
        </w:rPr>
        <w:t>T</w:t>
      </w:r>
      <w:r w:rsidRPr="00AB0850">
        <w:rPr>
          <w:rFonts w:ascii="Times New Roman" w:eastAsia="Times New Roman" w:hAnsi="Times New Roman" w:cs="Times New Roman"/>
          <w:bCs/>
        </w:rPr>
        <w:t xml:space="preserve">he proposed 2.9 percent fee increase represents a partial solution to increased </w:t>
      </w:r>
      <w:r>
        <w:rPr>
          <w:rFonts w:ascii="Times New Roman" w:eastAsia="Times New Roman" w:hAnsi="Times New Roman" w:cs="Times New Roman"/>
          <w:bCs/>
        </w:rPr>
        <w:t xml:space="preserve">water quality </w:t>
      </w:r>
      <w:r w:rsidRPr="00AB0850">
        <w:rPr>
          <w:rFonts w:ascii="Times New Roman" w:eastAsia="Times New Roman" w:hAnsi="Times New Roman" w:cs="Times New Roman"/>
          <w:bCs/>
        </w:rPr>
        <w:t xml:space="preserve">program costs.  </w:t>
      </w:r>
    </w:p>
    <w:p w:rsidR="00CF52D4" w:rsidRPr="00AB0850" w:rsidRDefault="00CF52D4" w:rsidP="00CF52D4">
      <w:pPr>
        <w:tabs>
          <w:tab w:val="left" w:pos="4000"/>
          <w:tab w:val="left" w:pos="6159"/>
        </w:tabs>
        <w:ind w:left="1440" w:right="720"/>
        <w:rPr>
          <w:rFonts w:ascii="Times New Roman" w:eastAsia="Times New Roman" w:hAnsi="Times New Roman" w:cs="Times New Roman"/>
          <w:bCs/>
        </w:rPr>
      </w:pPr>
    </w:p>
    <w:p w:rsidR="00CF52D4" w:rsidRPr="00AB0850" w:rsidRDefault="00CF52D4" w:rsidP="00BA69E8">
      <w:pPr>
        <w:tabs>
          <w:tab w:val="left" w:pos="4000"/>
          <w:tab w:val="left" w:pos="6159"/>
        </w:tabs>
        <w:ind w:left="1080" w:right="720"/>
        <w:rPr>
          <w:rFonts w:ascii="Times New Roman" w:eastAsia="Times New Roman" w:hAnsi="Times New Roman" w:cs="Times New Roman"/>
          <w:bCs/>
        </w:rPr>
      </w:pPr>
      <w:r w:rsidRPr="00AB0850">
        <w:rPr>
          <w:rFonts w:ascii="Times New Roman" w:eastAsia="Times New Roman" w:hAnsi="Times New Roman" w:cs="Times New Roman"/>
          <w:bCs/>
        </w:rPr>
        <w:t>The</w:t>
      </w:r>
      <w:r>
        <w:rPr>
          <w:rFonts w:ascii="Times New Roman" w:eastAsia="Times New Roman" w:hAnsi="Times New Roman" w:cs="Times New Roman"/>
          <w:bCs/>
        </w:rPr>
        <w:t xml:space="preserve"> 3</w:t>
      </w:r>
      <w:r w:rsidRPr="00AB0850">
        <w:rPr>
          <w:rFonts w:ascii="Times New Roman" w:eastAsia="Times New Roman" w:hAnsi="Times New Roman" w:cs="Times New Roman"/>
          <w:bCs/>
        </w:rPr>
        <w:t xml:space="preserve"> percent fee increase </w:t>
      </w:r>
      <w:r>
        <w:rPr>
          <w:rFonts w:ascii="Times New Roman" w:eastAsia="Times New Roman" w:hAnsi="Times New Roman" w:cs="Times New Roman"/>
          <w:bCs/>
        </w:rPr>
        <w:t xml:space="preserve">limit in law </w:t>
      </w:r>
      <w:r w:rsidRPr="00AB0850">
        <w:rPr>
          <w:rFonts w:ascii="Times New Roman" w:eastAsia="Times New Roman" w:hAnsi="Times New Roman" w:cs="Times New Roman"/>
          <w:bCs/>
        </w:rPr>
        <w:t>may not keep pace with program cost increases</w:t>
      </w:r>
      <w:r>
        <w:rPr>
          <w:rFonts w:ascii="Times New Roman" w:eastAsia="Times New Roman" w:hAnsi="Times New Roman" w:cs="Times New Roman"/>
          <w:bCs/>
        </w:rPr>
        <w:t xml:space="preserve">. </w:t>
      </w:r>
      <w:r w:rsidRPr="00AB0850">
        <w:rPr>
          <w:rFonts w:ascii="Times New Roman" w:eastAsia="Times New Roman" w:hAnsi="Times New Roman" w:cs="Times New Roman"/>
          <w:bCs/>
        </w:rPr>
        <w:t xml:space="preserve">This is a statutory </w:t>
      </w:r>
      <w:r>
        <w:rPr>
          <w:rFonts w:ascii="Times New Roman" w:eastAsia="Times New Roman" w:hAnsi="Times New Roman" w:cs="Times New Roman"/>
          <w:bCs/>
        </w:rPr>
        <w:t xml:space="preserve">rather than an administrative rule </w:t>
      </w:r>
      <w:r w:rsidRPr="00AB0850">
        <w:rPr>
          <w:rFonts w:ascii="Times New Roman" w:eastAsia="Times New Roman" w:hAnsi="Times New Roman" w:cs="Times New Roman"/>
          <w:bCs/>
        </w:rPr>
        <w:t xml:space="preserve">issue that is outside the scope of this proposal.  </w:t>
      </w:r>
    </w:p>
    <w:p w:rsidR="00CF52D4" w:rsidRPr="00AB0850" w:rsidRDefault="00CF52D4" w:rsidP="00BA69E8">
      <w:pPr>
        <w:tabs>
          <w:tab w:val="left" w:pos="4000"/>
          <w:tab w:val="left" w:pos="6159"/>
        </w:tabs>
        <w:ind w:left="1080" w:right="720"/>
        <w:rPr>
          <w:rFonts w:ascii="Times New Roman" w:eastAsia="Times New Roman" w:hAnsi="Times New Roman" w:cs="Times New Roman"/>
          <w:bCs/>
        </w:rPr>
      </w:pPr>
    </w:p>
    <w:p w:rsidR="00CF52D4" w:rsidRPr="00CD4F73" w:rsidRDefault="00CF52D4" w:rsidP="00CD4F73">
      <w:pPr>
        <w:tabs>
          <w:tab w:val="left" w:pos="4000"/>
          <w:tab w:val="left" w:pos="6159"/>
        </w:tabs>
        <w:ind w:left="1080" w:right="720"/>
        <w:rPr>
          <w:rFonts w:ascii="Times New Roman" w:eastAsia="Times New Roman" w:hAnsi="Times New Roman" w:cs="Times New Roman"/>
          <w:bCs/>
        </w:rPr>
      </w:pPr>
      <w:r w:rsidRPr="00AB0850">
        <w:rPr>
          <w:rFonts w:ascii="Times New Roman" w:eastAsia="Times New Roman" w:hAnsi="Times New Roman" w:cs="Times New Roman"/>
          <w:bCs/>
        </w:rPr>
        <w:t>An additional solution would be to reduce program costs, primarily through reducing personnel services costs (e.g.</w:t>
      </w:r>
      <w:r>
        <w:rPr>
          <w:rFonts w:ascii="Times New Roman" w:eastAsia="Times New Roman" w:hAnsi="Times New Roman" w:cs="Times New Roman"/>
          <w:bCs/>
        </w:rPr>
        <w:t>,</w:t>
      </w:r>
      <w:r w:rsidRPr="00AB0850">
        <w:rPr>
          <w:rFonts w:ascii="Times New Roman" w:eastAsia="Times New Roman" w:hAnsi="Times New Roman" w:cs="Times New Roman"/>
          <w:bCs/>
        </w:rPr>
        <w:t xml:space="preserve"> salaries, benefits) and indirect services costs (e.g.</w:t>
      </w:r>
      <w:r>
        <w:rPr>
          <w:rFonts w:ascii="Times New Roman" w:eastAsia="Times New Roman" w:hAnsi="Times New Roman" w:cs="Times New Roman"/>
          <w:bCs/>
        </w:rPr>
        <w:t>,</w:t>
      </w:r>
      <w:r w:rsidRPr="00AB0850">
        <w:rPr>
          <w:rFonts w:ascii="Times New Roman" w:eastAsia="Times New Roman" w:hAnsi="Times New Roman" w:cs="Times New Roman"/>
          <w:bCs/>
        </w:rPr>
        <w:t xml:space="preserve"> management, business services), as</w:t>
      </w:r>
      <w:r>
        <w:rPr>
          <w:rFonts w:ascii="Times New Roman" w:eastAsia="Times New Roman" w:hAnsi="Times New Roman" w:cs="Times New Roman"/>
          <w:bCs/>
        </w:rPr>
        <w:t xml:space="preserve"> these categories</w:t>
      </w:r>
      <w:r w:rsidRPr="00AB0850">
        <w:rPr>
          <w:rFonts w:ascii="Times New Roman" w:eastAsia="Times New Roman" w:hAnsi="Times New Roman" w:cs="Times New Roman"/>
          <w:bCs/>
        </w:rPr>
        <w:t xml:space="preserve"> </w:t>
      </w:r>
      <w:r>
        <w:rPr>
          <w:rFonts w:ascii="Times New Roman" w:eastAsia="Times New Roman" w:hAnsi="Times New Roman" w:cs="Times New Roman"/>
          <w:bCs/>
        </w:rPr>
        <w:t xml:space="preserve">are </w:t>
      </w:r>
      <w:r w:rsidRPr="00AB0850">
        <w:rPr>
          <w:rFonts w:ascii="Times New Roman" w:eastAsia="Times New Roman" w:hAnsi="Times New Roman" w:cs="Times New Roman"/>
          <w:bCs/>
        </w:rPr>
        <w:t>approximately 80 percent of the total program budget.</w:t>
      </w:r>
      <w:r>
        <w:rPr>
          <w:rFonts w:ascii="Times New Roman" w:eastAsia="Times New Roman" w:hAnsi="Times New Roman" w:cs="Times New Roman"/>
          <w:bCs/>
        </w:rPr>
        <w:t xml:space="preserve"> </w:t>
      </w:r>
      <w:r w:rsidRPr="00AB0850">
        <w:rPr>
          <w:rFonts w:ascii="Times New Roman" w:eastAsia="Times New Roman" w:hAnsi="Times New Roman" w:cs="Times New Roman"/>
          <w:bCs/>
        </w:rPr>
        <w:t xml:space="preserve">Reducing program costs is outside of the scope of this proposal.       </w:t>
      </w:r>
      <w:bookmarkStart w:id="0" w:name="RequestForOtherOptions"/>
    </w:p>
    <w:p w:rsidR="00CF52D4" w:rsidRPr="00631736" w:rsidRDefault="00CF52D4" w:rsidP="00CF52D4">
      <w:pPr>
        <w:tabs>
          <w:tab w:val="left" w:pos="4000"/>
          <w:tab w:val="left" w:pos="6159"/>
        </w:tabs>
        <w:ind w:left="0"/>
        <w:rPr>
          <w:rFonts w:cstheme="minorHAnsi"/>
        </w:rPr>
      </w:pPr>
    </w:p>
    <w:p w:rsidR="00CF52D4" w:rsidRPr="00C933AC" w:rsidRDefault="00CF52D4" w:rsidP="00BA69E8">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CF52D4" w:rsidRPr="005C2CFC" w:rsidRDefault="00CF52D4" w:rsidP="00BA69E8">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Pr>
          <w:rFonts w:ascii="Times New Roman" w:eastAsia="Times New Roman" w:hAnsi="Times New Roman" w:cs="Times New Roman"/>
          <w:color w:val="000000" w:themeColor="text1"/>
        </w:rPr>
        <w:t xml:space="preserve">ic </w:t>
      </w:r>
      <w:r w:rsidR="00D820AE">
        <w:rPr>
          <w:rFonts w:ascii="Times New Roman" w:eastAsia="Times New Roman" w:hAnsi="Times New Roman" w:cs="Times New Roman"/>
          <w:color w:val="000000" w:themeColor="text1"/>
        </w:rPr>
        <w:t>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w:t>
      </w:r>
      <w:r>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shd w:val="clear" w:color="auto" w:fill="E2DDDB" w:themeFill="text2" w:themeFillTint="33"/>
        <w:tblLook w:val="04A0"/>
      </w:tblPr>
      <w:tblGrid>
        <w:gridCol w:w="12240"/>
      </w:tblGrid>
      <w:tr w:rsidR="00CF52D4" w:rsidRPr="00B15DF7" w:rsidTr="00CF52D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B15DF7" w:rsidRDefault="00CF52D4" w:rsidP="00CF52D4">
            <w:pPr>
              <w:ind w:left="0"/>
              <w:outlineLvl w:val="0"/>
              <w:rPr>
                <w:rFonts w:eastAsia="Times New Roman"/>
                <w:bCs/>
                <w:color w:val="32525C"/>
                <w:sz w:val="28"/>
                <w:szCs w:val="28"/>
              </w:rPr>
            </w:pPr>
          </w:p>
          <w:p w:rsidR="00CF52D4" w:rsidRPr="0085122C" w:rsidRDefault="00CF52D4" w:rsidP="00CF52D4">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2" w:history="1"/>
          </w:p>
        </w:tc>
      </w:tr>
    </w:tbl>
    <w:p w:rsidR="00CF52D4" w:rsidRDefault="00CF52D4" w:rsidP="00CF52D4">
      <w:pPr>
        <w:spacing w:after="120"/>
        <w:ind w:left="0" w:right="634"/>
        <w:outlineLvl w:val="0"/>
        <w:rPr>
          <w:rFonts w:ascii="Times New Roman" w:eastAsia="Times New Roman" w:hAnsi="Times New Roman" w:cs="Times New Roman"/>
          <w:i/>
          <w:iCs/>
          <w:color w:val="685C54" w:themeColor="accent4" w:themeShade="BF"/>
          <w:sz w:val="22"/>
          <w:szCs w:val="22"/>
        </w:rPr>
      </w:pPr>
    </w:p>
    <w:p w:rsidR="00CF52D4" w:rsidRPr="00225AE8" w:rsidRDefault="00CF52D4" w:rsidP="00CF52D4">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CF52D4" w:rsidRPr="00225AE8" w:rsidRDefault="00CF52D4" w:rsidP="00CF52D4">
      <w:pPr>
        <w:jc w:val="center"/>
        <w:outlineLvl w:val="0"/>
        <w:rPr>
          <w:color w:val="685C54" w:themeColor="accent4" w:themeShade="BF"/>
          <w:sz w:val="16"/>
          <w:szCs w:val="16"/>
          <w:u w:val="single"/>
        </w:rPr>
      </w:pPr>
    </w:p>
    <w:p w:rsidR="00CF52D4" w:rsidRDefault="00CF52D4" w:rsidP="00CF52D4">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CF52D4" w:rsidRDefault="00CF52D4" w:rsidP="00CF52D4">
      <w:pPr>
        <w:spacing w:after="120"/>
        <w:ind w:left="720" w:right="634"/>
        <w:rPr>
          <w:rFonts w:ascii="Times New Roman" w:hAnsi="Times New Roman" w:cs="Times New Roman"/>
        </w:rPr>
      </w:pPr>
      <w:r w:rsidRPr="00AB0850">
        <w:rPr>
          <w:rFonts w:ascii="Times New Roman" w:hAnsi="Times New Roman" w:cs="Times New Roman"/>
        </w:rPr>
        <w:t>There are no applicable fed</w:t>
      </w:r>
      <w:r>
        <w:rPr>
          <w:rFonts w:ascii="Times New Roman" w:hAnsi="Times New Roman" w:cs="Times New Roman"/>
        </w:rPr>
        <w:t xml:space="preserve">eral requirements. </w:t>
      </w:r>
      <w:r w:rsidRPr="002C2945">
        <w:rPr>
          <w:rFonts w:ascii="Times New Roman" w:hAnsi="Times New Roman" w:cs="Times New Roman"/>
        </w:rPr>
        <w:t>The proposal does not alter any permit requirements other than the fee amounts</w:t>
      </w:r>
      <w:r w:rsidRPr="00AB0850">
        <w:rPr>
          <w:rFonts w:ascii="Times New Roman" w:hAnsi="Times New Roman" w:cs="Times New Roman"/>
        </w:rPr>
        <w:t xml:space="preserve"> for</w:t>
      </w:r>
      <w:r>
        <w:rPr>
          <w:rFonts w:ascii="Times New Roman" w:hAnsi="Times New Roman" w:cs="Times New Roman"/>
        </w:rPr>
        <w:t>:</w:t>
      </w:r>
    </w:p>
    <w:p w:rsidR="00CF52D4" w:rsidRDefault="00CF52D4" w:rsidP="00CF52D4">
      <w:pPr>
        <w:pStyle w:val="ListParagraph"/>
        <w:numPr>
          <w:ilvl w:val="0"/>
          <w:numId w:val="32"/>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Oregon’s National Pollutant Discharge Elimination System and Water Pollution Control Facility permitting programs </w:t>
      </w:r>
      <w:r w:rsidRPr="00970C8C">
        <w:rPr>
          <w:rFonts w:ascii="Times New Roman" w:hAnsi="Times New Roman" w:cs="Times New Roman"/>
        </w:rPr>
        <w:t xml:space="preserve">under </w:t>
      </w:r>
      <w:r w:rsidRPr="00DB3741">
        <w:rPr>
          <w:rFonts w:ascii="Times New Roman" w:hAnsi="Times New Roman" w:cs="Times New Roman"/>
        </w:rPr>
        <w:t>OAR 340-018-0030(5)(c)</w:t>
      </w:r>
    </w:p>
    <w:p w:rsidR="00CF52D4" w:rsidRDefault="00CF52D4" w:rsidP="00CF52D4">
      <w:pPr>
        <w:pStyle w:val="ListParagraph"/>
        <w:numPr>
          <w:ilvl w:val="0"/>
          <w:numId w:val="32"/>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 Issu</w:t>
      </w:r>
      <w:r>
        <w:rPr>
          <w:rFonts w:ascii="Times New Roman" w:hAnsi="Times New Roman" w:cs="Times New Roman"/>
        </w:rPr>
        <w:t>ance of On-site Sewer Permit under</w:t>
      </w:r>
      <w:r w:rsidRPr="00DB3741">
        <w:rPr>
          <w:rFonts w:ascii="Times New Roman" w:hAnsi="Times New Roman" w:cs="Times New Roman"/>
        </w:rPr>
        <w:t xml:space="preserve"> OAR 340-018-0030(5)(d) </w:t>
      </w:r>
    </w:p>
    <w:p w:rsidR="00CF52D4" w:rsidRPr="00BF05B6" w:rsidRDefault="00CF52D4" w:rsidP="00CF52D4">
      <w:pPr>
        <w:pStyle w:val="ListParagraph"/>
        <w:numPr>
          <w:ilvl w:val="0"/>
          <w:numId w:val="32"/>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Issuance of NPDES and WPCF Permits </w:t>
      </w:r>
      <w:r>
        <w:rPr>
          <w:rFonts w:ascii="Times New Roman" w:hAnsi="Times New Roman" w:cs="Times New Roman"/>
        </w:rPr>
        <w:t>that</w:t>
      </w:r>
      <w:r w:rsidRPr="00DB3741">
        <w:rPr>
          <w:rFonts w:ascii="Times New Roman" w:hAnsi="Times New Roman" w:cs="Times New Roman"/>
        </w:rPr>
        <w:t xml:space="preserve"> regulate wastewater discharges from industrial and municipal sources. </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CD4F73" w:rsidRDefault="00CD4F73"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CF52D4" w:rsidRPr="00B15DF7" w:rsidTr="00CF52D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B15DF7" w:rsidRDefault="00CF52D4" w:rsidP="00CF52D4">
            <w:pPr>
              <w:outlineLvl w:val="0"/>
              <w:rPr>
                <w:rFonts w:eastAsia="Times New Roman"/>
                <w:bCs/>
                <w:color w:val="32525C"/>
                <w:sz w:val="28"/>
                <w:szCs w:val="28"/>
              </w:rPr>
            </w:pPr>
          </w:p>
          <w:p w:rsidR="00CF52D4" w:rsidRPr="0085122C" w:rsidRDefault="00CF52D4" w:rsidP="00CF52D4">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CF52D4" w:rsidRPr="00B15DF7" w:rsidRDefault="00CF52D4" w:rsidP="00CF52D4"/>
    <w:p w:rsidR="00CF52D4" w:rsidRPr="004F673A" w:rsidRDefault="00CF52D4" w:rsidP="00CF52D4">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62D36" w:rsidRPr="00D820AE" w:rsidRDefault="00CF52D4" w:rsidP="00D820AE">
      <w:pPr>
        <w:ind w:left="360" w:right="634"/>
        <w:rPr>
          <w:rFonts w:ascii="Times New Roman" w:hAnsi="Times New Roman" w:cs="Times New Roman"/>
          <w:color w:val="000000" w:themeColor="text1"/>
        </w:rPr>
      </w:pPr>
      <w:r>
        <w:rPr>
          <w:rFonts w:ascii="Times New Roman" w:eastAsia="Times New Roman" w:hAnsi="Times New Roman" w:cs="Times New Roman"/>
          <w:bCs/>
        </w:rPr>
        <w:tab/>
        <w:t>Water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Surface Water Management</w:t>
      </w:r>
    </w:p>
    <w:p w:rsidR="00A62D36" w:rsidRPr="00B15DF7" w:rsidRDefault="00A62D36" w:rsidP="00CF52D4">
      <w:pPr>
        <w:ind w:left="360" w:right="630"/>
      </w:pPr>
    </w:p>
    <w:p w:rsidR="00CF52D4" w:rsidRPr="004F673A" w:rsidRDefault="00CF52D4" w:rsidP="00CF52D4">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CF52D4" w:rsidRPr="00B15DF7" w:rsidRDefault="00CF52D4" w:rsidP="00CF52D4">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15A1F7941B9426D8459EF6AB9DF181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45</w:t>
      </w:r>
      <w:r>
        <w:rPr>
          <w:rFonts w:ascii="Times New Roman" w:hAnsi="Times New Roman" w:cs="Times New Roman"/>
          <w:color w:val="000000" w:themeColor="text1"/>
        </w:rPr>
        <w:tab/>
        <w:t>75</w:t>
      </w:r>
      <w:r>
        <w:rPr>
          <w:rFonts w:ascii="Times New Roman" w:hAnsi="Times New Roman" w:cs="Times New Roman"/>
          <w:color w:val="000000" w:themeColor="text1"/>
        </w:rPr>
        <w:tab/>
        <w:t>Permit Fee Schedule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15A1F7941B9426D8459EF6AB9DF1816"/>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4A6C8F0BA7D24668A997089D60383D5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71</w:t>
      </w:r>
      <w:r>
        <w:rPr>
          <w:rFonts w:ascii="Times New Roman" w:hAnsi="Times New Roman" w:cs="Times New Roman"/>
          <w:color w:val="000000" w:themeColor="text1"/>
        </w:rPr>
        <w:tab/>
        <w:t>140</w:t>
      </w:r>
      <w:r>
        <w:rPr>
          <w:rFonts w:ascii="Times New Roman" w:hAnsi="Times New Roman" w:cs="Times New Roman"/>
          <w:color w:val="000000" w:themeColor="text1"/>
        </w:rPr>
        <w:tab/>
        <w:t>Onsite System Fees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4A6C8F0BA7D24668A997089D60383D5E"/>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Default="00CF52D4" w:rsidP="00CF52D4">
      <w:pPr>
        <w:ind w:left="720" w:right="288"/>
        <w:rPr>
          <w:rFonts w:ascii="Times New Roman" w:hAnsi="Times New Roman" w:cs="Times New Roman"/>
          <w:color w:val="000000" w:themeColor="text1"/>
          <w:sz w:val="20"/>
        </w:rPr>
      </w:pPr>
    </w:p>
    <w:p w:rsidR="00CF52D4" w:rsidRPr="00B15DF7" w:rsidRDefault="00CF52D4" w:rsidP="00CF52D4">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CF52D4" w:rsidRPr="00B15DF7" w:rsidRDefault="00CF52D4" w:rsidP="00CF52D4">
      <w:pPr>
        <w:ind w:left="360"/>
        <w:rPr>
          <w:rFonts w:ascii="Times New Roman" w:hAnsi="Times New Roman" w:cs="Times New Roman"/>
          <w:color w:val="000000" w:themeColor="text1"/>
        </w:rPr>
      </w:pPr>
    </w:p>
    <w:p w:rsidR="00CF52D4" w:rsidRPr="000D07CA" w:rsidRDefault="00CF52D4" w:rsidP="00CF52D4">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F52D4" w:rsidRDefault="00CF52D4" w:rsidP="00CF52D4">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454.625, </w:t>
      </w:r>
      <w:r w:rsidRPr="00CB54E6">
        <w:rPr>
          <w:rFonts w:ascii="Times New Roman" w:eastAsia="Times New Roman" w:hAnsi="Times New Roman" w:cs="Times New Roman"/>
          <w:bCs/>
          <w:color w:val="000000" w:themeColor="text1"/>
        </w:rPr>
        <w:t>468.020, 468.065</w:t>
      </w:r>
    </w:p>
    <w:p w:rsidR="00CF52D4" w:rsidRDefault="00CF52D4" w:rsidP="00CF52D4">
      <w:pPr>
        <w:ind w:left="0"/>
        <w:rPr>
          <w:rFonts w:ascii="Times New Roman" w:eastAsia="Times New Roman" w:hAnsi="Times New Roman" w:cs="Times New Roman"/>
          <w:bCs/>
          <w:color w:val="000000" w:themeColor="text1"/>
        </w:rPr>
      </w:pPr>
    </w:p>
    <w:p w:rsidR="00CF52D4" w:rsidRPr="00CB54E6" w:rsidRDefault="00CF52D4" w:rsidP="00CF52D4">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CF52D4" w:rsidRPr="0077580D" w:rsidRDefault="00CF52D4" w:rsidP="00CF52D4">
      <w:pPr>
        <w:tabs>
          <w:tab w:val="left" w:pos="1440"/>
          <w:tab w:val="left" w:pos="5220"/>
          <w:tab w:val="left" w:pos="8640"/>
        </w:tabs>
        <w:ind w:left="720"/>
        <w:rPr>
          <w:rFonts w:ascii="Times New Roman" w:eastAsia="Times New Roman" w:hAnsi="Times New Roman" w:cs="Times New Roman"/>
          <w:bCs/>
          <w:color w:val="000000" w:themeColor="text1"/>
        </w:rPr>
      </w:pPr>
      <w:r w:rsidRPr="0077580D">
        <w:rPr>
          <w:rFonts w:ascii="Times New Roman" w:eastAsia="Times New Roman" w:hAnsi="Times New Roman" w:cs="Times New Roman"/>
          <w:bCs/>
          <w:color w:val="000000" w:themeColor="text1"/>
        </w:rPr>
        <w:t xml:space="preserve">ORS </w:t>
      </w:r>
      <w:r w:rsidRPr="0077580D">
        <w:rPr>
          <w:rFonts w:ascii="Times New Roman" w:hAnsi="Times New Roman" w:cs="Times New Roman"/>
          <w:color w:val="000000"/>
        </w:rPr>
        <w:t>454.745, 454.755, 468.065, 468B.035, 468B.050, 468B.051 and 468B.195</w:t>
      </w:r>
    </w:p>
    <w:p w:rsidR="00CF52D4" w:rsidRPr="0077580D" w:rsidRDefault="00CF52D4" w:rsidP="00CF52D4">
      <w:pPr>
        <w:tabs>
          <w:tab w:val="left" w:pos="1440"/>
          <w:tab w:val="left" w:pos="5220"/>
          <w:tab w:val="left" w:pos="8640"/>
        </w:tabs>
        <w:ind w:left="72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CF52D4" w:rsidRPr="0098522D" w:rsidRDefault="00CF52D4" w:rsidP="00CF52D4">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183.335(2)(b)(C)</w:t>
        </w:r>
      </w:hyperlink>
    </w:p>
    <w:p w:rsidR="00CF52D4" w:rsidRPr="006D34D0" w:rsidRDefault="00CF52D4" w:rsidP="00CF52D4">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Borders>
          <w:top w:val="double" w:sz="4" w:space="0" w:color="auto"/>
          <w:left w:val="double" w:sz="4" w:space="0" w:color="auto"/>
          <w:bottom w:val="double" w:sz="4" w:space="0" w:color="auto"/>
          <w:right w:val="double" w:sz="4" w:space="0" w:color="auto"/>
        </w:tblBorders>
        <w:tblLook w:val="04A0"/>
      </w:tblPr>
      <w:tblGrid>
        <w:gridCol w:w="4590"/>
        <w:gridCol w:w="5183"/>
      </w:tblGrid>
      <w:tr w:rsidR="00CF52D4" w:rsidTr="00CF52D4">
        <w:tc>
          <w:tcPr>
            <w:tcW w:w="4590" w:type="dxa"/>
            <w:shd w:val="clear" w:color="auto" w:fill="008272"/>
            <w:vAlign w:val="center"/>
          </w:tcPr>
          <w:p w:rsidR="00CF52D4" w:rsidRDefault="00CF52D4" w:rsidP="00CF52D4">
            <w:pPr>
              <w:ind w:left="0" w:right="1008"/>
              <w:jc w:val="center"/>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5183" w:type="dxa"/>
            <w:shd w:val="clear" w:color="auto" w:fill="008272"/>
            <w:vAlign w:val="center"/>
          </w:tcPr>
          <w:p w:rsidR="00CF52D4" w:rsidRDefault="00CF52D4" w:rsidP="00CF52D4">
            <w:pPr>
              <w:ind w:left="0" w:right="1008"/>
              <w:jc w:val="center"/>
              <w:rPr>
                <w:rFonts w:asciiTheme="majorHAnsi" w:eastAsia="Times New Roman" w:hAnsiTheme="majorHAnsi" w:cstheme="majorHAnsi"/>
                <w:b/>
                <w:bCs/>
                <w:color w:val="FFFFFF" w:themeColor="background1"/>
                <w:sz w:val="24"/>
                <w:szCs w:val="24"/>
              </w:rPr>
            </w:pPr>
          </w:p>
          <w:p w:rsidR="00CF52D4" w:rsidRDefault="00CF52D4" w:rsidP="00CF52D4">
            <w:pPr>
              <w:ind w:left="0" w:right="1008"/>
              <w:jc w:val="center"/>
              <w:rPr>
                <w:rFonts w:asciiTheme="majorHAnsi" w:eastAsia="Times New Roman" w:hAnsiTheme="majorHAnsi" w:cstheme="majorHAnsi"/>
                <w:b/>
                <w:bCs/>
                <w:color w:val="FFFFFF" w:themeColor="background1"/>
                <w:sz w:val="24"/>
                <w:szCs w:val="24"/>
              </w:rPr>
            </w:pPr>
            <w:r w:rsidRPr="00D27525">
              <w:rPr>
                <w:rFonts w:asciiTheme="majorHAnsi" w:eastAsia="Times New Roman" w:hAnsiTheme="majorHAnsi" w:cstheme="majorHAnsi"/>
                <w:b/>
                <w:bCs/>
                <w:color w:val="FFFFFF" w:themeColor="background1"/>
              </w:rPr>
              <w:t xml:space="preserve">Document </w:t>
            </w:r>
            <w:r>
              <w:rPr>
                <w:rFonts w:asciiTheme="majorHAnsi" w:eastAsia="Times New Roman" w:hAnsiTheme="majorHAnsi" w:cstheme="majorHAnsi"/>
                <w:b/>
                <w:bCs/>
                <w:color w:val="FFFFFF" w:themeColor="background1"/>
              </w:rPr>
              <w:t xml:space="preserve"> </w:t>
            </w:r>
            <w:r w:rsidRPr="00D27525">
              <w:rPr>
                <w:rFonts w:asciiTheme="majorHAnsi" w:eastAsia="Times New Roman" w:hAnsiTheme="majorHAnsi" w:cstheme="majorHAnsi"/>
                <w:b/>
                <w:bCs/>
                <w:color w:val="FFFFFF" w:themeColor="background1"/>
              </w:rPr>
              <w:t>location</w:t>
            </w:r>
          </w:p>
          <w:p w:rsidR="00CF52D4" w:rsidRDefault="00CF52D4" w:rsidP="00CF52D4">
            <w:pPr>
              <w:ind w:left="0" w:right="1008"/>
              <w:jc w:val="center"/>
              <w:rPr>
                <w:rFonts w:ascii="Times New Roman" w:eastAsia="Times New Roman" w:hAnsi="Times New Roman" w:cs="Times New Roman"/>
                <w:b/>
                <w:bCs/>
                <w:color w:val="FFFFFF" w:themeColor="background1"/>
                <w:sz w:val="24"/>
                <w:szCs w:val="24"/>
              </w:rPr>
            </w:pPr>
          </w:p>
        </w:tc>
      </w:tr>
      <w:tr w:rsidR="00CF52D4" w:rsidTr="00CF52D4">
        <w:tc>
          <w:tcPr>
            <w:tcW w:w="4590" w:type="dxa"/>
          </w:tcPr>
          <w:p w:rsidR="00CF52D4" w:rsidRPr="00970C8C" w:rsidRDefault="00CF52D4" w:rsidP="00CF52D4">
            <w:pPr>
              <w:pStyle w:val="DEQSMALLHEADLINES"/>
              <w:outlineLvl w:val="0"/>
              <w:rPr>
                <w:rFonts w:ascii="Times New Roman" w:hAnsi="Times New Roman"/>
                <w:sz w:val="22"/>
                <w:szCs w:val="22"/>
              </w:rPr>
            </w:pPr>
            <w:r w:rsidRPr="00DB3741">
              <w:rPr>
                <w:rFonts w:ascii="Times New Roman" w:hAnsi="Times New Roman"/>
                <w:b w:val="0"/>
                <w:sz w:val="22"/>
                <w:szCs w:val="22"/>
              </w:rPr>
              <w:t>Blue Ribbon Committee Report on Key Enhancements to the Oregon Wastewater Permitting Program – 2004</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http://www.deq.state.or.us/wq/pubs/</w:t>
            </w:r>
          </w:p>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reports/blueribbonrpt.pdf</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Cost factors approved through the state’s budget process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Compensation plan changes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Fee increase calculations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DEQ 2011-13 Legislatively Approved Budget</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 xml:space="preserve">DEQ 2013-15 Governor’s Balanced Budget </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DEQ’s water quality permit database</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Application and annual fee invoice records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Oregon Revised Statutes 468B.051</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http://www.leg.state.or.us/ors/468b.html</w:t>
            </w:r>
          </w:p>
        </w:tc>
      </w:tr>
    </w:tbl>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FC1251" w:rsidRPr="00B15DF7" w:rsidTr="00FC1251">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C1251" w:rsidRPr="0085122C" w:rsidRDefault="00FC1251" w:rsidP="00FC1251">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4" w:history="1">
              <w:r w:rsidRPr="00A00404">
                <w:rPr>
                  <w:rStyle w:val="Hyperlink"/>
                  <w:rFonts w:asciiTheme="minorHAnsi" w:eastAsia="Times New Roman" w:hAnsiTheme="minorHAnsi" w:cstheme="minorHAnsi"/>
                  <w:sz w:val="22"/>
                  <w:szCs w:val="22"/>
                </w:rPr>
                <w:t>ORS 183.335 (2)(b)(E)</w:t>
              </w:r>
            </w:hyperlink>
          </w:p>
        </w:tc>
      </w:tr>
    </w:tbl>
    <w:p w:rsidR="00FC1251" w:rsidRDefault="00FC1251" w:rsidP="00FC1251">
      <w:pPr>
        <w:ind w:left="0" w:right="630"/>
        <w:rPr>
          <w:rFonts w:asciiTheme="majorHAnsi" w:eastAsia="Times New Roman" w:hAnsiTheme="majorHAnsi" w:cstheme="majorHAnsi"/>
          <w:bCs/>
          <w:color w:val="504938"/>
          <w:sz w:val="22"/>
          <w:szCs w:val="22"/>
        </w:rPr>
      </w:pPr>
    </w:p>
    <w:p w:rsidR="00FC1251" w:rsidRDefault="00FC1251" w:rsidP="00FC1251">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C1251" w:rsidRPr="00B15DF7" w:rsidRDefault="00FC1251" w:rsidP="00FC1251">
      <w:pPr>
        <w:ind w:left="360"/>
        <w:rPr>
          <w:rFonts w:ascii="Times New Roman" w:eastAsia="Times New Roman" w:hAnsi="Times New Roman" w:cs="Times New Roman"/>
          <w:bCs/>
          <w:color w:val="000000" w:themeColor="text1"/>
        </w:rPr>
      </w:pPr>
    </w:p>
    <w:p w:rsidR="00FC1251" w:rsidRPr="006F02EB"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FC1251" w:rsidRDefault="00FC1251" w:rsidP="00FC1251">
      <w:pPr>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 xml:space="preserve">Though DEQ cannot determine the extent to which the proposed fees will </w:t>
      </w:r>
      <w:r>
        <w:rPr>
          <w:rFonts w:ascii="Times New Roman" w:hAnsi="Times New Roman" w:cs="Times New Roman"/>
          <w:color w:val="000000"/>
        </w:rPr>
        <w:t>affect</w:t>
      </w:r>
      <w:r w:rsidRPr="007A5E78">
        <w:rPr>
          <w:rFonts w:ascii="Times New Roman" w:hAnsi="Times New Roman" w:cs="Times New Roman"/>
          <w:color w:val="000000"/>
        </w:rPr>
        <w:t xml:space="preserve"> each consumer, DEQ expects some impact on the public, primarily through an increase to the costs of goods and services offered by permit holders. </w:t>
      </w:r>
    </w:p>
    <w:p w:rsidR="00FC1251" w:rsidRPr="00CB54E6" w:rsidRDefault="00FC1251" w:rsidP="00FC1251">
      <w:pPr>
        <w:ind w:left="0"/>
        <w:outlineLvl w:val="0"/>
        <w:rPr>
          <w:rFonts w:ascii="Times New Roman" w:eastAsia="Times New Roman" w:hAnsi="Times New Roman" w:cs="Times New Roman"/>
          <w:color w:val="000000" w:themeColor="text1"/>
        </w:rPr>
      </w:pPr>
    </w:p>
    <w:p w:rsidR="00FC1251" w:rsidRPr="00A00404"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Pr="00A00404">
        <w:t xml:space="preserve"> </w:t>
      </w:r>
      <w:hyperlink r:id="rId15" w:history="1">
        <w:r w:rsidRPr="00A00404">
          <w:rPr>
            <w:rStyle w:val="Hyperlink"/>
            <w:rFonts w:asciiTheme="majorHAnsi" w:eastAsia="Times New Roman" w:hAnsiTheme="majorHAnsi" w:cstheme="majorHAnsi"/>
            <w:bCs/>
            <w:sz w:val="22"/>
            <w:szCs w:val="22"/>
          </w:rPr>
          <w:t>ORS 183.336</w:t>
        </w:r>
      </w:hyperlink>
    </w:p>
    <w:p w:rsidR="00FC1251" w:rsidRPr="004431A7" w:rsidRDefault="00FC1251" w:rsidP="00A27412">
      <w:pPr>
        <w:pStyle w:val="ListParagraph"/>
        <w:autoSpaceDE w:val="0"/>
        <w:autoSpaceDN w:val="0"/>
        <w:adjustRightInd w:val="0"/>
        <w:ind w:left="1080" w:right="918"/>
        <w:rPr>
          <w:rFonts w:ascii="Times New Roman" w:hAnsi="Times New Roman" w:cs="Times New Roman"/>
          <w:color w:val="000000"/>
        </w:rPr>
      </w:pPr>
      <w:r w:rsidRPr="007A5E78">
        <w:rPr>
          <w:rFonts w:ascii="Times New Roman" w:hAnsi="Times New Roman" w:cs="Times New Roman"/>
          <w:color w:val="000000"/>
        </w:rPr>
        <w:t>For this section, DEQ used Oregon Employment Department information to calculate the impact of the proposed fee increases on small businesses. In 2006, the Oregon Employment Department found that 96 percent of Oregon bu</w:t>
      </w:r>
      <w:r>
        <w:rPr>
          <w:rFonts w:ascii="Times New Roman" w:hAnsi="Times New Roman" w:cs="Times New Roman"/>
          <w:color w:val="000000"/>
        </w:rPr>
        <w:t xml:space="preserve">sinesses were small businesses. </w:t>
      </w:r>
      <w:r w:rsidRPr="007A5E78">
        <w:rPr>
          <w:rFonts w:ascii="Times New Roman" w:hAnsi="Times New Roman" w:cs="Times New Roman"/>
          <w:color w:val="000000"/>
        </w:rPr>
        <w:t>Although DEQ cannot deter</w:t>
      </w:r>
      <w:r>
        <w:rPr>
          <w:rFonts w:ascii="Times New Roman" w:hAnsi="Times New Roman" w:cs="Times New Roman"/>
          <w:color w:val="000000"/>
        </w:rPr>
        <w:t>mine the extent to which the 2.9</w:t>
      </w:r>
      <w:r w:rsidRPr="007A5E78">
        <w:rPr>
          <w:rFonts w:ascii="Times New Roman" w:hAnsi="Times New Roman" w:cs="Times New Roman"/>
          <w:color w:val="000000"/>
        </w:rPr>
        <w:t xml:space="preserve"> percent fee increases will </w:t>
      </w:r>
      <w:r>
        <w:rPr>
          <w:rFonts w:ascii="Times New Roman" w:hAnsi="Times New Roman" w:cs="Times New Roman"/>
          <w:color w:val="000000"/>
        </w:rPr>
        <w:t>affect</w:t>
      </w:r>
      <w:r w:rsidRPr="007A5E78">
        <w:rPr>
          <w:rFonts w:ascii="Times New Roman" w:hAnsi="Times New Roman" w:cs="Times New Roman"/>
          <w:color w:val="000000"/>
        </w:rPr>
        <w:t xml:space="preserve"> each permit holder, DEQ expects that the fee increase will have </w:t>
      </w:r>
      <w:r>
        <w:rPr>
          <w:rFonts w:ascii="Times New Roman" w:hAnsi="Times New Roman" w:cs="Times New Roman"/>
          <w:color w:val="000000"/>
        </w:rPr>
        <w:t xml:space="preserve">an </w:t>
      </w:r>
      <w:r w:rsidRPr="007A5E78">
        <w:rPr>
          <w:rFonts w:ascii="Times New Roman" w:hAnsi="Times New Roman" w:cs="Times New Roman"/>
          <w:color w:val="000000"/>
        </w:rPr>
        <w:t xml:space="preserve">impact on small businesses. Fiscal impact to a small business </w:t>
      </w:r>
      <w:r>
        <w:rPr>
          <w:rFonts w:ascii="Times New Roman" w:hAnsi="Times New Roman" w:cs="Times New Roman"/>
          <w:color w:val="000000"/>
        </w:rPr>
        <w:t xml:space="preserve">depends </w:t>
      </w:r>
      <w:r w:rsidRPr="007A5E78">
        <w:rPr>
          <w:rFonts w:ascii="Times New Roman" w:hAnsi="Times New Roman" w:cs="Times New Roman"/>
          <w:color w:val="000000"/>
        </w:rPr>
        <w:t>on the type of permit issued, bu</w:t>
      </w:r>
      <w:r>
        <w:rPr>
          <w:rFonts w:ascii="Times New Roman" w:hAnsi="Times New Roman" w:cs="Times New Roman"/>
          <w:color w:val="000000"/>
        </w:rPr>
        <w:t>t application fee increases would</w:t>
      </w:r>
      <w:r w:rsidRPr="007A5E78">
        <w:rPr>
          <w:rFonts w:ascii="Times New Roman" w:hAnsi="Times New Roman" w:cs="Times New Roman"/>
          <w:color w:val="000000"/>
        </w:rPr>
        <w:t xml:space="preserve"> range from </w:t>
      </w:r>
      <w:r w:rsidRPr="00E528B4">
        <w:rPr>
          <w:rFonts w:ascii="Times New Roman" w:hAnsi="Times New Roman" w:cs="Times New Roman"/>
          <w:color w:val="000000"/>
        </w:rPr>
        <w:t>$6 to $1</w:t>
      </w:r>
      <w:r>
        <w:rPr>
          <w:rFonts w:ascii="Times New Roman" w:hAnsi="Times New Roman" w:cs="Times New Roman"/>
          <w:color w:val="000000"/>
        </w:rPr>
        <w:t>,469</w:t>
      </w:r>
      <w:r w:rsidRPr="007A5E78">
        <w:rPr>
          <w:rFonts w:ascii="Times New Roman" w:hAnsi="Times New Roman" w:cs="Times New Roman"/>
          <w:color w:val="000000"/>
        </w:rPr>
        <w:t xml:space="preserve"> and annu</w:t>
      </w:r>
      <w:r>
        <w:rPr>
          <w:rFonts w:ascii="Times New Roman" w:hAnsi="Times New Roman" w:cs="Times New Roman"/>
          <w:color w:val="000000"/>
        </w:rPr>
        <w:t>al fee increases would</w:t>
      </w:r>
      <w:r w:rsidRPr="007A5E78">
        <w:rPr>
          <w:rFonts w:ascii="Times New Roman" w:hAnsi="Times New Roman" w:cs="Times New Roman"/>
          <w:color w:val="000000"/>
        </w:rPr>
        <w:t xml:space="preserve"> range </w:t>
      </w:r>
      <w:r w:rsidRPr="00E528B4">
        <w:rPr>
          <w:rFonts w:ascii="Times New Roman" w:hAnsi="Times New Roman" w:cs="Times New Roman"/>
          <w:color w:val="000000"/>
        </w:rPr>
        <w:t>from $2 to $2,</w:t>
      </w:r>
      <w:r>
        <w:rPr>
          <w:rFonts w:ascii="Times New Roman" w:hAnsi="Times New Roman" w:cs="Times New Roman"/>
          <w:color w:val="000000"/>
        </w:rPr>
        <w:t>724</w:t>
      </w:r>
      <w:r w:rsidRPr="007A5E78">
        <w:rPr>
          <w:rFonts w:ascii="Times New Roman" w:hAnsi="Times New Roman" w:cs="Times New Roman"/>
          <w:color w:val="000000"/>
        </w:rPr>
        <w:t xml:space="preserve">. </w:t>
      </w:r>
    </w:p>
    <w:p w:rsidR="00FC1251" w:rsidRDefault="00FC1251" w:rsidP="00FC1251">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C1251" w:rsidRPr="00B15DF7" w:rsidTr="00FC1251">
        <w:trPr>
          <w:trHeight w:val="1701"/>
        </w:trPr>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C1251" w:rsidRPr="0085122C" w:rsidRDefault="00FC1251" w:rsidP="00FC1251">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FC1251" w:rsidRPr="0012596F" w:rsidRDefault="00FC1251" w:rsidP="00FC1251">
            <w:pPr>
              <w:pStyle w:val="Default"/>
              <w:ind w:left="342"/>
              <w:rPr>
                <w:rFonts w:ascii="Times New Roman" w:hAnsi="Times New Roman" w:cs="Times New Roman"/>
                <w:b w:val="0"/>
                <w:sz w:val="24"/>
                <w:szCs w:val="24"/>
              </w:rPr>
            </w:pPr>
            <w:r w:rsidRPr="0012596F">
              <w:rPr>
                <w:rFonts w:ascii="Times New Roman" w:hAnsi="Times New Roman" w:cs="Times New Roman"/>
                <w:b w:val="0"/>
                <w:sz w:val="24"/>
                <w:szCs w:val="24"/>
              </w:rPr>
              <w:t xml:space="preserve">DEQ estimates </w:t>
            </w:r>
            <w:r>
              <w:rPr>
                <w:rFonts w:ascii="Times New Roman" w:hAnsi="Times New Roman" w:cs="Times New Roman"/>
                <w:b w:val="0"/>
                <w:sz w:val="24"/>
                <w:szCs w:val="24"/>
              </w:rPr>
              <w:t xml:space="preserve">3,000 </w:t>
            </w:r>
            <w:r w:rsidRPr="0012596F">
              <w:rPr>
                <w:rFonts w:ascii="Times New Roman" w:hAnsi="Times New Roman" w:cs="Times New Roman"/>
                <w:b w:val="0"/>
                <w:sz w:val="24"/>
                <w:szCs w:val="24"/>
              </w:rPr>
              <w:t>wastewater pe</w:t>
            </w:r>
            <w:r>
              <w:rPr>
                <w:rFonts w:ascii="Times New Roman" w:hAnsi="Times New Roman" w:cs="Times New Roman"/>
                <w:b w:val="0"/>
                <w:sz w:val="24"/>
                <w:szCs w:val="24"/>
              </w:rPr>
              <w:t xml:space="preserve">rmit holders </w:t>
            </w:r>
            <w:r w:rsidRPr="0012596F">
              <w:rPr>
                <w:rFonts w:ascii="Times New Roman" w:hAnsi="Times New Roman" w:cs="Times New Roman"/>
                <w:b w:val="0"/>
                <w:sz w:val="24"/>
                <w:szCs w:val="24"/>
              </w:rPr>
              <w:t>are small businesses</w:t>
            </w:r>
            <w:r>
              <w:rPr>
                <w:rFonts w:ascii="Times New Roman" w:hAnsi="Times New Roman" w:cs="Times New Roman"/>
                <w:b w:val="0"/>
                <w:sz w:val="24"/>
                <w:szCs w:val="24"/>
              </w:rPr>
              <w:t>, and would be affected by the 2.9</w:t>
            </w:r>
            <w:r w:rsidRPr="0012596F">
              <w:rPr>
                <w:rFonts w:ascii="Times New Roman" w:hAnsi="Times New Roman" w:cs="Times New Roman"/>
                <w:b w:val="0"/>
                <w:sz w:val="24"/>
                <w:szCs w:val="24"/>
              </w:rPr>
              <w:t xml:space="preserve"> percent fee increase. </w:t>
            </w:r>
          </w:p>
          <w:p w:rsidR="00FC1251" w:rsidRDefault="00FC1251" w:rsidP="00FC1251">
            <w:pPr>
              <w:ind w:left="360"/>
              <w:outlineLvl w:val="0"/>
              <w:rPr>
                <w:rFonts w:ascii="Times New Roman" w:eastAsia="Times New Roman" w:hAnsi="Times New Roman" w:cs="Times New Roman"/>
                <w:color w:val="000000" w:themeColor="text1"/>
              </w:rPr>
            </w:pPr>
          </w:p>
          <w:p w:rsidR="00FC1251" w:rsidRPr="00D126CA" w:rsidRDefault="00FC1251" w:rsidP="00FC1251">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types of </w:t>
            </w:r>
            <w:r>
              <w:rPr>
                <w:rFonts w:ascii="Times New Roman" w:hAnsi="Times New Roman" w:cs="Times New Roman"/>
                <w:b w:val="0"/>
                <w:sz w:val="24"/>
                <w:szCs w:val="24"/>
              </w:rPr>
              <w:t xml:space="preserve">small </w:t>
            </w:r>
            <w:r w:rsidRPr="00D126CA">
              <w:rPr>
                <w:rFonts w:ascii="Times New Roman" w:hAnsi="Times New Roman" w:cs="Times New Roman"/>
                <w:b w:val="0"/>
                <w:sz w:val="24"/>
                <w:szCs w:val="24"/>
              </w:rPr>
              <w:t xml:space="preserve">businesses/industries holding wastewater permits include, but are not limited to: food processors, mining operations, dairies, fish hatcheries, smelting/refining operations, timber processing, wood products manufacturing, retail operations, seafood processors, gravel mining, wineries, seasonal fresh pack operations, petroleum hydrocarbon clean-up operations, and vehicle and equipment wash water operations. </w:t>
            </w:r>
          </w:p>
          <w:p w:rsidR="00FC1251" w:rsidRDefault="00FC1251" w:rsidP="00FC1251">
            <w:pPr>
              <w:pStyle w:val="ListParagraph"/>
              <w:spacing w:after="120"/>
              <w:ind w:left="342"/>
              <w:outlineLvl w:val="0"/>
            </w:pPr>
          </w:p>
          <w:p w:rsidR="00FC1251" w:rsidRPr="004431A7" w:rsidRDefault="00FC1251" w:rsidP="00FC1251">
            <w:pPr>
              <w:ind w:left="360"/>
              <w:outlineLvl w:val="0"/>
              <w:rPr>
                <w:rFonts w:ascii="Times New Roman" w:hAnsi="Times New Roman" w:cs="Times New Roman"/>
                <w:sz w:val="24"/>
                <w:szCs w:val="24"/>
              </w:rPr>
            </w:pPr>
            <w:r w:rsidRPr="00D126CA">
              <w:rPr>
                <w:rFonts w:ascii="Times New Roman" w:hAnsi="Times New Roman" w:cs="Times New Roman"/>
                <w:sz w:val="24"/>
                <w:szCs w:val="24"/>
              </w:rPr>
              <w:t xml:space="preserve">The types of </w:t>
            </w:r>
            <w:r>
              <w:rPr>
                <w:rFonts w:ascii="Times New Roman" w:hAnsi="Times New Roman" w:cs="Times New Roman"/>
                <w:sz w:val="24"/>
                <w:szCs w:val="24"/>
              </w:rPr>
              <w:t xml:space="preserve">small </w:t>
            </w:r>
            <w:r w:rsidRPr="00D126CA">
              <w:rPr>
                <w:rFonts w:ascii="Times New Roman" w:hAnsi="Times New Roman" w:cs="Times New Roman"/>
                <w:sz w:val="24"/>
                <w:szCs w:val="24"/>
              </w:rPr>
              <w:t xml:space="preserve">businesses/industries holding </w:t>
            </w:r>
            <w:r>
              <w:rPr>
                <w:rFonts w:ascii="Times New Roman" w:hAnsi="Times New Roman" w:cs="Times New Roman"/>
                <w:sz w:val="24"/>
                <w:szCs w:val="24"/>
              </w:rPr>
              <w:t>WPCF O</w:t>
            </w:r>
            <w:r w:rsidRPr="00D126CA">
              <w:rPr>
                <w:rFonts w:ascii="Times New Roman" w:hAnsi="Times New Roman" w:cs="Times New Roman"/>
                <w:sz w:val="24"/>
                <w:szCs w:val="24"/>
              </w:rPr>
              <w:t xml:space="preserve">nsite septic system permits include, but are not limited to: machine shops, offices, retail </w:t>
            </w:r>
            <w:r>
              <w:rPr>
                <w:rFonts w:ascii="Times New Roman" w:hAnsi="Times New Roman" w:cs="Times New Roman"/>
                <w:sz w:val="24"/>
                <w:szCs w:val="24"/>
              </w:rPr>
              <w:t>stores, recreation vehicle</w:t>
            </w:r>
            <w:r w:rsidRPr="00AB0850">
              <w:rPr>
                <w:rFonts w:ascii="Times New Roman" w:hAnsi="Times New Roman" w:cs="Times New Roman"/>
                <w:sz w:val="24"/>
                <w:szCs w:val="24"/>
              </w:rPr>
              <w:t xml:space="preserve"> parks, mobile home parks, private camps, golf courses, churches, resorts, restaurants, gas stations, markets, taverns and industry. </w:t>
            </w:r>
          </w:p>
          <w:p w:rsidR="00FC1251" w:rsidRPr="0065626B" w:rsidRDefault="00FC1251" w:rsidP="00FC1251">
            <w:pPr>
              <w:pStyle w:val="ListParagraph"/>
              <w:spacing w:after="120"/>
              <w:ind w:left="342"/>
              <w:outlineLvl w:val="0"/>
              <w:rPr>
                <w:rFonts w:asciiTheme="majorHAnsi" w:eastAsia="Times New Roman" w:hAnsiTheme="majorHAnsi" w:cstheme="majorHAnsi"/>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Pr="00D126CA" w:rsidRDefault="00FC1251" w:rsidP="00FC1251">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The proposed rules do not require additional administrative activities.</w:t>
            </w:r>
          </w:p>
          <w:p w:rsidR="00FC1251" w:rsidRPr="0085122C" w:rsidRDefault="00FC1251" w:rsidP="00FC1251">
            <w:pPr>
              <w:pStyle w:val="ListParagraph"/>
              <w:spacing w:after="120"/>
              <w:ind w:left="342"/>
              <w:outlineLvl w:val="0"/>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Default="00FC1251" w:rsidP="00FC1251">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FC1251" w:rsidRPr="0085122C" w:rsidRDefault="00FC1251" w:rsidP="00FC1251">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036E46" w:rsidRDefault="00FC1251" w:rsidP="00036E46">
            <w:pPr>
              <w:pStyle w:val="Default"/>
              <w:ind w:left="342"/>
              <w:rPr>
                <w:rFonts w:ascii="Times New Roman" w:hAnsi="Times New Roman" w:cs="Times New Roman"/>
                <w:b w:val="0"/>
                <w:sz w:val="24"/>
                <w:szCs w:val="24"/>
              </w:rPr>
            </w:pPr>
            <w:r w:rsidRPr="00AB0850">
              <w:rPr>
                <w:rFonts w:ascii="Times New Roman" w:hAnsi="Times New Roman" w:cs="Times New Roman"/>
                <w:b w:val="0"/>
                <w:sz w:val="24"/>
                <w:szCs w:val="24"/>
              </w:rPr>
              <w:t>The proposal to allow DEQ to seek an up-to-</w:t>
            </w:r>
            <w:r>
              <w:rPr>
                <w:rFonts w:ascii="Times New Roman" w:hAnsi="Times New Roman" w:cs="Times New Roman"/>
                <w:b w:val="0"/>
                <w:sz w:val="24"/>
                <w:szCs w:val="24"/>
              </w:rPr>
              <w:t>three</w:t>
            </w:r>
            <w:r w:rsidRPr="00AB0850">
              <w:rPr>
                <w:rFonts w:ascii="Times New Roman" w:hAnsi="Times New Roman" w:cs="Times New Roman"/>
                <w:b w:val="0"/>
                <w:sz w:val="24"/>
                <w:szCs w:val="24"/>
              </w:rPr>
              <w:t xml:space="preserve"> percent annual fee increase to account for program cost increases originated with the Blue Ribbon Committee. The committee represents the wastewater community as a whole, and includes small businesses. DEQ met with the committee on May 23, 2013, provided a summary of the proposed rule, and gathered input.  </w:t>
            </w:r>
          </w:p>
          <w:p w:rsidR="00A62D36" w:rsidRDefault="00A62D36" w:rsidP="00036E46">
            <w:pPr>
              <w:pStyle w:val="Default"/>
              <w:ind w:left="342"/>
              <w:rPr>
                <w:rFonts w:ascii="Times New Roman" w:hAnsi="Times New Roman" w:cs="Times New Roman"/>
                <w:b w:val="0"/>
                <w:sz w:val="24"/>
                <w:szCs w:val="24"/>
              </w:rPr>
            </w:pPr>
          </w:p>
          <w:p w:rsidR="00036E46" w:rsidRPr="00036E46" w:rsidRDefault="00036E46" w:rsidP="00036E46">
            <w:pPr>
              <w:pStyle w:val="Default"/>
              <w:ind w:left="342"/>
              <w:rPr>
                <w:rFonts w:ascii="Times New Roman" w:hAnsi="Times New Roman" w:cs="Times New Roman"/>
                <w:b w:val="0"/>
                <w:sz w:val="24"/>
                <w:szCs w:val="24"/>
              </w:rPr>
            </w:pPr>
          </w:p>
        </w:tc>
      </w:tr>
    </w:tbl>
    <w:p w:rsidR="00FC1251" w:rsidRPr="004E1049" w:rsidRDefault="00FC1251" w:rsidP="00FC1251">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FC1251" w:rsidRPr="00AB0850" w:rsidRDefault="00FC1251" w:rsidP="00036E46">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rPr>
        <w:t xml:space="preserve">DEQ estimates 150 wastewater permit holders are large businesses and would be </w:t>
      </w:r>
      <w:r>
        <w:rPr>
          <w:rFonts w:ascii="Times New Roman" w:hAnsi="Times New Roman" w:cs="Times New Roman"/>
        </w:rPr>
        <w:t xml:space="preserve">affected </w:t>
      </w:r>
      <w:r w:rsidRPr="00AB0850">
        <w:rPr>
          <w:rFonts w:ascii="Times New Roman" w:hAnsi="Times New Roman" w:cs="Times New Roman"/>
        </w:rPr>
        <w:t>by the 2.9 percent fee increase.</w:t>
      </w:r>
      <w:r w:rsidRPr="00AB0850">
        <w:rPr>
          <w:rFonts w:ascii="Times New Roman" w:hAnsi="Times New Roman" w:cs="Times New Roman"/>
          <w:color w:val="000000"/>
        </w:rPr>
        <w:t xml:space="preserve"> DEQ anticipates that for these businesses, the fee increase is small compared to the overall yearly operating costs of permit holders. </w:t>
      </w:r>
    </w:p>
    <w:p w:rsidR="00FC1251" w:rsidRDefault="00FC1251" w:rsidP="00FC1251">
      <w:pPr>
        <w:ind w:left="0"/>
        <w:outlineLvl w:val="0"/>
        <w:rPr>
          <w:rFonts w:asciiTheme="majorHAnsi" w:eastAsia="Times New Roman" w:hAnsiTheme="majorHAnsi" w:cstheme="majorHAnsi"/>
          <w:bCs/>
          <w:color w:val="504938"/>
          <w:sz w:val="22"/>
          <w:szCs w:val="22"/>
        </w:rPr>
      </w:pPr>
    </w:p>
    <w:p w:rsidR="00FC1251" w:rsidRPr="006F02EB"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4.  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entities other than DEQ</w:t>
      </w:r>
    </w:p>
    <w:p w:rsidR="00FC1251" w:rsidRPr="00632C0D" w:rsidRDefault="00FC1251" w:rsidP="00FC1251">
      <w:pPr>
        <w:pStyle w:val="ListParagraph"/>
        <w:numPr>
          <w:ilvl w:val="0"/>
          <w:numId w:val="33"/>
        </w:numPr>
        <w:tabs>
          <w:tab w:val="left" w:pos="3960"/>
        </w:tabs>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p>
    <w:p w:rsidR="00FC1251" w:rsidRPr="004E1049" w:rsidRDefault="00FC1251" w:rsidP="00FC1251">
      <w:pPr>
        <w:pStyle w:val="ListParagraph"/>
        <w:autoSpaceDE w:val="0"/>
        <w:autoSpaceDN w:val="0"/>
        <w:adjustRightInd w:val="0"/>
        <w:ind w:left="1800"/>
        <w:rPr>
          <w:rFonts w:ascii="Times New Roman" w:hAnsi="Times New Roman" w:cs="Times New Roman"/>
          <w:color w:val="000000"/>
        </w:rPr>
      </w:pPr>
      <w:r w:rsidRPr="00AB0850">
        <w:rPr>
          <w:rFonts w:ascii="Times New Roman" w:hAnsi="Times New Roman" w:cs="Times New Roman"/>
          <w:color w:val="000000"/>
        </w:rPr>
        <w:t xml:space="preserve">For this section, a local government is defined as 1) a group of local government functions within a jurisdiction that each hold water quality permits (e.g., City of Portland – including Portland School District and Port of Portland – is counted as one local government); or 2) a single organization within a jurisdiction, if only one local government function holds a permit (e.g., includes but is not limited to water districts, cities, towns, ports, sanitary districts, library districts, counties and school districts). This rulemaking will increase water quality permit fees by 2.9 percent for 361 local governments that hold approximately 653 permits. Fiscal impact to local governments </w:t>
      </w:r>
      <w:r>
        <w:rPr>
          <w:rFonts w:ascii="Times New Roman" w:hAnsi="Times New Roman" w:cs="Times New Roman"/>
          <w:color w:val="000000"/>
        </w:rPr>
        <w:t>depends on</w:t>
      </w:r>
      <w:r w:rsidRPr="00AB0850">
        <w:rPr>
          <w:rFonts w:ascii="Times New Roman" w:hAnsi="Times New Roman" w:cs="Times New Roman"/>
          <w:color w:val="000000"/>
        </w:rPr>
        <w:t xml:space="preserve"> the type of permit issued, but application fee increases would range from $6 to $1,469 and annual fee increases would range from $2 to $2,724. </w:t>
      </w:r>
    </w:p>
    <w:p w:rsidR="00FC1251" w:rsidRPr="004E1049" w:rsidRDefault="00FC1251" w:rsidP="00FC1251">
      <w:pPr>
        <w:ind w:right="630"/>
        <w:outlineLvl w:val="0"/>
        <w:rPr>
          <w:rFonts w:asciiTheme="minorHAnsi" w:eastAsia="Times New Roman" w:hAnsiTheme="minorHAnsi" w:cstheme="minorHAnsi"/>
          <w:bCs/>
          <w:color w:val="504938"/>
        </w:rPr>
      </w:pPr>
    </w:p>
    <w:p w:rsidR="00FC1251" w:rsidRDefault="00FC1251" w:rsidP="00FC1251">
      <w:pPr>
        <w:pStyle w:val="ListParagraph"/>
        <w:numPr>
          <w:ilvl w:val="0"/>
          <w:numId w:val="33"/>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agencies</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p>
    <w:p w:rsidR="00FC1251" w:rsidRPr="00AB0850" w:rsidRDefault="00FC1251" w:rsidP="00FC1251">
      <w:pPr>
        <w:pStyle w:val="ListParagraph"/>
        <w:ind w:left="1800" w:right="630"/>
        <w:outlineLvl w:val="0"/>
        <w:rPr>
          <w:rFonts w:ascii="Times New Roman" w:eastAsia="Times New Roman" w:hAnsi="Times New Roman" w:cs="Times New Roman"/>
          <w:bCs/>
          <w:color w:val="504938"/>
        </w:rPr>
      </w:pPr>
      <w:r w:rsidRPr="00AB0850">
        <w:rPr>
          <w:rFonts w:ascii="Times New Roman" w:hAnsi="Times New Roman" w:cs="Times New Roman"/>
          <w:color w:val="000000"/>
        </w:rPr>
        <w:t xml:space="preserve">Twenty-one Oregon state agencies hold about 137 water quality permits. Fiscal impact to state agencies </w:t>
      </w:r>
      <w:r>
        <w:rPr>
          <w:rFonts w:ascii="Times New Roman" w:hAnsi="Times New Roman" w:cs="Times New Roman"/>
          <w:color w:val="000000"/>
        </w:rPr>
        <w:t xml:space="preserve">depends </w:t>
      </w:r>
      <w:r w:rsidRPr="00AB0850">
        <w:rPr>
          <w:rFonts w:ascii="Times New Roman" w:hAnsi="Times New Roman" w:cs="Times New Roman"/>
          <w:color w:val="000000"/>
        </w:rPr>
        <w:t xml:space="preserve">on the type of permit issued, but application fee increases would range from $6 to $1,469 and annual fee increases would range from $2 to $2,724.   </w:t>
      </w:r>
    </w:p>
    <w:p w:rsidR="00FC1251" w:rsidRPr="004E1049" w:rsidRDefault="00FC1251" w:rsidP="00FC1251">
      <w:pPr>
        <w:spacing w:after="120"/>
        <w:ind w:left="0"/>
        <w:outlineLvl w:val="0"/>
        <w:rPr>
          <w:rFonts w:ascii="Times New Roman" w:eastAsia="Times New Roman" w:hAnsi="Times New Roman" w:cs="Times New Roman"/>
          <w:highlight w:val="yellow"/>
        </w:rPr>
      </w:pPr>
    </w:p>
    <w:p w:rsidR="00FC1251"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Pr>
          <w:rFonts w:asciiTheme="minorHAnsi" w:eastAsia="Times New Roman" w:hAnsiTheme="minorHAnsi" w:cstheme="minorHAnsi"/>
          <w:bCs/>
          <w:color w:val="504938"/>
        </w:rPr>
        <w:t xml:space="preserve">   </w:t>
      </w:r>
    </w:p>
    <w:p w:rsidR="00FC1251" w:rsidRPr="00036E46" w:rsidRDefault="00FC1251" w:rsidP="00036E46">
      <w:pPr>
        <w:spacing w:after="120"/>
        <w:ind w:left="720"/>
        <w:outlineLvl w:val="0"/>
        <w:rPr>
          <w:rFonts w:ascii="Times New Roman" w:eastAsia="Times New Roman" w:hAnsi="Times New Roman" w:cs="Times New Roman"/>
        </w:rPr>
      </w:pPr>
      <w:r w:rsidRPr="00AB0850">
        <w:rPr>
          <w:rFonts w:ascii="Times New Roman" w:hAnsi="Times New Roman" w:cs="Times New Roman"/>
          <w:color w:val="000000"/>
        </w:rPr>
        <w:t xml:space="preserve">The proposed 2.9 percent fee increase will generate approximately $145,000 during fiscal year 2014 to cover increased water quality program costs. </w:t>
      </w:r>
    </w:p>
    <w:p w:rsidR="00FC1251" w:rsidRDefault="00FC1251" w:rsidP="00FC1251">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FC1251" w:rsidRPr="00FD4C93" w:rsidRDefault="00FC1251" w:rsidP="00FC1251">
      <w:pPr>
        <w:spacing w:after="120"/>
        <w:ind w:left="720" w:right="634"/>
        <w:rPr>
          <w:rFonts w:asciiTheme="minorHAnsi" w:hAnsiTheme="minorHAnsi" w:cstheme="minorHAnsi"/>
          <w:iCs/>
          <w:color w:val="000000" w:themeColor="text1"/>
        </w:rPr>
      </w:pPr>
      <w:r w:rsidRPr="00FD4C93">
        <w:rPr>
          <w:rFonts w:asciiTheme="minorHAnsi" w:hAnsiTheme="minorHAnsi" w:cstheme="minorHAnsi"/>
          <w:iCs/>
          <w:color w:val="000000" w:themeColor="text1"/>
        </w:rPr>
        <w:t xml:space="preserve">DEQ met </w:t>
      </w:r>
      <w:r w:rsidRPr="00FD4C93">
        <w:rPr>
          <w:rFonts w:asciiTheme="minorHAnsi" w:hAnsiTheme="minorHAnsi" w:cstheme="minorHAnsi"/>
        </w:rPr>
        <w:t>with the Blue Ribbon Committee</w:t>
      </w:r>
      <w:r w:rsidRPr="00FD4C93">
        <w:rPr>
          <w:rFonts w:asciiTheme="minorHAnsi" w:hAnsiTheme="minorHAnsi" w:cstheme="minorHAnsi"/>
          <w:iCs/>
          <w:color w:val="000000" w:themeColor="text1"/>
        </w:rPr>
        <w:t xml:space="preserve"> (advisory committee) and considered the committee’s recommendations on this fiscal and economic impact statement. </w:t>
      </w:r>
    </w:p>
    <w:p w:rsidR="00FC1251" w:rsidRPr="00FD4C93" w:rsidRDefault="00FC1251" w:rsidP="00FC1251">
      <w:pPr>
        <w:spacing w:after="120"/>
        <w:ind w:left="720" w:right="634"/>
        <w:rPr>
          <w:rFonts w:asciiTheme="minorHAnsi" w:hAnsiTheme="minorHAnsi" w:cstheme="minorHAnsi"/>
          <w:iCs/>
          <w:color w:val="000000" w:themeColor="text1"/>
        </w:rPr>
      </w:pPr>
      <w:r w:rsidRPr="00FD4C93">
        <w:rPr>
          <w:rFonts w:asciiTheme="minorHAnsi" w:hAnsiTheme="minorHAnsi" w:cstheme="minorHAnsi"/>
          <w:iCs/>
          <w:color w:val="000000" w:themeColor="text1"/>
        </w:rPr>
        <w:t xml:space="preserve">In compliance with </w:t>
      </w:r>
      <w:hyperlink r:id="rId16" w:history="1">
        <w:r w:rsidRPr="00FD4C93">
          <w:rPr>
            <w:rStyle w:val="Hyperlink"/>
            <w:rFonts w:asciiTheme="minorHAnsi" w:hAnsiTheme="minorHAnsi" w:cstheme="minorHAnsi"/>
            <w:iCs/>
          </w:rPr>
          <w:t>ORS 183.333</w:t>
        </w:r>
      </w:hyperlink>
      <w:r w:rsidRPr="00FD4C93">
        <w:rPr>
          <w:rFonts w:asciiTheme="minorHAnsi" w:hAnsiTheme="minorHAnsi" w:cstheme="minorHAnsi"/>
          <w:iCs/>
          <w:color w:val="000000" w:themeColor="text1"/>
        </w:rPr>
        <w:t>, DEQ asked for the committee’s recommendations on:</w:t>
      </w:r>
    </w:p>
    <w:p w:rsidR="00FC1251" w:rsidRPr="00FD4C93" w:rsidRDefault="00FC1251" w:rsidP="00FC1251">
      <w:pPr>
        <w:pStyle w:val="ListParagraph"/>
        <w:numPr>
          <w:ilvl w:val="0"/>
          <w:numId w:val="12"/>
        </w:numPr>
        <w:ind w:left="1440" w:right="630"/>
        <w:rPr>
          <w:rFonts w:asciiTheme="minorHAnsi" w:eastAsia="Times New Roman" w:hAnsiTheme="minorHAnsi" w:cstheme="minorHAnsi"/>
          <w:bCs/>
          <w:color w:val="000000" w:themeColor="text1"/>
        </w:rPr>
      </w:pPr>
      <w:r w:rsidRPr="00FD4C93">
        <w:rPr>
          <w:rFonts w:asciiTheme="minorHAnsi" w:hAnsiTheme="minorHAnsi" w:cstheme="minorHAnsi"/>
          <w:iCs/>
          <w:color w:val="000000" w:themeColor="text1"/>
        </w:rPr>
        <w:t xml:space="preserve">Whether the proposed rules would have a fiscal impact, </w:t>
      </w:r>
    </w:p>
    <w:p w:rsidR="00FC1251" w:rsidRPr="00FD4C93" w:rsidRDefault="00FC1251" w:rsidP="00FC1251">
      <w:pPr>
        <w:pStyle w:val="ListParagraph"/>
        <w:numPr>
          <w:ilvl w:val="0"/>
          <w:numId w:val="12"/>
        </w:numPr>
        <w:ind w:left="1440" w:right="630"/>
        <w:rPr>
          <w:rFonts w:asciiTheme="minorHAnsi" w:eastAsia="Times New Roman" w:hAnsiTheme="minorHAnsi" w:cstheme="minorHAnsi"/>
          <w:bCs/>
          <w:color w:val="000000" w:themeColor="text1"/>
        </w:rPr>
      </w:pPr>
      <w:r w:rsidRPr="00FD4C93">
        <w:rPr>
          <w:rFonts w:asciiTheme="minorHAnsi" w:hAnsiTheme="minorHAnsi" w:cstheme="minorHAnsi"/>
          <w:iCs/>
          <w:color w:val="000000" w:themeColor="text1"/>
        </w:rPr>
        <w:t>The extent of the impact, and</w:t>
      </w:r>
    </w:p>
    <w:p w:rsidR="00FC1251" w:rsidRPr="00FD4C93" w:rsidRDefault="00FC1251" w:rsidP="00FC1251">
      <w:pPr>
        <w:pStyle w:val="ListParagraph"/>
        <w:numPr>
          <w:ilvl w:val="0"/>
          <w:numId w:val="12"/>
        </w:numPr>
        <w:spacing w:after="120"/>
        <w:ind w:left="1440" w:right="634"/>
        <w:rPr>
          <w:rFonts w:asciiTheme="minorHAnsi" w:eastAsia="Times New Roman" w:hAnsiTheme="minorHAnsi" w:cstheme="minorHAnsi"/>
          <w:bCs/>
          <w:color w:val="000000" w:themeColor="text1"/>
        </w:rPr>
      </w:pPr>
      <w:r w:rsidRPr="00FD4C93">
        <w:rPr>
          <w:rFonts w:asciiTheme="minorHAnsi" w:hAnsiTheme="minorHAnsi" w:cstheme="minorHAnsi"/>
          <w:iCs/>
          <w:color w:val="000000" w:themeColor="text1"/>
        </w:rPr>
        <w:t xml:space="preserve">Whether the proposed rules would have a significant impact on small businesses and compliance with </w:t>
      </w:r>
      <w:hyperlink r:id="rId17" w:history="1">
        <w:r w:rsidRPr="00FD4C93">
          <w:rPr>
            <w:rStyle w:val="Hyperlink"/>
            <w:rFonts w:asciiTheme="minorHAnsi" w:hAnsiTheme="minorHAnsi" w:cstheme="minorHAnsi"/>
            <w:iCs/>
          </w:rPr>
          <w:t>ORS 183.540</w:t>
        </w:r>
      </w:hyperlink>
      <w:r w:rsidRPr="00FD4C93">
        <w:rPr>
          <w:rFonts w:asciiTheme="minorHAnsi" w:hAnsiTheme="minorHAnsi" w:cstheme="minorHAnsi"/>
          <w:iCs/>
          <w:color w:val="000000" w:themeColor="text1"/>
        </w:rPr>
        <w:t xml:space="preserve">. </w:t>
      </w:r>
    </w:p>
    <w:p w:rsidR="0007735B" w:rsidRDefault="0007735B" w:rsidP="0007735B">
      <w:pPr>
        <w:spacing w:after="120"/>
        <w:ind w:right="634"/>
        <w:rPr>
          <w:rFonts w:ascii="Times New Roman" w:eastAsia="Times New Roman" w:hAnsi="Times New Roman" w:cs="Times New Roman"/>
          <w:bCs/>
          <w:color w:val="000000" w:themeColor="text1"/>
        </w:rPr>
      </w:pPr>
    </w:p>
    <w:p w:rsidR="0007735B" w:rsidRDefault="0007735B" w:rsidP="0007735B">
      <w:pPr>
        <w:spacing w:after="120"/>
        <w:ind w:right="634"/>
        <w:rPr>
          <w:rFonts w:ascii="Times New Roman" w:eastAsia="Times New Roman" w:hAnsi="Times New Roman" w:cs="Times New Roman"/>
          <w:bCs/>
          <w:color w:val="000000" w:themeColor="text1"/>
        </w:rPr>
      </w:pPr>
    </w:p>
    <w:p w:rsidR="0007735B" w:rsidRPr="0007735B" w:rsidRDefault="0007735B" w:rsidP="0007735B">
      <w:pPr>
        <w:spacing w:after="120"/>
        <w:ind w:right="634"/>
        <w:rPr>
          <w:rFonts w:ascii="Times New Roman" w:eastAsia="Times New Roman" w:hAnsi="Times New Roman" w:cs="Times New Roman"/>
          <w:bCs/>
          <w:color w:val="000000" w:themeColor="text1"/>
        </w:rPr>
      </w:pPr>
    </w:p>
    <w:p w:rsidR="00FC1251" w:rsidRPr="00C65D06" w:rsidRDefault="00FC1251" w:rsidP="00FC1251">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C1251" w:rsidRPr="00FD4C93" w:rsidRDefault="00FC1251" w:rsidP="00FC1251">
      <w:pPr>
        <w:ind w:left="720" w:right="630"/>
        <w:rPr>
          <w:rFonts w:asciiTheme="minorHAnsi" w:eastAsia="Times New Roman" w:hAnsiTheme="minorHAnsi" w:cstheme="minorHAnsi"/>
          <w:bCs/>
        </w:rPr>
      </w:pPr>
      <w:r w:rsidRPr="00FD4C93">
        <w:rPr>
          <w:rFonts w:asciiTheme="minorHAnsi" w:eastAsia="Times New Roman" w:hAnsiTheme="minorHAnsi" w:cstheme="minorHAnsi"/>
          <w:bCs/>
          <w:color w:val="000000" w:themeColor="text1"/>
        </w:rPr>
        <w:t xml:space="preserve">To comply with </w:t>
      </w:r>
      <w:hyperlink r:id="rId18" w:history="1">
        <w:r w:rsidRPr="00FD4C93">
          <w:rPr>
            <w:rStyle w:val="Hyperlink"/>
            <w:rFonts w:asciiTheme="minorHAnsi" w:eastAsia="Times New Roman" w:hAnsiTheme="minorHAnsi" w:cstheme="minorHAnsi"/>
            <w:bCs/>
          </w:rPr>
          <w:t>ORS 183.534</w:t>
        </w:r>
      </w:hyperlink>
      <w:r w:rsidRPr="00FD4C93">
        <w:rPr>
          <w:rFonts w:asciiTheme="minorHAnsi" w:eastAsia="Times New Roman" w:hAnsiTheme="minorHAnsi" w:cstheme="minorHAnsi"/>
          <w:bCs/>
          <w:color w:val="000000" w:themeColor="text1"/>
        </w:rPr>
        <w:t xml:space="preserve">, </w:t>
      </w:r>
      <w:r w:rsidRPr="00FD4C93">
        <w:rPr>
          <w:rFonts w:asciiTheme="minorHAnsi" w:eastAsia="Times New Roman" w:hAnsiTheme="minorHAnsi" w:cstheme="minorHAnsi"/>
          <w:bCs/>
        </w:rPr>
        <w:t>DEQ determined the proposed rules would have an effect on the development cost of a 6,000-square-foot parcel and construction of a 1,200-square-foot detached single-family dwelling on that parcel.</w:t>
      </w:r>
    </w:p>
    <w:p w:rsidR="00FC1251" w:rsidRPr="00FD4C93" w:rsidRDefault="00FC1251" w:rsidP="00FC1251">
      <w:pPr>
        <w:ind w:left="720" w:right="630"/>
        <w:rPr>
          <w:rFonts w:asciiTheme="minorHAnsi" w:eastAsia="Times New Roman" w:hAnsiTheme="minorHAnsi" w:cstheme="minorHAnsi"/>
          <w:bCs/>
        </w:rPr>
      </w:pPr>
    </w:p>
    <w:p w:rsidR="00FC1251" w:rsidRPr="00FD4C93" w:rsidRDefault="00FC1251" w:rsidP="00FC1251">
      <w:pPr>
        <w:ind w:left="720" w:right="108"/>
        <w:rPr>
          <w:rFonts w:asciiTheme="minorHAnsi" w:hAnsiTheme="minorHAnsi" w:cstheme="minorHAnsi"/>
        </w:rPr>
      </w:pPr>
      <w:r w:rsidRPr="00FD4C93">
        <w:rPr>
          <w:rFonts w:asciiTheme="minorHAnsi" w:hAnsiTheme="minorHAnsi" w:cstheme="minorHAnsi"/>
        </w:rPr>
        <w:t xml:space="preserve">A builder of a 6,000-square-foot parcel would be required to pay $243, which is a $7 increase from the existing fee of $236, for a construction stormwater permit, if the parcel is part of a common plan of development disturbing one or more acres. A builder of a 6,000-square-foot parcel that is not part of a common plan of development disturbing one or more acres would not be required to obtain a construction stormwater permit, and consequently would not be required to pay the permit fee. While the fee would not likely have significant impact on new housing projects, the fee could affect projects by altering construction costs that are agreed upon between a builder and the buyer. DEQ estimates that home builders would likely pass the permit cost to home buyers.   </w:t>
      </w:r>
    </w:p>
    <w:p w:rsidR="00036E46" w:rsidRDefault="00036E46"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FC1251" w:rsidRPr="00B15DF7" w:rsidTr="00FC1251">
        <w:trPr>
          <w:trHeight w:val="613"/>
        </w:trPr>
        <w:tc>
          <w:tcPr>
            <w:tcW w:w="12240" w:type="dxa"/>
            <w:tcBorders>
              <w:top w:val="nil"/>
              <w:left w:val="nil"/>
              <w:bottom w:val="double" w:sz="6" w:space="0" w:color="7F7F7F"/>
              <w:right w:val="nil"/>
            </w:tcBorders>
            <w:shd w:val="clear" w:color="000000" w:fill="D8D3C6"/>
            <w:noWrap/>
            <w:vAlign w:val="bottom"/>
            <w:hideMark/>
          </w:tcPr>
          <w:p w:rsidR="00FC1251" w:rsidRPr="00823C9D" w:rsidRDefault="00FC1251" w:rsidP="00FC1251">
            <w:pPr>
              <w:ind w:left="0"/>
              <w:outlineLvl w:val="0"/>
              <w:rPr>
                <w:rFonts w:eastAsia="Times New Roman"/>
                <w:b/>
                <w:bCs/>
                <w:color w:val="32525C"/>
                <w:sz w:val="28"/>
                <w:szCs w:val="28"/>
              </w:rPr>
            </w:pPr>
          </w:p>
          <w:p w:rsidR="00FC1251" w:rsidRPr="004F673A" w:rsidRDefault="00FC1251" w:rsidP="00FC1251">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C1251" w:rsidRDefault="00FC1251" w:rsidP="00FC1251">
      <w:pPr>
        <w:ind w:left="0" w:right="630"/>
        <w:rPr>
          <w:rFonts w:ascii="Times New Roman" w:eastAsia="Times New Roman" w:hAnsi="Times New Roman" w:cs="Times New Roman"/>
          <w:i/>
          <w:iCs/>
          <w:color w:val="1D1D1D"/>
        </w:rPr>
      </w:pPr>
    </w:p>
    <w:p w:rsidR="00FC1251" w:rsidRPr="00680EF2" w:rsidRDefault="00FC1251" w:rsidP="00FC1251">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C1251" w:rsidRPr="00B15DF7" w:rsidRDefault="00FC1251" w:rsidP="00FC1251">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19"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0" w:history="1">
        <w:r w:rsidRPr="00B15DF7">
          <w:rPr>
            <w:rFonts w:ascii="Times New Roman" w:eastAsia="Times New Roman" w:hAnsi="Times New Roman" w:cs="Times New Roman"/>
            <w:color w:val="504938"/>
            <w:sz w:val="16"/>
            <w:u w:val="single"/>
          </w:rPr>
          <w:t>OAR 660-030</w:t>
        </w:r>
      </w:hyperlink>
    </w:p>
    <w:p w:rsidR="00FC1251" w:rsidRDefault="00FC1251" w:rsidP="00FC1251">
      <w:pPr>
        <w:spacing w:after="120"/>
        <w:ind w:left="360"/>
        <w:rPr>
          <w:rFonts w:asciiTheme="majorHAnsi" w:eastAsia="Times New Roman" w:hAnsiTheme="majorHAnsi" w:cstheme="majorHAnsi"/>
          <w:bCs/>
          <w:color w:val="504938"/>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C1251" w:rsidRPr="00AB0850" w:rsidRDefault="00FC1251" w:rsidP="00FC1251">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land-use action</w:t>
      </w:r>
      <w:r w:rsidRPr="00AB0850">
        <w:rPr>
          <w:rFonts w:ascii="Times New Roman" w:eastAsia="Times New Roman" w:hAnsi="Times New Roman" w:cs="Times New Roman"/>
          <w:color w:val="000000" w:themeColor="text1"/>
        </w:rPr>
        <w:t>, DEQ considered:</w:t>
      </w:r>
    </w:p>
    <w:p w:rsidR="00FC1251" w:rsidRPr="00AB0850" w:rsidRDefault="00FC1251" w:rsidP="00FC1251">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Statewide planning goals for specific references. Section III, subsection 2 of the </w:t>
      </w:r>
      <w:r w:rsidRPr="00AB0850">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themeColor="text1"/>
        </w:rPr>
        <w:t xml:space="preserve"> </w:t>
      </w:r>
      <w:r w:rsidRPr="00AB0850">
        <w:rPr>
          <w:rFonts w:ascii="Times New Roman" w:eastAsia="Times New Roman" w:hAnsi="Times New Roman" w:cs="Times New Roman"/>
          <w:color w:val="000000" w:themeColor="text1"/>
        </w:rPr>
        <w:t>document identifies the following statewide goal relating to DEQ's authority:</w:t>
      </w:r>
    </w:p>
    <w:p w:rsidR="00FC1251" w:rsidRPr="00AB0850" w:rsidRDefault="00FC1251" w:rsidP="00FC1251">
      <w:pPr>
        <w:ind w:left="810"/>
        <w:rPr>
          <w:rFonts w:ascii="Times New Roman" w:eastAsia="Times New Roman" w:hAnsi="Times New Roman" w:cs="Times New Roman"/>
          <w:color w:val="000000" w:themeColor="text1"/>
        </w:rPr>
      </w:pPr>
    </w:p>
    <w:p w:rsidR="00FC1251" w:rsidRPr="00AB0850" w:rsidRDefault="00FC1251" w:rsidP="00FC1251">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Open Spaces, Scenic and Historic Areas, and Natural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Public Facilities and Services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Estuarial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Ocean Resources</w:t>
      </w:r>
    </w:p>
    <w:p w:rsidR="00FC1251" w:rsidRPr="00AB0850" w:rsidRDefault="00FC1251" w:rsidP="00FC1251">
      <w:pPr>
        <w:ind w:left="1422"/>
        <w:rPr>
          <w:rFonts w:ascii="Times New Roman" w:eastAsia="Times New Roman" w:hAnsi="Times New Roman" w:cs="Times New Roman"/>
          <w:color w:val="000000" w:themeColor="text1"/>
        </w:rPr>
      </w:pPr>
    </w:p>
    <w:p w:rsidR="00FC1251" w:rsidRPr="00AB0850" w:rsidRDefault="000878CA"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1" w:history="1">
        <w:r w:rsidR="00FC1251" w:rsidRPr="00AB0850">
          <w:rPr>
            <w:rStyle w:val="Hyperlink"/>
            <w:rFonts w:ascii="Times New Roman" w:eastAsia="Times New Roman" w:hAnsi="Times New Roman" w:cs="Times New Roman"/>
          </w:rPr>
          <w:t>OAR 340-018-0030</w:t>
        </w:r>
      </w:hyperlink>
      <w:r w:rsidR="00FC1251" w:rsidRPr="00AB0850">
        <w:rPr>
          <w:rFonts w:ascii="Times New Roman" w:eastAsia="Times New Roman" w:hAnsi="Times New Roman" w:cs="Times New Roman"/>
        </w:rPr>
        <w:t xml:space="preserve"> for </w:t>
      </w:r>
      <w:r w:rsidR="00FC1251" w:rsidRPr="00AB0850">
        <w:rPr>
          <w:rFonts w:ascii="Times New Roman" w:hAnsi="Times New Roman" w:cs="Times New Roman"/>
        </w:rPr>
        <w:t>EQC rules on land-use coordination.</w:t>
      </w:r>
      <w:r w:rsidR="00FC1251" w:rsidRPr="00AB0850">
        <w:rPr>
          <w:rFonts w:ascii="Times New Roman" w:eastAsia="Times New Roman" w:hAnsi="Times New Roman" w:cs="Times New Roman"/>
        </w:rPr>
        <w:t xml:space="preserve"> Division 18</w:t>
      </w:r>
      <w:r w:rsidR="00FC1251" w:rsidRPr="00AB0850">
        <w:rPr>
          <w:rFonts w:ascii="Times New Roman" w:hAnsi="Times New Roman" w:cs="Times New Roman"/>
        </w:rPr>
        <w:t xml:space="preserve"> requires DEQ to determine whether proposed rules will significantly affect land use. If yes, how will DEQ:</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Comply with statewide land-use goals, and </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2" w:history="1">
        <w:r w:rsidRPr="00AB0850">
          <w:rPr>
            <w:rStyle w:val="Hyperlink"/>
            <w:rFonts w:ascii="Times New Roman" w:hAnsi="Times New Roman" w:cs="Times New Roman"/>
          </w:rPr>
          <w:t>Land Use Compatibility Statement</w:t>
        </w:r>
      </w:hyperlink>
      <w:r w:rsidRPr="00AB0850">
        <w:rPr>
          <w:rFonts w:ascii="Times New Roman" w:hAnsi="Times New Roman" w:cs="Times New Roman"/>
        </w:rPr>
        <w: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land-use programs or actions in the proposed rules.</w:t>
      </w:r>
    </w:p>
    <w:p w:rsidR="00FC1251" w:rsidRPr="00AB0850" w:rsidRDefault="00FC1251" w:rsidP="00FC1251">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036E46" w:rsidRPr="00036E46" w:rsidRDefault="00036E46" w:rsidP="00036E46">
      <w:pPr>
        <w:ind w:left="0"/>
        <w:rPr>
          <w:rFonts w:asciiTheme="majorHAnsi" w:eastAsia="Times New Roman" w:hAnsiTheme="majorHAnsi" w:cstheme="majorHAnsi"/>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C1251" w:rsidRDefault="00FC1251" w:rsidP="00FC1251">
      <w:pPr>
        <w:spacing w:after="200" w:line="276" w:lineRule="auto"/>
        <w:ind w:left="810" w:right="648"/>
        <w:rPr>
          <w:rFonts w:ascii="Times New Roman" w:eastAsia="Times New Roman" w:hAnsi="Times New Roman" w:cs="Times New Roman"/>
          <w:b/>
        </w:rPr>
      </w:pPr>
      <w:r w:rsidRPr="0052620D">
        <w:rPr>
          <w:rFonts w:ascii="Times New Roman" w:eastAsia="Times New Roman" w:hAnsi="Times New Roman" w:cs="Times New Roman"/>
        </w:rPr>
        <w:t>DEQ determined that the proposed rules identified under the ‘</w:t>
      </w:r>
      <w:r w:rsidRPr="0052620D">
        <w:rPr>
          <w:rFonts w:ascii="Times New Roman" w:eastAsia="Times New Roman" w:hAnsi="Times New Roman" w:cs="Times New Roman"/>
          <w:bCs/>
        </w:rPr>
        <w:t>Rules affected, authorities, supporting documents’</w:t>
      </w:r>
      <w:r w:rsidRPr="0052620D">
        <w:rPr>
          <w:rFonts w:ascii="Times New Roman" w:eastAsia="Times New Roman" w:hAnsi="Times New Roman" w:cs="Times New Roman"/>
        </w:rPr>
        <w:t xml:space="preserve"> section above </w:t>
      </w:r>
      <w:r w:rsidRPr="0052620D">
        <w:rPr>
          <w:rFonts w:ascii="Times New Roman" w:eastAsia="Times New Roman" w:hAnsi="Times New Roman" w:cs="Times New Roman"/>
          <w:b/>
        </w:rPr>
        <w:t>affect</w:t>
      </w:r>
      <w:r>
        <w:rPr>
          <w:rFonts w:ascii="Times New Roman" w:eastAsia="Times New Roman" w:hAnsi="Times New Roman" w:cs="Times New Roman"/>
          <w:b/>
        </w:rPr>
        <w:t>:</w:t>
      </w:r>
    </w:p>
    <w:p w:rsidR="00FC1251" w:rsidRPr="00DB3741" w:rsidRDefault="00FC1251" w:rsidP="00FC1251">
      <w:pPr>
        <w:pStyle w:val="ListParagraph"/>
        <w:numPr>
          <w:ilvl w:val="0"/>
          <w:numId w:val="34"/>
        </w:numPr>
        <w:spacing w:after="120"/>
        <w:ind w:left="1570" w:right="648"/>
        <w:contextualSpacing w:val="0"/>
        <w:rPr>
          <w:rFonts w:ascii="Times New Roman" w:eastAsia="Times New Roman" w:hAnsi="Times New Roman" w:cs="Times New Roman"/>
        </w:rPr>
      </w:pPr>
      <w:r w:rsidRPr="00DB3741">
        <w:rPr>
          <w:rFonts w:ascii="Times New Roman" w:hAnsi="Times New Roman" w:cs="Times New Roman"/>
        </w:rPr>
        <w:t xml:space="preserve">Oregon’s National Pollutant Discharge Elimination System and Water Pollution Control Facility permitting programs (OAR 340-018-0030(5)(c) </w:t>
      </w:r>
    </w:p>
    <w:p w:rsidR="00FC1251" w:rsidRPr="00DB3741" w:rsidRDefault="00FC1251" w:rsidP="00FC1251">
      <w:pPr>
        <w:pStyle w:val="ListParagraph"/>
        <w:numPr>
          <w:ilvl w:val="0"/>
          <w:numId w:val="34"/>
        </w:numPr>
        <w:spacing w:after="120"/>
        <w:ind w:left="1570" w:right="648"/>
        <w:contextualSpacing w:val="0"/>
        <w:rPr>
          <w:rFonts w:ascii="Times New Roman" w:eastAsia="Times New Roman" w:hAnsi="Times New Roman" w:cs="Times New Roman"/>
        </w:rPr>
      </w:pPr>
      <w:r w:rsidRPr="00DB3741">
        <w:rPr>
          <w:rFonts w:ascii="Times New Roman" w:hAnsi="Times New Roman" w:cs="Times New Roman"/>
        </w:rPr>
        <w:t>Issu</w:t>
      </w:r>
      <w:r>
        <w:rPr>
          <w:rFonts w:ascii="Times New Roman" w:hAnsi="Times New Roman" w:cs="Times New Roman"/>
        </w:rPr>
        <w:t>ance of On-site Sewer Permit under</w:t>
      </w:r>
      <w:r w:rsidRPr="00DB3741">
        <w:rPr>
          <w:rFonts w:ascii="Times New Roman" w:hAnsi="Times New Roman" w:cs="Times New Roman"/>
        </w:rPr>
        <w:t xml:space="preserve"> OAR 340-018-0030(5)(d) </w:t>
      </w:r>
    </w:p>
    <w:p w:rsidR="00FC1251" w:rsidRPr="00DB3741" w:rsidRDefault="00FC1251" w:rsidP="00FC1251">
      <w:pPr>
        <w:pStyle w:val="ListParagraph"/>
        <w:numPr>
          <w:ilvl w:val="0"/>
          <w:numId w:val="34"/>
        </w:numPr>
        <w:spacing w:after="200" w:line="276" w:lineRule="auto"/>
        <w:ind w:right="648"/>
        <w:rPr>
          <w:rFonts w:ascii="Times New Roman" w:eastAsia="Times New Roman" w:hAnsi="Times New Roman" w:cs="Times New Roman"/>
        </w:rPr>
      </w:pPr>
      <w:r w:rsidRPr="00DB3741">
        <w:rPr>
          <w:rFonts w:ascii="Times New Roman" w:hAnsi="Times New Roman" w:cs="Times New Roman"/>
        </w:rPr>
        <w:t>Issuance of NPDES and WPCF Permits</w:t>
      </w:r>
      <w:r>
        <w:rPr>
          <w:rFonts w:ascii="Times New Roman" w:hAnsi="Times New Roman" w:cs="Times New Roman"/>
        </w:rPr>
        <w:t xml:space="preserve"> is</w:t>
      </w:r>
      <w:r>
        <w:rPr>
          <w:rFonts w:ascii="Times New Roman" w:eastAsia="Times New Roman" w:hAnsi="Times New Roman" w:cs="Times New Roman"/>
        </w:rPr>
        <w:t xml:space="preserve"> an existing </w:t>
      </w:r>
      <w:r w:rsidRPr="00DB3741">
        <w:rPr>
          <w:rFonts w:ascii="Times New Roman" w:eastAsia="Times New Roman" w:hAnsi="Times New Roman" w:cs="Times New Roman"/>
        </w:rPr>
        <w:t>activit</w:t>
      </w:r>
      <w:r>
        <w:rPr>
          <w:rFonts w:ascii="Times New Roman" w:eastAsia="Times New Roman" w:hAnsi="Times New Roman" w:cs="Times New Roman"/>
        </w:rPr>
        <w:t>y</w:t>
      </w:r>
      <w:r w:rsidRPr="00DB3741">
        <w:rPr>
          <w:rFonts w:ascii="Times New Roman" w:eastAsia="Times New Roman" w:hAnsi="Times New Roman" w:cs="Times New Roman"/>
        </w:rPr>
        <w:t xml:space="preserve"> </w:t>
      </w:r>
      <w:r>
        <w:rPr>
          <w:rFonts w:ascii="Times New Roman" w:eastAsia="Times New Roman" w:hAnsi="Times New Roman" w:cs="Times New Roman"/>
        </w:rPr>
        <w:t xml:space="preserve">identified in the </w:t>
      </w:r>
      <w:r w:rsidRPr="000234F5">
        <w:rPr>
          <w:rFonts w:ascii="Times New Roman" w:eastAsia="Times New Roman" w:hAnsi="Times New Roman" w:cs="Times New Roman"/>
        </w:rPr>
        <w:t xml:space="preserve">DEQ State Agency Coordination Program </w:t>
      </w:r>
      <w:r>
        <w:rPr>
          <w:rFonts w:ascii="Times New Roman" w:eastAsia="Times New Roman" w:hAnsi="Times New Roman" w:cs="Times New Roman"/>
        </w:rPr>
        <w:t>as</w:t>
      </w:r>
      <w:r w:rsidRPr="00DB3741">
        <w:rPr>
          <w:rFonts w:ascii="Times New Roman" w:eastAsia="Times New Roman" w:hAnsi="Times New Roman" w:cs="Times New Roman"/>
        </w:rPr>
        <w:t xml:space="preserve"> a land-use program. </w:t>
      </w:r>
    </w:p>
    <w:p w:rsidR="00FC1251" w:rsidRDefault="00FC1251" w:rsidP="00FC1251">
      <w:pPr>
        <w:pStyle w:val="ListParagraph"/>
        <w:ind w:left="810" w:right="634"/>
        <w:contextualSpacing w:val="0"/>
        <w:rPr>
          <w:rFonts w:ascii="Times New Roman" w:eastAsia="Times New Roman" w:hAnsi="Times New Roman" w:cs="Times New Roman"/>
        </w:rPr>
      </w:pPr>
    </w:p>
    <w:p w:rsidR="00D0141A" w:rsidRPr="00036E46" w:rsidRDefault="00FC1251" w:rsidP="00036E46">
      <w:pPr>
        <w:pStyle w:val="ListParagraph"/>
        <w:ind w:left="810" w:right="634"/>
        <w:contextualSpacing w:val="0"/>
        <w:rPr>
          <w:rFonts w:ascii="Times New Roman" w:eastAsia="Times New Roman" w:hAnsi="Times New Roman" w:cs="Times New Roman"/>
        </w:rPr>
      </w:pPr>
      <w:r w:rsidRPr="0052620D">
        <w:rPr>
          <w:rFonts w:ascii="Times New Roman" w:eastAsia="Times New Roman" w:hAnsi="Times New Roman" w:cs="Times New Roman"/>
        </w:rPr>
        <w:t xml:space="preserve">DEQ’s statewide goal and local plan compatibility procedures adequately cover the proposed rules. Oregon Administrative Rule </w:t>
      </w:r>
      <w:r w:rsidRPr="0052620D">
        <w:rPr>
          <w:rFonts w:ascii="Times New Roman" w:hAnsi="Times New Roman" w:cs="Times New Roman"/>
        </w:rPr>
        <w:t>340-018-0050(2)(a) ensures compatibility with acknowledged comprehensive plans through submittal of a Land Use Compatibility Statement.</w:t>
      </w:r>
    </w:p>
    <w:p w:rsidR="00D454A6" w:rsidRDefault="00D454A6"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730966" w:rsidRPr="00730966" w:rsidRDefault="00C9239E" w:rsidP="0073096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30966" w:rsidRPr="00C9239E"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730966" w:rsidRDefault="00730966" w:rsidP="00730966">
      <w:pPr>
        <w:ind w:left="720" w:right="648"/>
        <w:outlineLvl w:val="0"/>
        <w:rPr>
          <w:rFonts w:ascii="Times New Roman" w:eastAsia="Times New Roman" w:hAnsi="Times New Roman" w:cs="Times New Roman"/>
        </w:rPr>
      </w:pPr>
      <w:r w:rsidRPr="00CC0E2F">
        <w:rPr>
          <w:rFonts w:ascii="Times New Roman" w:eastAsia="Times New Roman" w:hAnsi="Times New Roman" w:cs="Times New Roman"/>
          <w:color w:val="000000"/>
        </w:rPr>
        <w:t xml:space="preserve">DEQ convened the </w:t>
      </w:r>
      <w:r w:rsidRPr="00CC0E2F">
        <w:rPr>
          <w:rFonts w:ascii="Times New Roman" w:eastAsia="Times New Roman" w:hAnsi="Times New Roman" w:cs="Times New Roman"/>
        </w:rPr>
        <w:t xml:space="preserve">Blue Ribbon </w:t>
      </w:r>
      <w:r w:rsidR="0007735B">
        <w:rPr>
          <w:rFonts w:ascii="Times New Roman" w:eastAsia="Times New Roman" w:hAnsi="Times New Roman" w:cs="Times New Roman"/>
        </w:rPr>
        <w:t>Committee (</w:t>
      </w:r>
      <w:r w:rsidRPr="00CC0E2F">
        <w:rPr>
          <w:rFonts w:ascii="Times New Roman" w:eastAsia="Times New Roman" w:hAnsi="Times New Roman" w:cs="Times New Roman"/>
        </w:rPr>
        <w:t>advisory committee</w:t>
      </w:r>
      <w:r w:rsidR="0007735B">
        <w:rPr>
          <w:rFonts w:ascii="Times New Roman" w:eastAsia="Times New Roman" w:hAnsi="Times New Roman" w:cs="Times New Roman"/>
        </w:rPr>
        <w:t>)</w:t>
      </w:r>
      <w:r w:rsidRPr="00CC0E2F">
        <w:rPr>
          <w:rFonts w:ascii="Times New Roman" w:eastAsia="Times New Roman" w:hAnsi="Times New Roman" w:cs="Times New Roman"/>
        </w:rPr>
        <w:t xml:space="preserve"> on </w:t>
      </w:r>
      <w:r w:rsidRPr="00CC0E2F">
        <w:rPr>
          <w:rFonts w:ascii="Times New Roman" w:hAnsi="Times New Roman" w:cs="Times New Roman"/>
        </w:rPr>
        <w:t>May 23, 2013</w:t>
      </w:r>
      <w:r w:rsidRPr="00CC0E2F">
        <w:rPr>
          <w:rFonts w:ascii="Times New Roman" w:eastAsia="Times New Roman" w:hAnsi="Times New Roman" w:cs="Times New Roman"/>
          <w:color w:val="618889" w:themeColor="accent3" w:themeShade="BF"/>
        </w:rPr>
        <w:t xml:space="preserve">. </w:t>
      </w:r>
      <w:r w:rsidRPr="00CC0E2F">
        <w:rPr>
          <w:rFonts w:ascii="Times New Roman" w:eastAsia="Times New Roman" w:hAnsi="Times New Roman" w:cs="Times New Roman"/>
        </w:rPr>
        <w:t xml:space="preserve">The 16-member committee includes </w:t>
      </w:r>
      <w:r w:rsidRPr="00CC0E2F">
        <w:rPr>
          <w:rFonts w:ascii="Times New Roman" w:hAnsi="Times New Roman" w:cs="Times New Roman"/>
        </w:rPr>
        <w:t>industry, environmental and local government representatives.</w:t>
      </w:r>
      <w:r w:rsidRPr="00CC0E2F">
        <w:rPr>
          <w:rFonts w:ascii="Times New Roman" w:eastAsia="Times New Roman" w:hAnsi="Times New Roman" w:cs="Times New Roman"/>
          <w:color w:val="702C1C" w:themeColor="accent1" w:themeShade="80"/>
        </w:rPr>
        <w:t xml:space="preserve"> </w:t>
      </w:r>
      <w:r w:rsidRPr="00CC0E2F">
        <w:rPr>
          <w:rFonts w:ascii="Times New Roman" w:eastAsia="Times New Roman" w:hAnsi="Times New Roman" w:cs="Times New Roman"/>
        </w:rPr>
        <w:t>The committee recommended that DEQ continue with its proposal</w:t>
      </w:r>
      <w:r>
        <w:rPr>
          <w:rFonts w:ascii="Times New Roman" w:eastAsia="Times New Roman" w:hAnsi="Times New Roman" w:cs="Times New Roman"/>
        </w:rPr>
        <w:t>. Following the meeting, t</w:t>
      </w:r>
      <w:r w:rsidRPr="00CC0E2F">
        <w:rPr>
          <w:rFonts w:ascii="Times New Roman" w:eastAsia="Times New Roman" w:hAnsi="Times New Roman" w:cs="Times New Roman"/>
        </w:rPr>
        <w:t xml:space="preserve">he committee reviewed the fiscal impact statement, specifically impact on small businesses. </w:t>
      </w:r>
    </w:p>
    <w:p w:rsidR="00730966" w:rsidRPr="00C9239E" w:rsidRDefault="00730966" w:rsidP="00730966">
      <w:pPr>
        <w:ind w:left="0" w:right="630"/>
        <w:outlineLvl w:val="0"/>
        <w:rPr>
          <w:rFonts w:asciiTheme="minorHAnsi" w:eastAsia="Times New Roman" w:hAnsiTheme="minorHAnsi" w:cstheme="minorHAnsi"/>
          <w:color w:val="000000"/>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730966" w:rsidRPr="00CC0E2F" w:rsidRDefault="00730966" w:rsidP="00730966">
      <w:pPr>
        <w:ind w:left="720" w:right="630"/>
        <w:outlineLvl w:val="0"/>
        <w:rPr>
          <w:rFonts w:ascii="Times New Roman" w:eastAsia="Times New Roman" w:hAnsi="Times New Roman" w:cs="Times New Roman"/>
          <w:sz w:val="22"/>
          <w:szCs w:val="22"/>
        </w:rPr>
      </w:pPr>
      <w:r w:rsidRPr="00CC0E2F">
        <w:rPr>
          <w:rFonts w:ascii="Times New Roman" w:eastAsia="Times New Roman" w:hAnsi="Times New Roman" w:cs="Times New Roman"/>
          <w:bCs/>
        </w:rPr>
        <w:t xml:space="preserve">DEQ </w:t>
      </w:r>
      <w:r>
        <w:rPr>
          <w:rFonts w:ascii="Times New Roman" w:eastAsia="Times New Roman" w:hAnsi="Times New Roman" w:cs="Times New Roman"/>
          <w:bCs/>
        </w:rPr>
        <w:t>shared</w:t>
      </w:r>
      <w:r w:rsidRPr="00CC0E2F">
        <w:rPr>
          <w:rFonts w:ascii="Times New Roman" w:eastAsia="Times New Roman" w:hAnsi="Times New Roman" w:cs="Times New Roman"/>
          <w:bCs/>
        </w:rPr>
        <w:t xml:space="preserve"> information about this rulemaking with the </w:t>
      </w:r>
      <w:r>
        <w:rPr>
          <w:rFonts w:ascii="Times New Roman" w:eastAsia="Times New Roman" w:hAnsi="Times New Roman" w:cs="Times New Roman"/>
          <w:bCs/>
        </w:rPr>
        <w:t>Oregon Environmental Quality Commission</w:t>
      </w:r>
      <w:r w:rsidRPr="00CC0E2F">
        <w:rPr>
          <w:rFonts w:ascii="Times New Roman" w:eastAsia="Times New Roman" w:hAnsi="Times New Roman" w:cs="Times New Roman"/>
          <w:bCs/>
        </w:rPr>
        <w:t xml:space="preserve"> </w:t>
      </w:r>
      <w:r w:rsidRPr="00CC0E2F">
        <w:rPr>
          <w:rFonts w:ascii="Times New Roman" w:eastAsia="Times New Roman" w:hAnsi="Times New Roman" w:cs="Times New Roman"/>
          <w:sz w:val="22"/>
          <w:szCs w:val="22"/>
        </w:rPr>
        <w:t xml:space="preserve">in </w:t>
      </w:r>
      <w:r w:rsidRPr="00DB3741">
        <w:rPr>
          <w:rFonts w:ascii="Times New Roman" w:eastAsia="Times New Roman" w:hAnsi="Times New Roman" w:cs="Times New Roman"/>
        </w:rPr>
        <w:t xml:space="preserve">the Director's Dialogue </w:t>
      </w:r>
      <w:r w:rsidRPr="000234F5">
        <w:rPr>
          <w:rFonts w:ascii="Times New Roman" w:eastAsia="Times New Roman" w:hAnsi="Times New Roman" w:cs="Times New Roman"/>
          <w:bCs/>
          <w:color w:val="000000" w:themeColor="text1"/>
        </w:rPr>
        <w:t>Aug. 21, 2013</w:t>
      </w:r>
      <w:r w:rsidRPr="00DB3741">
        <w:rPr>
          <w:rFonts w:ascii="Times New Roman" w:eastAsia="Times New Roman" w:hAnsi="Times New Roman" w:cs="Times New Roman"/>
        </w:rPr>
        <w:t>.</w:t>
      </w:r>
    </w:p>
    <w:p w:rsidR="00730966" w:rsidRDefault="00730966" w:rsidP="00730966">
      <w:pPr>
        <w:ind w:left="810" w:right="630"/>
        <w:outlineLvl w:val="0"/>
        <w:rPr>
          <w:rFonts w:ascii="Times New Roman" w:eastAsia="Times New Roman" w:hAnsi="Times New Roman" w:cs="Times New Roman"/>
          <w:color w:val="504938"/>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98349E" w:rsidRDefault="00730966" w:rsidP="00730966">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w:t>
      </w:r>
      <w:r w:rsidRPr="00CC0E2F">
        <w:rPr>
          <w:rFonts w:ascii="Times New Roman" w:eastAsia="Times New Roman" w:hAnsi="Times New Roman" w:cs="Times New Roman"/>
          <w:bCs/>
        </w:rPr>
        <w:t>Aug. 1, 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color w:val="000000" w:themeColor="text1"/>
        </w:rPr>
        <w:t>publish</w:t>
      </w:r>
      <w:r>
        <w:rPr>
          <w:rFonts w:ascii="Times New Roman" w:eastAsia="Times New Roman" w:hAnsi="Times New Roman" w:cs="Times New Roman"/>
          <w:bCs/>
          <w:color w:val="000000" w:themeColor="text1"/>
        </w:rPr>
        <w:t>ed</w:t>
      </w:r>
      <w:r w:rsidRPr="00CC0E2F">
        <w:rPr>
          <w:rFonts w:ascii="Times New Roman" w:eastAsia="Times New Roman" w:hAnsi="Times New Roman" w:cs="Times New Roman"/>
          <w:bCs/>
          <w:color w:val="000000" w:themeColor="text1"/>
        </w:rPr>
        <w:t xml:space="preserve"> the Notice of Proposed Rulemaking with Hearing for this proposed rulemaking. </w:t>
      </w:r>
    </w:p>
    <w:p w:rsidR="00730966" w:rsidRPr="00CC0E2F" w:rsidRDefault="007404A4" w:rsidP="00730966">
      <w:pPr>
        <w:spacing w:after="120"/>
        <w:ind w:left="720" w:right="63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On July 22, 2013 </w:t>
      </w:r>
      <w:r w:rsidR="0098349E">
        <w:rPr>
          <w:rFonts w:ascii="Times New Roman" w:eastAsia="Times New Roman" w:hAnsi="Times New Roman" w:cs="Times New Roman"/>
          <w:bCs/>
          <w:color w:val="000000" w:themeColor="text1"/>
        </w:rPr>
        <w:t>DEQ</w:t>
      </w:r>
      <w:r w:rsidR="00730966" w:rsidRPr="00CC0E2F">
        <w:rPr>
          <w:rFonts w:ascii="Times New Roman" w:eastAsia="Times New Roman" w:hAnsi="Times New Roman" w:cs="Times New Roman"/>
          <w:bCs/>
          <w:color w:val="000000" w:themeColor="text1"/>
        </w:rPr>
        <w:t>:</w:t>
      </w:r>
      <w:r w:rsidR="00730966" w:rsidRPr="00CC0E2F">
        <w:rPr>
          <w:rFonts w:ascii="Times New Roman" w:eastAsia="Times New Roman" w:hAnsi="Times New Roman" w:cs="Times New Roman"/>
          <w:color w:val="000000" w:themeColor="text1"/>
        </w:rPr>
        <w:t xml:space="preserve"> </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notice on DEQ’s webpage </w:t>
      </w:r>
      <w:hyperlink r:id="rId23" w:history="1">
        <w:r w:rsidRPr="00CC0E2F">
          <w:rPr>
            <w:rFonts w:ascii="Times New Roman" w:eastAsia="Times New Roman" w:hAnsi="Times New Roman" w:cs="Times New Roman"/>
            <w:color w:val="000000"/>
            <w:u w:val="single"/>
          </w:rPr>
          <w:t>http://www.deq.state.or.us/regulations/proposedrules.htm</w:t>
        </w:r>
      </w:hyperlink>
      <w:r w:rsidRPr="00CC0E2F">
        <w:rPr>
          <w:rFonts w:ascii="Times New Roman" w:eastAsia="Times New Roman" w:hAnsi="Times New Roman" w:cs="Times New Roman"/>
        </w:rPr>
        <w:t>.</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E-mailed notice to:</w:t>
      </w:r>
    </w:p>
    <w:p w:rsidR="00730966" w:rsidRPr="008C79C8" w:rsidRDefault="00730966"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Pr="00CC0E2F">
        <w:rPr>
          <w:rFonts w:ascii="Times New Roman" w:eastAsia="Times New Roman" w:hAnsi="Times New Roman" w:cs="Times New Roman"/>
          <w:color w:val="000000" w:themeColor="text1"/>
        </w:rPr>
        <w:t>nterested parties through GovDelivery.</w:t>
      </w:r>
    </w:p>
    <w:p w:rsidR="00730966" w:rsidRPr="00CC0E2F" w:rsidRDefault="00730966"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Key legislators required under </w:t>
      </w:r>
      <w:hyperlink r:id="rId24" w:history="1">
        <w:r w:rsidRPr="00CC0E2F">
          <w:rPr>
            <w:rFonts w:ascii="Times New Roman" w:eastAsia="Times New Roman" w:hAnsi="Times New Roman" w:cs="Times New Roman"/>
            <w:color w:val="000000" w:themeColor="text1"/>
            <w:u w:val="single"/>
          </w:rPr>
          <w:t>ORS 183.335</w:t>
        </w:r>
      </w:hyperlink>
      <w:r w:rsidRPr="00CC0E2F">
        <w:rPr>
          <w:rFonts w:ascii="Times New Roman" w:eastAsia="Times New Roman" w:hAnsi="Times New Roman" w:cs="Times New Roman"/>
          <w:color w:val="000000" w:themeColor="text1"/>
        </w:rPr>
        <w:t>. Key legislators included:</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730966" w:rsidRPr="00CC0E2F" w:rsidRDefault="00730966"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Members of the advisory committee.</w:t>
      </w:r>
    </w:p>
    <w:p w:rsidR="00BE0D4D" w:rsidRPr="00730966" w:rsidRDefault="00730966" w:rsidP="00730966">
      <w:pPr>
        <w:pStyle w:val="ListParagraph"/>
        <w:numPr>
          <w:ilvl w:val="0"/>
          <w:numId w:val="1"/>
        </w:numPr>
        <w:spacing w:after="120"/>
        <w:ind w:left="1080" w:right="630" w:firstLine="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Mailed the notice by U.S. Postal Service to</w:t>
      </w:r>
      <w:r w:rsidRPr="00CC0E2F">
        <w:rPr>
          <w:rFonts w:ascii="Times New Roman" w:eastAsia="Times New Roman" w:hAnsi="Times New Roman" w:cs="Times New Roman"/>
          <w:color w:val="70481C" w:themeColor="accent6" w:themeShade="80"/>
        </w:rPr>
        <w:t xml:space="preserve"> </w:t>
      </w:r>
      <w:r w:rsidRPr="008C79C8">
        <w:rPr>
          <w:rFonts w:ascii="Times New Roman" w:hAnsi="Times New Roman" w:cs="Times New Roman"/>
        </w:rPr>
        <w:t>3,613</w:t>
      </w:r>
      <w:r w:rsidRPr="00CC0E2F">
        <w:rPr>
          <w:rFonts w:ascii="Times New Roman" w:eastAsia="Times New Roman" w:hAnsi="Times New Roman" w:cs="Times New Roman"/>
          <w:color w:val="000000" w:themeColor="text1"/>
        </w:rPr>
        <w:t xml:space="preserve"> interested parties.</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07735B" w:rsidRDefault="00746ED7" w:rsidP="00CD4F73">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730966">
        <w:rPr>
          <w:rFonts w:asciiTheme="minorHAnsi" w:eastAsia="Times New Roman" w:hAnsiTheme="minorHAnsi" w:cstheme="minorHAnsi"/>
          <w:bCs/>
          <w:color w:val="000000" w:themeColor="text1"/>
        </w:rPr>
        <w:t>one public hearing</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 xml:space="preserve">The comment period closed on </w:t>
      </w:r>
      <w:r w:rsidR="00730966" w:rsidRPr="00CC0E2F">
        <w:rPr>
          <w:rFonts w:ascii="Times New Roman" w:eastAsia="Times New Roman" w:hAnsi="Times New Roman" w:cs="Times New Roman"/>
          <w:bCs/>
          <w:color w:val="000000" w:themeColor="text1"/>
        </w:rPr>
        <w:t>Aug. 23, 2013</w:t>
      </w:r>
      <w:r w:rsidR="00730966" w:rsidRPr="00CC0E2F">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7309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0009A6">
        <w:rPr>
          <w:rFonts w:asciiTheme="minorHAnsi" w:eastAsia="Times New Roman" w:hAnsiTheme="minorHAnsi" w:cstheme="minorHAnsi"/>
          <w:bCs/>
          <w:color w:val="000000" w:themeColor="text1"/>
        </w:rPr>
        <w:t>10</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CD4F73" w:rsidRPr="0007735B" w:rsidRDefault="00CD4F73" w:rsidP="00CD4F73">
      <w:pPr>
        <w:spacing w:after="120"/>
        <w:ind w:left="720" w:right="828"/>
        <w:outlineLvl w:val="0"/>
        <w:rPr>
          <w:rFonts w:asciiTheme="minorHAnsi" w:eastAsia="Times New Roman" w:hAnsiTheme="minorHAnsi" w:cstheme="minorHAnsi"/>
          <w:bCs/>
          <w:color w:val="000000" w:themeColor="text1"/>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424B35" w:rsidP="003C3662">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003C3662">
        <w:rPr>
          <w:rFonts w:ascii="Times New Roman" w:hAnsi="Times New Roman" w:cs="Times New Roman"/>
        </w:rPr>
        <w:t>convened the hearing listed in the table below; there were no attendees.</w:t>
      </w:r>
    </w:p>
    <w:p w:rsidR="00AA07AC" w:rsidRDefault="00AA07AC" w:rsidP="00914DC8">
      <w:pPr>
        <w:tabs>
          <w:tab w:val="left" w:pos="-1440"/>
          <w:tab w:val="left" w:pos="-720"/>
        </w:tabs>
        <w:suppressAutoHyphens/>
        <w:ind w:left="720" w:right="558"/>
        <w:rPr>
          <w:rFonts w:ascii="Times New Roman" w:hAnsi="Times New Roman" w:cs="Times New Roman"/>
        </w:rPr>
      </w:pPr>
    </w:p>
    <w:bookmarkStart w:id="2" w:name="_MON_1421138453"/>
    <w:bookmarkEnd w:id="2"/>
    <w:p w:rsidR="001F2D3C" w:rsidRPr="00052890" w:rsidRDefault="00052890" w:rsidP="00052890">
      <w:pPr>
        <w:tabs>
          <w:tab w:val="left" w:pos="-1440"/>
          <w:tab w:val="left" w:pos="-720"/>
        </w:tabs>
        <w:suppressAutoHyphens/>
        <w:ind w:left="0"/>
        <w:rPr>
          <w:rFonts w:ascii="Times New Roman" w:hAnsi="Times New Roman" w:cs="Times New Roman"/>
        </w:rPr>
      </w:pPr>
      <w:r w:rsidRPr="00CB7D27">
        <w:rPr>
          <w:b/>
          <w:bCs/>
          <w:color w:val="1F497D"/>
          <w:sz w:val="28"/>
          <w:szCs w:val="28"/>
        </w:rPr>
        <w:object w:dxaOrig="10406" w:dyaOrig="5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5pt;height:264.4pt" o:ole="">
            <v:imagedata r:id="rId25" o:title=""/>
          </v:shape>
          <o:OLEObject Type="Embed" ProgID="Excel.Sheet.12" ShapeID="_x0000_i1025" DrawAspect="Content" ObjectID="_1454825822" r:id="rId26"/>
        </w:object>
      </w:r>
      <w:r w:rsidR="001F2D3C" w:rsidRPr="00B15DF7">
        <w:rPr>
          <w:rFonts w:ascii="Times New Roman" w:eastAsia="Times New Roman" w:hAnsi="Times New Roman" w:cs="Times New Roman"/>
          <w:color w:val="32525C"/>
        </w:rPr>
        <w:t> </w:t>
      </w: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72958" w:rsidRPr="00361D6C" w:rsidRDefault="00D61DA4" w:rsidP="00361D6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For public comments received by the close of </w:t>
      </w:r>
      <w:r w:rsidR="009C1B9E">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t</w:t>
      </w:r>
      <w:r w:rsidR="00107189" w:rsidRPr="00BD3CBE">
        <w:rPr>
          <w:rFonts w:ascii="Times New Roman" w:eastAsia="Times New Roman" w:hAnsi="Times New Roman" w:cs="Times New Roman"/>
          <w:color w:val="000000" w:themeColor="text1"/>
        </w:rPr>
        <w:t xml:space="preserve">he </w:t>
      </w:r>
      <w:r w:rsidR="00361D6C">
        <w:rPr>
          <w:rFonts w:ascii="Times New Roman" w:eastAsia="Times New Roman" w:hAnsi="Times New Roman" w:cs="Times New Roman"/>
          <w:color w:val="000000" w:themeColor="text1"/>
        </w:rPr>
        <w:t>following</w:t>
      </w:r>
      <w:r w:rsidR="00107189" w:rsidRPr="00BD3CBE">
        <w:rPr>
          <w:rFonts w:ascii="Times New Roman" w:eastAsia="Times New Roman" w:hAnsi="Times New Roman" w:cs="Times New Roman"/>
          <w:color w:val="000000" w:themeColor="text1"/>
        </w:rPr>
        <w:t xml:space="preserv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361D6C">
        <w:rPr>
          <w:rFonts w:asciiTheme="minorHAnsi" w:eastAsia="Times New Roman" w:hAnsiTheme="minorHAnsi" w:cstheme="minorHAnsi"/>
          <w:bCs/>
          <w:color w:val="000000" w:themeColor="text1"/>
        </w:rPr>
        <w:t>two</w:t>
      </w:r>
      <w:r w:rsidR="00107189"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Pr>
          <w:rFonts w:asciiTheme="minorHAnsi" w:eastAsia="Times New Roman" w:hAnsiTheme="minorHAnsi" w:cstheme="minorHAnsi"/>
          <w:bCs/>
          <w:color w:val="000000" w:themeColor="text1"/>
        </w:rPr>
        <w:t>riginal comments are on file with DEQ.</w:t>
      </w:r>
    </w:p>
    <w:p w:rsidR="00172958" w:rsidRDefault="00172958" w:rsidP="00172958">
      <w:pPr>
        <w:spacing w:after="120"/>
        <w:ind w:left="360"/>
        <w:outlineLvl w:val="0"/>
        <w:rPr>
          <w:rFonts w:asciiTheme="majorHAnsi" w:eastAsia="Times New Roman" w:hAnsiTheme="majorHAnsi" w:cstheme="majorHAnsi"/>
          <w:bCs/>
          <w:color w:val="504938"/>
          <w:sz w:val="22"/>
          <w:szCs w:val="22"/>
        </w:rPr>
      </w:pPr>
    </w:p>
    <w:p w:rsidR="00A54DAE" w:rsidRPr="00FD4C93" w:rsidRDefault="00361D6C" w:rsidP="00A54DAE">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A54DAE" w:rsidRPr="00FD4C93">
        <w:rPr>
          <w:rFonts w:ascii="Times New Roman" w:hAnsi="Times New Roman" w:cs="Times New Roman"/>
          <w:color w:val="000000"/>
        </w:rPr>
        <w:t xml:space="preserve">The proposed fees, during a downturn in the economy and combined with the cost of doing business, represent a hardship and are opposed. Instead of increasing fees, DEQ should look towards efficiencies within existing programs or cut/reduce existing programs and services to reduce costs. </w:t>
      </w:r>
    </w:p>
    <w:p w:rsidR="00361D6C" w:rsidRPr="00FD4C93" w:rsidRDefault="00361D6C" w:rsidP="00361D6C">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000000" w:themeColor="text1"/>
        </w:rPr>
        <w:t>DEQ received</w:t>
      </w:r>
      <w:r w:rsidR="00887671" w:rsidRPr="00FD4C93">
        <w:rPr>
          <w:rFonts w:asciiTheme="minorHAnsi" w:eastAsia="Times New Roman" w:hAnsiTheme="minorHAnsi" w:cstheme="minorHAnsi"/>
          <w:bCs/>
          <w:color w:val="000000" w:themeColor="text1"/>
        </w:rPr>
        <w:t xml:space="preserve"> seven</w:t>
      </w:r>
      <w:r w:rsidRPr="00FD4C93">
        <w:rPr>
          <w:rFonts w:asciiTheme="minorHAnsi" w:eastAsia="Times New Roman" w:hAnsiTheme="minorHAnsi" w:cstheme="minorHAnsi"/>
          <w:bCs/>
          <w:color w:val="000000" w:themeColor="text1"/>
        </w:rPr>
        <w:t xml:space="preserve"> comments in this category from commenters </w:t>
      </w:r>
      <w:r w:rsidR="00887671" w:rsidRPr="00FD4C93">
        <w:rPr>
          <w:rFonts w:asciiTheme="minorHAnsi" w:eastAsia="Times New Roman" w:hAnsiTheme="minorHAnsi" w:cstheme="minorHAnsi"/>
          <w:bCs/>
          <w:color w:val="000000" w:themeColor="text1"/>
        </w:rPr>
        <w:t xml:space="preserve">1-7 </w:t>
      </w:r>
      <w:r w:rsidRPr="00FD4C93">
        <w:rPr>
          <w:rFonts w:asciiTheme="minorHAnsi" w:eastAsia="Times New Roman" w:hAnsiTheme="minorHAnsi" w:cstheme="minorHAnsi"/>
          <w:bCs/>
          <w:color w:val="000000" w:themeColor="text1"/>
        </w:rPr>
        <w:t xml:space="preserve">listed in the </w:t>
      </w:r>
      <w:r w:rsidRPr="00FD4C93">
        <w:rPr>
          <w:rFonts w:asciiTheme="minorHAnsi" w:eastAsia="Times New Roman" w:hAnsiTheme="minorHAnsi" w:cstheme="minorHAnsi"/>
          <w:bCs/>
          <w:i/>
          <w:color w:val="000000" w:themeColor="text1"/>
        </w:rPr>
        <w:t>Commenter</w:t>
      </w:r>
      <w:r w:rsidRPr="00FD4C93">
        <w:rPr>
          <w:rFonts w:asciiTheme="minorHAnsi" w:eastAsia="Times New Roman" w:hAnsiTheme="minorHAnsi" w:cstheme="minorHAnsi"/>
          <w:bCs/>
          <w:color w:val="000000" w:themeColor="text1"/>
        </w:rPr>
        <w:t xml:space="preserve"> section below.   </w:t>
      </w:r>
    </w:p>
    <w:p w:rsidR="00361D6C" w:rsidRDefault="00361D6C" w:rsidP="00CD4F73">
      <w:pPr>
        <w:spacing w:after="120"/>
        <w:ind w:left="2430" w:right="630" w:hanging="1350"/>
        <w:outlineLvl w:val="0"/>
        <w:rPr>
          <w:rFonts w:asciiTheme="minorHAnsi" w:eastAsia="Times New Roman" w:hAnsiTheme="minorHAnsi" w:cstheme="minorHAnsi"/>
          <w:color w:val="618889" w:themeColor="accent3" w:themeShade="BF"/>
        </w:rPr>
      </w:pPr>
      <w:r w:rsidRPr="00706FB6">
        <w:rPr>
          <w:rFonts w:asciiTheme="majorHAnsi" w:eastAsia="Times New Roman" w:hAnsiTheme="majorHAnsi" w:cstheme="majorHAnsi"/>
          <w:b/>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A54DAE" w:rsidRPr="00FD4C93">
        <w:rPr>
          <w:rFonts w:ascii="Times New Roman" w:hAnsi="Times New Roman" w:cs="Times New Roman"/>
          <w:color w:val="000000"/>
        </w:rPr>
        <w:t xml:space="preserve">DEQ acknowledges the fee increase may represent a hardship to businesses, especially small businesses. DEQ also agrees that increasing efficiency is important. Some examples of recent program efficiencies include: an electronic system for reviewing monthly monitoring reports for major facilities and working with local government to reduce duplicative construction stormwater permitting. DEQ is also working towards electronic reporting of permit data and will continue to look for and prioritize program efficiencies. Even with these efficiencies, program costs are predicted to increase </w:t>
      </w:r>
      <w:r w:rsidR="005271A4" w:rsidRPr="00FD4C93">
        <w:rPr>
          <w:rFonts w:ascii="Times New Roman" w:hAnsi="Times New Roman" w:cs="Times New Roman"/>
          <w:color w:val="000000"/>
        </w:rPr>
        <w:t>7.1 percent in fiscal year 2014</w:t>
      </w:r>
      <w:r w:rsidR="00A54DAE" w:rsidRPr="00FD4C93">
        <w:rPr>
          <w:rFonts w:ascii="Times New Roman" w:hAnsi="Times New Roman" w:cs="Times New Roman"/>
          <w:color w:val="000000"/>
        </w:rPr>
        <w:t xml:space="preserve">. </w:t>
      </w:r>
    </w:p>
    <w:p w:rsidR="00CD4F73" w:rsidRPr="00CD4F73" w:rsidRDefault="00CD4F73" w:rsidP="00CD4F73">
      <w:pPr>
        <w:spacing w:after="120"/>
        <w:ind w:left="2430" w:right="630" w:hanging="1350"/>
        <w:outlineLvl w:val="0"/>
        <w:rPr>
          <w:rFonts w:asciiTheme="minorHAnsi" w:eastAsia="Times New Roman" w:hAnsiTheme="minorHAnsi" w:cstheme="minorHAnsi"/>
          <w:color w:val="618889" w:themeColor="accent3" w:themeShade="BF"/>
        </w:rPr>
      </w:pPr>
    </w:p>
    <w:p w:rsidR="00DD43A3" w:rsidRPr="00FD4C93" w:rsidRDefault="00DD43A3" w:rsidP="00706FB6">
      <w:pPr>
        <w:pStyle w:val="Default"/>
        <w:tabs>
          <w:tab w:val="left" w:pos="1080"/>
        </w:tabs>
        <w:ind w:left="2430" w:hanging="1710"/>
        <w:rPr>
          <w:rFonts w:ascii="Times New Roman" w:hAnsi="Times New Roman" w:cs="Times New Roman"/>
          <w:b w:val="0"/>
        </w:rPr>
      </w:pPr>
      <w:r>
        <w:rPr>
          <w:rFonts w:asciiTheme="majorHAnsi" w:eastAsia="Times New Roman" w:hAnsiTheme="majorHAnsi" w:cstheme="majorHAnsi"/>
          <w:b w:val="0"/>
          <w:bCs/>
          <w:color w:val="463D38" w:themeColor="accent4" w:themeShade="80"/>
          <w:sz w:val="22"/>
          <w:szCs w:val="22"/>
        </w:rPr>
        <w:t xml:space="preserve">2 </w:t>
      </w:r>
      <w:r>
        <w:rPr>
          <w:rFonts w:asciiTheme="majorHAnsi" w:eastAsia="Times New Roman" w:hAnsiTheme="majorHAnsi" w:cstheme="majorHAnsi"/>
          <w:b w:val="0"/>
          <w:bCs/>
          <w:color w:val="463D38" w:themeColor="accent4" w:themeShade="80"/>
          <w:sz w:val="22"/>
          <w:szCs w:val="22"/>
        </w:rPr>
        <w:tab/>
      </w:r>
      <w:r w:rsidR="00361D6C" w:rsidRPr="00706FB6">
        <w:rPr>
          <w:rFonts w:asciiTheme="majorHAnsi" w:eastAsia="Times New Roman" w:hAnsiTheme="majorHAnsi" w:cstheme="majorHAnsi"/>
          <w:bCs/>
          <w:color w:val="463D38" w:themeColor="accent4" w:themeShade="80"/>
          <w:sz w:val="22"/>
          <w:szCs w:val="22"/>
        </w:rPr>
        <w:t>Comment</w:t>
      </w:r>
      <w:r w:rsidR="00361D6C" w:rsidRPr="009F3D9E">
        <w:rPr>
          <w:rFonts w:asciiTheme="majorHAnsi" w:eastAsia="Times New Roman" w:hAnsiTheme="majorHAnsi" w:cstheme="majorHAnsi"/>
          <w:bCs/>
          <w:color w:val="000000" w:themeColor="text1"/>
          <w:sz w:val="22"/>
          <w:szCs w:val="22"/>
        </w:rPr>
        <w:tab/>
      </w:r>
      <w:r w:rsidRPr="00FD4C93">
        <w:rPr>
          <w:rFonts w:ascii="Times New Roman" w:hAnsi="Times New Roman" w:cs="Times New Roman"/>
          <w:b w:val="0"/>
        </w:rPr>
        <w:t>The proposed 2.9 percent increase in permit fees is supported.</w:t>
      </w:r>
      <w:r w:rsidR="005271A4" w:rsidRPr="00FD4C93">
        <w:rPr>
          <w:rFonts w:ascii="Times New Roman" w:hAnsi="Times New Roman" w:cs="Times New Roman"/>
          <w:b w:val="0"/>
        </w:rPr>
        <w:t xml:space="preserve"> (Commenters noted </w:t>
      </w:r>
      <w:r w:rsidR="00887671" w:rsidRPr="00FD4C93">
        <w:rPr>
          <w:rFonts w:ascii="Times New Roman" w:hAnsi="Times New Roman" w:cs="Times New Roman"/>
          <w:b w:val="0"/>
        </w:rPr>
        <w:t>reservations about supporting the proposal due to DEQ performance related to Blue Ribbon Committee metrics.</w:t>
      </w:r>
      <w:r w:rsidR="008E735E" w:rsidRPr="00FD4C93">
        <w:rPr>
          <w:rFonts w:ascii="Times New Roman" w:hAnsi="Times New Roman" w:cs="Times New Roman"/>
          <w:b w:val="0"/>
        </w:rPr>
        <w:t xml:space="preserve"> Performance metrics are outside of the scope of this rulemaking.)</w:t>
      </w:r>
      <w:r w:rsidR="00887671" w:rsidRPr="00FD4C93">
        <w:rPr>
          <w:rFonts w:ascii="Times New Roman" w:hAnsi="Times New Roman" w:cs="Times New Roman"/>
          <w:b w:val="0"/>
        </w:rPr>
        <w:t xml:space="preserve"> </w:t>
      </w:r>
      <w:r w:rsidRPr="00FD4C93">
        <w:rPr>
          <w:rFonts w:ascii="Times New Roman" w:hAnsi="Times New Roman" w:cs="Times New Roman"/>
          <w:b w:val="0"/>
        </w:rPr>
        <w:t xml:space="preserve"> </w:t>
      </w:r>
    </w:p>
    <w:p w:rsidR="00361D6C" w:rsidRPr="009F3D9E" w:rsidRDefault="00361D6C" w:rsidP="00DD43A3">
      <w:pPr>
        <w:pStyle w:val="ListParagraph"/>
        <w:tabs>
          <w:tab w:val="left" w:pos="1080"/>
        </w:tabs>
        <w:spacing w:after="120"/>
        <w:ind w:left="2430" w:right="634"/>
        <w:contextualSpacing w:val="0"/>
        <w:outlineLvl w:val="0"/>
        <w:rPr>
          <w:rFonts w:asciiTheme="minorHAnsi" w:eastAsia="Times New Roman" w:hAnsiTheme="minorHAnsi" w:cstheme="minorHAnsi"/>
          <w:bCs/>
          <w:color w:val="000000" w:themeColor="text1"/>
        </w:rPr>
      </w:pPr>
    </w:p>
    <w:p w:rsidR="00361D6C" w:rsidRPr="009F3D9E" w:rsidRDefault="00361D6C" w:rsidP="00361D6C">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sidR="00DD43A3">
        <w:rPr>
          <w:rFonts w:asciiTheme="minorHAnsi" w:eastAsia="Times New Roman" w:hAnsiTheme="minorHAnsi" w:cstheme="minorHAnsi"/>
          <w:bCs/>
          <w:color w:val="000000" w:themeColor="text1"/>
        </w:rPr>
        <w:t xml:space="preserve"> three</w:t>
      </w:r>
      <w:r w:rsidRPr="009F3D9E">
        <w:rPr>
          <w:rFonts w:asciiTheme="minorHAnsi" w:eastAsia="Times New Roman" w:hAnsiTheme="minorHAnsi" w:cstheme="minorHAnsi"/>
          <w:bCs/>
          <w:color w:val="000000" w:themeColor="text1"/>
        </w:rPr>
        <w:t xml:space="preserve"> comments in this cat</w:t>
      </w:r>
      <w:r w:rsidR="00887671">
        <w:rPr>
          <w:rFonts w:asciiTheme="minorHAnsi" w:eastAsia="Times New Roman" w:hAnsiTheme="minorHAnsi" w:cstheme="minorHAnsi"/>
          <w:bCs/>
          <w:color w:val="000000" w:themeColor="text1"/>
        </w:rPr>
        <w:t xml:space="preserve">egory from commenters 8-10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172958" w:rsidRPr="00361D6C" w:rsidRDefault="00361D6C" w:rsidP="00361D6C">
      <w:pPr>
        <w:spacing w:after="120"/>
        <w:ind w:left="2430" w:right="630" w:hanging="1350"/>
        <w:outlineLvl w:val="0"/>
        <w:rPr>
          <w:rFonts w:asciiTheme="minorHAnsi" w:eastAsia="Times New Roman" w:hAnsiTheme="minorHAnsi" w:cstheme="minorHAnsi"/>
          <w:color w:val="618889" w:themeColor="accent3" w:themeShade="BF"/>
        </w:rPr>
      </w:pPr>
      <w:r w:rsidRPr="00706FB6">
        <w:rPr>
          <w:rFonts w:asciiTheme="majorHAnsi" w:eastAsia="Times New Roman" w:hAnsiTheme="majorHAnsi" w:cstheme="majorHAnsi"/>
          <w:b/>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52108A">
        <w:rPr>
          <w:rFonts w:asciiTheme="minorHAnsi" w:eastAsia="Times New Roman" w:hAnsiTheme="minorHAnsi" w:cstheme="minorHAnsi"/>
          <w:bCs/>
        </w:rPr>
        <w:t>DEQ appreciates the support for the proposed fee increases. Also, though outside the scope of this rulemaking, DEQ is working with the Blue Ribbon Committee to address performance metrics.</w:t>
      </w:r>
    </w:p>
    <w:p w:rsidR="00B838E2" w:rsidRPr="001F2D3C" w:rsidRDefault="00B838E2" w:rsidP="00286D1F">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Pr>
          <w:rFonts w:asciiTheme="minorHAnsi" w:hAnsiTheme="minorHAnsi" w:cstheme="minorHAnsi"/>
        </w:rPr>
        <w:t xml:space="preserve"> </w:t>
      </w: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393D3C" w:rsidRDefault="00B838E2" w:rsidP="00361D6C">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87663">
        <w:rPr>
          <w:rFonts w:ascii="Times New Roman" w:eastAsia="Times New Roman" w:hAnsi="Times New Roman" w:cs="Times New Roman"/>
          <w:color w:val="000000" w:themeColor="text1"/>
        </w:rPr>
        <w:t>10</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361D6C" w:rsidRPr="00361D6C" w:rsidRDefault="00706FB6" w:rsidP="00706FB6">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Pr="00103D79">
        <w:rPr>
          <w:rFonts w:asciiTheme="minorHAnsi" w:eastAsia="Times New Roman" w:hAnsiTheme="minorHAnsi" w:cstheme="minorHAnsi"/>
          <w:bCs/>
          <w:color w:val="000000" w:themeColor="text1"/>
        </w:rPr>
        <w:t>ommenter</w:t>
      </w:r>
      <w:r>
        <w:rPr>
          <w:rFonts w:asciiTheme="minorHAnsi" w:eastAsia="Times New Roman" w:hAnsiTheme="minorHAnsi" w:cstheme="minorHAnsi"/>
          <w:bCs/>
          <w:color w:val="000000" w:themeColor="text1"/>
        </w:rPr>
        <w:t>s 1-7</w:t>
      </w:r>
      <w:r w:rsidRPr="00103D79">
        <w:rPr>
          <w:rFonts w:asciiTheme="minorHAnsi" w:eastAsia="Times New Roman" w:hAnsiTheme="minorHAnsi" w:cstheme="minorHAnsi"/>
          <w:bCs/>
          <w:color w:val="000000" w:themeColor="text1"/>
        </w:rPr>
        <w:t xml:space="preserve"> sub</w:t>
      </w:r>
      <w:r>
        <w:rPr>
          <w:rFonts w:asciiTheme="minorHAnsi" w:eastAsia="Times New Roman" w:hAnsiTheme="minorHAnsi" w:cstheme="minorHAnsi"/>
          <w:bCs/>
          <w:color w:val="000000" w:themeColor="text1"/>
        </w:rPr>
        <w:t>mitted comments under category</w:t>
      </w:r>
      <w:r w:rsidRPr="00103D79">
        <w:rPr>
          <w:rFonts w:asciiTheme="minorHAnsi" w:eastAsia="Times New Roman" w:hAnsiTheme="minorHAnsi" w:cstheme="minorHAnsi"/>
          <w:bCs/>
          <w:color w:val="000000" w:themeColor="text1"/>
        </w:rPr>
        <w:t xml:space="preserve"> </w:t>
      </w:r>
      <w:r w:rsidRPr="00F62F57">
        <w:rPr>
          <w:rFonts w:asciiTheme="minorHAnsi" w:eastAsia="Times New Roman" w:hAnsiTheme="minorHAnsi" w:cstheme="minorHAnsi"/>
        </w:rPr>
        <w:t>one</w:t>
      </w:r>
      <w:r>
        <w:rPr>
          <w:rFonts w:asciiTheme="minorHAnsi" w:eastAsia="Times New Roman" w:hAnsiTheme="minorHAnsi" w:cstheme="minorHAnsi"/>
          <w:color w:val="618889" w:themeColor="accent3" w:themeShade="BF"/>
        </w:rPr>
        <w:t xml:space="preserve">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361D6C" w:rsidRPr="00FD4C93" w:rsidRDefault="00361D6C" w:rsidP="00361D6C">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87663" w:rsidRPr="00FD4C93">
        <w:rPr>
          <w:rFonts w:asciiTheme="minorHAnsi" w:eastAsia="Times New Roman" w:hAnsiTheme="minorHAnsi" w:cstheme="minorHAnsi"/>
          <w:bCs/>
          <w:color w:val="463D38" w:themeColor="accent4" w:themeShade="80"/>
        </w:rPr>
        <w:t>Arnold Meier</w:t>
      </w:r>
      <w:r w:rsidRPr="00FD4C93">
        <w:rPr>
          <w:rFonts w:asciiTheme="minorHAnsi" w:eastAsia="Times New Roman" w:hAnsiTheme="minorHAnsi" w:cstheme="minorHAnsi"/>
          <w:bCs/>
          <w:color w:val="000000" w:themeColor="text1"/>
        </w:rPr>
        <w:tab/>
      </w:r>
    </w:p>
    <w:p w:rsidR="00361D6C" w:rsidRPr="00103D79" w:rsidRDefault="00361D6C" w:rsidP="00361D6C">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87663" w:rsidRPr="00FD4C93">
        <w:rPr>
          <w:rFonts w:asciiTheme="minorHAnsi" w:eastAsia="Times New Roman" w:hAnsiTheme="minorHAnsi" w:cstheme="minorHAnsi"/>
          <w:bCs/>
          <w:color w:val="463D38" w:themeColor="accent4" w:themeShade="80"/>
        </w:rPr>
        <w:t>CPA</w:t>
      </w:r>
    </w:p>
    <w:p w:rsidR="00361D6C" w:rsidRPr="00FD4C93" w:rsidRDefault="00361D6C" w:rsidP="00361D6C">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A685D" w:rsidRPr="00FD4C93">
        <w:rPr>
          <w:rFonts w:asciiTheme="minorHAnsi" w:eastAsia="Times New Roman" w:hAnsiTheme="minorHAnsi" w:cstheme="minorHAnsi"/>
          <w:bCs/>
          <w:color w:val="463D38" w:themeColor="accent4" w:themeShade="80"/>
        </w:rPr>
        <w:t>Robert Van Creveld</w:t>
      </w:r>
      <w:r w:rsidRPr="00FD4C93">
        <w:rPr>
          <w:rFonts w:asciiTheme="minorHAnsi" w:eastAsia="Times New Roman" w:hAnsiTheme="minorHAnsi" w:cstheme="minorHAnsi"/>
          <w:bCs/>
          <w:color w:val="000000" w:themeColor="text1"/>
        </w:rPr>
        <w:tab/>
      </w:r>
    </w:p>
    <w:p w:rsidR="00361D6C" w:rsidRPr="00103D79" w:rsidRDefault="00361D6C" w:rsidP="00361D6C">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A685D" w:rsidRPr="00FD4C93">
        <w:rPr>
          <w:rFonts w:asciiTheme="minorHAnsi" w:eastAsia="Times New Roman" w:hAnsiTheme="minorHAnsi" w:cstheme="minorHAnsi"/>
          <w:bCs/>
          <w:color w:val="463D38" w:themeColor="accent4" w:themeShade="80"/>
        </w:rPr>
        <w:t>Edgewater NW</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Carl Patenode</w:t>
      </w:r>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City of Drain</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Thomas Harmon</w:t>
      </w:r>
      <w:r w:rsidRPr="00FD4C93">
        <w:rPr>
          <w:rFonts w:asciiTheme="minorHAnsi" w:eastAsia="Times New Roman" w:hAnsiTheme="minorHAnsi" w:cstheme="minorHAnsi"/>
          <w:bCs/>
          <w:color w:val="000000" w:themeColor="text1"/>
        </w:rPr>
        <w:tab/>
      </w:r>
    </w:p>
    <w:p w:rsidR="00D87663" w:rsidRPr="00706FB6"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(Not Provided)</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706FB6" w:rsidRPr="00FD4C93">
        <w:rPr>
          <w:rFonts w:asciiTheme="minorHAnsi" w:eastAsia="Times New Roman" w:hAnsiTheme="minorHAnsi" w:cstheme="minorHAnsi"/>
          <w:bCs/>
          <w:color w:val="463D38" w:themeColor="accent4" w:themeShade="80"/>
        </w:rPr>
        <w:t>John Orueta</w:t>
      </w:r>
      <w:r w:rsidRPr="00103D79">
        <w:rPr>
          <w:rFonts w:asciiTheme="minorHAnsi" w:eastAsia="Times New Roman" w:hAnsiTheme="minorHAnsi" w:cstheme="minorHAnsi"/>
          <w:bCs/>
          <w:color w:val="000000" w:themeColor="text1"/>
        </w:rPr>
        <w:tab/>
      </w:r>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706FB6" w:rsidRPr="00FD4C93">
        <w:rPr>
          <w:rFonts w:asciiTheme="minorHAnsi" w:eastAsia="Times New Roman" w:hAnsiTheme="minorHAnsi" w:cstheme="minorHAnsi"/>
          <w:bCs/>
          <w:color w:val="463D38" w:themeColor="accent4" w:themeShade="80"/>
        </w:rPr>
        <w:t>Ana Reservoir RV Park LLC</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Michael Maas</w:t>
      </w:r>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Siskiyou Field Institute</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Don Stonebrink</w:t>
      </w:r>
      <w:r w:rsidRPr="00103D79">
        <w:rPr>
          <w:rFonts w:asciiTheme="minorHAnsi" w:eastAsia="Times New Roman" w:hAnsiTheme="minorHAnsi" w:cstheme="minorHAnsi"/>
          <w:bCs/>
          <w:color w:val="000000" w:themeColor="text1"/>
        </w:rPr>
        <w:tab/>
      </w:r>
    </w:p>
    <w:p w:rsidR="00D87663" w:rsidRDefault="00D87663" w:rsidP="00D87663">
      <w:pPr>
        <w:pStyle w:val="ListParagraph"/>
        <w:tabs>
          <w:tab w:val="left" w:pos="2700"/>
        </w:tabs>
        <w:spacing w:after="120"/>
        <w:ind w:left="1080" w:right="630"/>
        <w:contextualSpacing w:val="0"/>
        <w:outlineLvl w:val="0"/>
        <w:rPr>
          <w:rFonts w:asciiTheme="majorHAnsi" w:eastAsia="Times New Roman" w:hAnsiTheme="majorHAnsi" w:cstheme="majorHAnsi"/>
          <w:bCs/>
          <w:color w:val="463D38" w:themeColor="accent4" w:themeShade="80"/>
          <w:sz w:val="22"/>
          <w:szCs w:val="22"/>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(Not Provided)</w:t>
      </w:r>
    </w:p>
    <w:p w:rsidR="00C15588" w:rsidRDefault="00C15588" w:rsidP="00706FB6">
      <w:pPr>
        <w:pStyle w:val="ListParagraph"/>
        <w:spacing w:after="120"/>
        <w:ind w:right="630"/>
        <w:contextualSpacing w:val="0"/>
        <w:outlineLvl w:val="0"/>
        <w:rPr>
          <w:rFonts w:asciiTheme="minorHAnsi" w:eastAsia="Times New Roman" w:hAnsiTheme="minorHAnsi" w:cstheme="minorHAnsi"/>
          <w:bCs/>
          <w:color w:val="000000" w:themeColor="text1"/>
        </w:rPr>
      </w:pPr>
    </w:p>
    <w:p w:rsidR="00706FB6" w:rsidRPr="00706FB6" w:rsidRDefault="00706FB6" w:rsidP="00706FB6">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Pr="00103D79">
        <w:rPr>
          <w:rFonts w:asciiTheme="minorHAnsi" w:eastAsia="Times New Roman" w:hAnsiTheme="minorHAnsi" w:cstheme="minorHAnsi"/>
          <w:bCs/>
          <w:color w:val="000000" w:themeColor="text1"/>
        </w:rPr>
        <w:t>ommenter</w:t>
      </w:r>
      <w:r>
        <w:rPr>
          <w:rFonts w:asciiTheme="minorHAnsi" w:eastAsia="Times New Roman" w:hAnsiTheme="minorHAnsi" w:cstheme="minorHAnsi"/>
          <w:bCs/>
          <w:color w:val="000000" w:themeColor="text1"/>
        </w:rPr>
        <w:t>s 8-10</w:t>
      </w:r>
      <w:r w:rsidRPr="00103D79">
        <w:rPr>
          <w:rFonts w:asciiTheme="minorHAnsi" w:eastAsia="Times New Roman" w:hAnsiTheme="minorHAnsi" w:cstheme="minorHAnsi"/>
          <w:bCs/>
          <w:color w:val="000000" w:themeColor="text1"/>
        </w:rPr>
        <w:t xml:space="preserve"> sub</w:t>
      </w:r>
      <w:r>
        <w:rPr>
          <w:rFonts w:asciiTheme="minorHAnsi" w:eastAsia="Times New Roman" w:hAnsiTheme="minorHAnsi" w:cstheme="minorHAnsi"/>
          <w:bCs/>
          <w:color w:val="000000" w:themeColor="text1"/>
        </w:rPr>
        <w:t>mitted comments under category</w:t>
      </w:r>
      <w:r w:rsidRPr="00F62F57">
        <w:rPr>
          <w:rFonts w:asciiTheme="minorHAnsi" w:eastAsia="Times New Roman" w:hAnsiTheme="minorHAnsi" w:cstheme="minorHAnsi"/>
          <w:bCs/>
        </w:rPr>
        <w:t xml:space="preserve"> </w:t>
      </w:r>
      <w:r w:rsidRPr="00F62F57">
        <w:rPr>
          <w:rFonts w:asciiTheme="minorHAnsi" w:eastAsia="Times New Roman" w:hAnsiTheme="minorHAnsi" w:cstheme="minorHAnsi"/>
        </w:rPr>
        <w:t xml:space="preserve">two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Janet Gillaspie</w:t>
      </w:r>
    </w:p>
    <w:p w:rsidR="00D87663" w:rsidRPr="00C15588"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Oregon Association of Clean Water Agencies</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Tracy Rutten</w:t>
      </w:r>
      <w:r w:rsidRPr="00C15588">
        <w:rPr>
          <w:rFonts w:asciiTheme="minorHAnsi" w:eastAsia="Times New Roman" w:hAnsiTheme="minorHAnsi" w:cstheme="minorHAnsi"/>
          <w:bCs/>
          <w:color w:val="000000" w:themeColor="text1"/>
        </w:rPr>
        <w:tab/>
      </w:r>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League of Oregon Cities</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Mark Landauer</w:t>
      </w:r>
      <w:r w:rsidRPr="000009A6">
        <w:rPr>
          <w:rFonts w:asciiTheme="minorHAnsi" w:eastAsia="Times New Roman" w:hAnsiTheme="minorHAnsi" w:cstheme="minorHAnsi"/>
          <w:bCs/>
          <w:color w:val="000000" w:themeColor="text1"/>
        </w:rPr>
        <w:tab/>
      </w:r>
    </w:p>
    <w:p w:rsidR="00D87663" w:rsidRPr="00C15588"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Special Districts Association of Oregon</w:t>
      </w:r>
    </w:p>
    <w:p w:rsidR="00D87663" w:rsidRDefault="00D87663" w:rsidP="00D87663">
      <w:pPr>
        <w:pStyle w:val="ListParagraph"/>
        <w:spacing w:after="120"/>
        <w:ind w:left="2700" w:right="630"/>
        <w:contextualSpacing w:val="0"/>
        <w:outlineLvl w:val="0"/>
        <w:rPr>
          <w:rFonts w:asciiTheme="minorHAnsi" w:eastAsia="Times New Roman" w:hAnsiTheme="minorHAnsi" w:cstheme="minorHAnsi"/>
          <w:bCs/>
          <w:color w:val="000000" w:themeColor="text1"/>
        </w:rPr>
      </w:pPr>
    </w:p>
    <w:p w:rsidR="00706FB6" w:rsidRPr="00D87663" w:rsidRDefault="00706FB6" w:rsidP="00D87663">
      <w:pPr>
        <w:pStyle w:val="ListParagraph"/>
        <w:spacing w:after="120"/>
        <w:ind w:left="2700" w:right="630"/>
        <w:contextualSpacing w:val="0"/>
        <w:outlineLvl w:val="0"/>
        <w:rPr>
          <w:rFonts w:asciiTheme="minorHAnsi" w:eastAsia="Times New Roman" w:hAnsiTheme="minorHAnsi" w:cstheme="minorHAnsi"/>
          <w:bCs/>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F7621" w:rsidRDefault="00D454A6" w:rsidP="00831D69">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002653E7">
        <w:rPr>
          <w:rFonts w:asciiTheme="minorHAnsi" w:eastAsia="Times New Roman" w:hAnsiTheme="minorHAnsi" w:cstheme="minorHAnsi"/>
          <w:color w:val="000000"/>
        </w:rPr>
        <w:t>Nov. 1, 2013</w:t>
      </w:r>
      <w:r w:rsidR="00235F2E">
        <w:rPr>
          <w:rFonts w:asciiTheme="minorHAnsi" w:eastAsia="Times New Roman" w:hAnsiTheme="minorHAnsi" w:cstheme="minorHAnsi"/>
          <w:color w:val="000000"/>
        </w:rPr>
        <w:t xml:space="preserve"> if adopted by the </w:t>
      </w:r>
      <w:r w:rsidR="00657844">
        <w:rPr>
          <w:rFonts w:asciiTheme="minorHAnsi" w:eastAsia="Times New Roman" w:hAnsiTheme="minorHAnsi" w:cstheme="minorHAnsi"/>
          <w:color w:val="000000"/>
        </w:rPr>
        <w:t>commission</w:t>
      </w:r>
      <w:r>
        <w:rPr>
          <w:rFonts w:asciiTheme="minorHAnsi" w:eastAsia="Times New Roman" w:hAnsiTheme="minorHAnsi" w:cstheme="minorHAnsi"/>
          <w:color w:val="000000"/>
        </w:rPr>
        <w:t>. DEQ</w:t>
      </w:r>
      <w:r w:rsidR="008E735E">
        <w:rPr>
          <w:rFonts w:asciiTheme="minorHAnsi" w:eastAsia="Times New Roman" w:hAnsiTheme="minorHAnsi" w:cstheme="minorHAnsi"/>
          <w:color w:val="000000"/>
        </w:rPr>
        <w:t xml:space="preserve"> would</w:t>
      </w:r>
      <w:r w:rsidR="0061757D">
        <w:rPr>
          <w:rFonts w:asciiTheme="minorHAnsi" w:eastAsia="Times New Roman" w:hAnsiTheme="minorHAnsi" w:cstheme="minorHAnsi"/>
          <w:color w:val="000000"/>
        </w:rPr>
        <w:t xml:space="preserve"> notify:</w:t>
      </w:r>
      <w:r>
        <w:rPr>
          <w:rFonts w:asciiTheme="minorHAnsi" w:eastAsia="Times New Roman" w:hAnsiTheme="minorHAnsi" w:cstheme="minorHAnsi"/>
          <w:color w:val="000000"/>
        </w:rPr>
        <w:t xml:space="preserve"> </w:t>
      </w:r>
    </w:p>
    <w:p w:rsidR="00831D69" w:rsidRPr="00831D69" w:rsidRDefault="00831D69" w:rsidP="00831D69">
      <w:pPr>
        <w:ind w:left="720" w:right="1008"/>
        <w:outlineLvl w:val="0"/>
        <w:rPr>
          <w:rFonts w:asciiTheme="minorHAnsi" w:eastAsia="Times New Roman" w:hAnsiTheme="minorHAnsi" w:cstheme="minorHAnsi"/>
          <w:color w:val="000000"/>
        </w:rPr>
      </w:pPr>
    </w:p>
    <w:p w:rsidR="00831D69" w:rsidRPr="00B60148" w:rsidRDefault="00B60148" w:rsidP="00831D69">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Permit holders through invoices</w:t>
      </w:r>
    </w:p>
    <w:p w:rsidR="00831D69" w:rsidRPr="00B60148" w:rsidRDefault="00F62F57" w:rsidP="00831D69">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A</w:t>
      </w:r>
      <w:r w:rsidR="003A736A" w:rsidRPr="00B60148">
        <w:rPr>
          <w:rFonts w:asciiTheme="minorHAnsi" w:hAnsiTheme="minorHAnsi" w:cstheme="minorHAnsi"/>
        </w:rPr>
        <w:t>dvisory committee</w:t>
      </w:r>
      <w:r>
        <w:rPr>
          <w:rFonts w:asciiTheme="minorHAnsi" w:hAnsiTheme="minorHAnsi" w:cstheme="minorHAnsi"/>
        </w:rPr>
        <w:t xml:space="preserve"> members</w:t>
      </w:r>
    </w:p>
    <w:p w:rsidR="00831D69" w:rsidRPr="00B60148"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Agents who administer permits</w:t>
      </w:r>
      <w:r w:rsidR="008E735E">
        <w:rPr>
          <w:rFonts w:asciiTheme="minorHAnsi" w:hAnsiTheme="minorHAnsi" w:cstheme="minorHAnsi"/>
        </w:rPr>
        <w:t xml:space="preserve"> on DEQ’s behalf</w:t>
      </w:r>
      <w:r w:rsidRPr="00B60148">
        <w:rPr>
          <w:rFonts w:asciiTheme="minorHAnsi" w:hAnsiTheme="minorHAnsi" w:cstheme="minorHAnsi"/>
        </w:rPr>
        <w:t xml:space="preserve"> </w:t>
      </w:r>
    </w:p>
    <w:p w:rsidR="00831D69" w:rsidRPr="00B60148"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Interested parties through GovDelivery (same list as the public notice period)</w:t>
      </w:r>
    </w:p>
    <w:p w:rsidR="003A736A" w:rsidRPr="00B60148" w:rsidRDefault="00150609" w:rsidP="003A736A">
      <w:pPr>
        <w:pStyle w:val="ListParagraph"/>
        <w:numPr>
          <w:ilvl w:val="0"/>
          <w:numId w:val="1"/>
        </w:numPr>
        <w:spacing w:after="120"/>
        <w:ind w:left="1440" w:right="1008"/>
        <w:outlineLvl w:val="0"/>
        <w:rPr>
          <w:rFonts w:asciiTheme="minorHAnsi" w:hAnsiTheme="minorHAnsi" w:cstheme="minorHAnsi"/>
        </w:rPr>
      </w:pPr>
      <w:r>
        <w:rPr>
          <w:rFonts w:asciiTheme="minorHAnsi" w:hAnsiTheme="minorHAnsi" w:cstheme="minorHAnsi"/>
        </w:rPr>
        <w:t>DEQ regional and water q</w:t>
      </w:r>
      <w:r w:rsidR="003A736A" w:rsidRPr="00B60148">
        <w:rPr>
          <w:rFonts w:asciiTheme="minorHAnsi" w:hAnsiTheme="minorHAnsi" w:cstheme="minorHAnsi"/>
        </w:rPr>
        <w:t xml:space="preserve">uality </w:t>
      </w:r>
      <w:r>
        <w:rPr>
          <w:rFonts w:asciiTheme="minorHAnsi" w:hAnsiTheme="minorHAnsi" w:cstheme="minorHAnsi"/>
        </w:rPr>
        <w:t>program staff</w:t>
      </w:r>
      <w:r w:rsidR="003A736A" w:rsidRPr="00B60148">
        <w:rPr>
          <w:rFonts w:asciiTheme="minorHAnsi" w:hAnsiTheme="minorHAnsi" w:cstheme="minorHAnsi"/>
        </w:rPr>
        <w:t xml:space="preserve"> </w:t>
      </w:r>
    </w:p>
    <w:p w:rsidR="00D71EF0" w:rsidRPr="001F2D3C" w:rsidRDefault="00D71EF0" w:rsidP="00D71EF0">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71EF0" w:rsidRPr="00FF2CB9" w:rsidRDefault="00D71EF0" w:rsidP="00D71EF0">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All applicable information (tables, forms, fact sheets) would be updated.</w:t>
      </w:r>
    </w:p>
    <w:p w:rsidR="00D454A6" w:rsidRPr="00B60148" w:rsidRDefault="00D71EF0" w:rsidP="00B60148">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00B60148">
        <w:rPr>
          <w:rFonts w:asciiTheme="minorHAnsi" w:eastAsia="Times New Roman" w:hAnsiTheme="minorHAnsi" w:cstheme="minorHAnsi"/>
          <w:color w:val="000000"/>
        </w:rPr>
        <w:t xml:space="preserve"> –</w:t>
      </w:r>
      <w:r w:rsidRPr="00FF2CB9">
        <w:rPr>
          <w:rFonts w:asciiTheme="minorHAnsi" w:eastAsia="Times New Roman" w:hAnsiTheme="minorHAnsi" w:cstheme="minorHAnsi"/>
          <w:color w:val="000000"/>
        </w:rPr>
        <w:t xml:space="preserve"> </w:t>
      </w:r>
      <w:r w:rsidR="006D7B44">
        <w:rPr>
          <w:rFonts w:asciiTheme="minorHAnsi" w:eastAsia="Times New Roman" w:hAnsiTheme="minorHAnsi" w:cstheme="minorHAnsi"/>
          <w:color w:val="000000"/>
        </w:rPr>
        <w:t xml:space="preserve">All applicable </w:t>
      </w:r>
      <w:r w:rsidR="00B60148">
        <w:rPr>
          <w:rFonts w:asciiTheme="minorHAnsi" w:eastAsia="Times New Roman" w:hAnsiTheme="minorHAnsi" w:cstheme="minorHAnsi"/>
          <w:color w:val="000000"/>
        </w:rPr>
        <w:t>fees</w:t>
      </w:r>
      <w:r w:rsidR="006D7B44">
        <w:rPr>
          <w:rFonts w:asciiTheme="minorHAnsi" w:eastAsia="Times New Roman" w:hAnsiTheme="minorHAnsi" w:cstheme="minorHAnsi"/>
          <w:color w:val="000000"/>
        </w:rPr>
        <w:t xml:space="preserve"> would be updated.</w:t>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r w:rsidRPr="00F62F57">
        <w:rPr>
          <w:rFonts w:ascii="Verdana" w:hAnsi="Verdana" w:cs="Verdana"/>
          <w:sz w:val="20"/>
          <w:szCs w:val="20"/>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B81D56">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Pr="00D90062" w:rsidRDefault="000878CA" w:rsidP="003A736A">
      <w:pPr>
        <w:spacing w:after="120"/>
        <w:ind w:left="720" w:right="630"/>
        <w:outlineLvl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B81D56">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D454A6" w:rsidRPr="00D90062" w:rsidSect="00700417">
      <w:footerReference w:type="default" r:id="rId2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412" w:rsidRDefault="00A27412" w:rsidP="00F86323">
      <w:r>
        <w:separator/>
      </w:r>
    </w:p>
  </w:endnote>
  <w:endnote w:type="continuationSeparator" w:id="0">
    <w:p w:rsidR="00A27412" w:rsidRDefault="00A27412" w:rsidP="00F8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080"/>
      <w:docPartObj>
        <w:docPartGallery w:val="Page Numbers (Bottom of Page)"/>
        <w:docPartUnique/>
      </w:docPartObj>
    </w:sdtPr>
    <w:sdtContent>
      <w:p w:rsidR="00A27412" w:rsidRDefault="00A27412">
        <w:pPr>
          <w:pStyle w:val="Footer"/>
          <w:jc w:val="right"/>
        </w:pPr>
        <w:fldSimple w:instr=" PAGE   \* MERGEFORMAT ">
          <w:r w:rsidR="009357ED">
            <w:rPr>
              <w:noProof/>
            </w:rPr>
            <w:t>9</w:t>
          </w:r>
        </w:fldSimple>
      </w:p>
    </w:sdtContent>
  </w:sdt>
  <w:p w:rsidR="00A27412" w:rsidRDefault="00A274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412" w:rsidRDefault="00A27412" w:rsidP="00F86323">
      <w:r>
        <w:separator/>
      </w:r>
    </w:p>
  </w:footnote>
  <w:footnote w:type="continuationSeparator" w:id="0">
    <w:p w:rsidR="00A27412" w:rsidRDefault="00A27412" w:rsidP="00F8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4">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5">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6"/>
  </w:num>
  <w:num w:numId="4">
    <w:abstractNumId w:val="12"/>
  </w:num>
  <w:num w:numId="5">
    <w:abstractNumId w:val="9"/>
  </w:num>
  <w:num w:numId="6">
    <w:abstractNumId w:val="28"/>
  </w:num>
  <w:num w:numId="7">
    <w:abstractNumId w:val="5"/>
  </w:num>
  <w:num w:numId="8">
    <w:abstractNumId w:val="32"/>
  </w:num>
  <w:num w:numId="9">
    <w:abstractNumId w:val="18"/>
  </w:num>
  <w:num w:numId="10">
    <w:abstractNumId w:val="6"/>
  </w:num>
  <w:num w:numId="11">
    <w:abstractNumId w:val="30"/>
  </w:num>
  <w:num w:numId="12">
    <w:abstractNumId w:val="2"/>
  </w:num>
  <w:num w:numId="13">
    <w:abstractNumId w:val="21"/>
  </w:num>
  <w:num w:numId="14">
    <w:abstractNumId w:val="16"/>
  </w:num>
  <w:num w:numId="15">
    <w:abstractNumId w:val="13"/>
  </w:num>
  <w:num w:numId="16">
    <w:abstractNumId w:val="20"/>
  </w:num>
  <w:num w:numId="17">
    <w:abstractNumId w:val="10"/>
  </w:num>
  <w:num w:numId="18">
    <w:abstractNumId w:val="25"/>
  </w:num>
  <w:num w:numId="19">
    <w:abstractNumId w:val="24"/>
  </w:num>
  <w:num w:numId="20">
    <w:abstractNumId w:val="33"/>
  </w:num>
  <w:num w:numId="21">
    <w:abstractNumId w:val="19"/>
  </w:num>
  <w:num w:numId="22">
    <w:abstractNumId w:val="27"/>
  </w:num>
  <w:num w:numId="23">
    <w:abstractNumId w:val="31"/>
  </w:num>
  <w:num w:numId="24">
    <w:abstractNumId w:val="29"/>
  </w:num>
  <w:num w:numId="25">
    <w:abstractNumId w:val="17"/>
  </w:num>
  <w:num w:numId="26">
    <w:abstractNumId w:val="11"/>
  </w:num>
  <w:num w:numId="27">
    <w:abstractNumId w:val="7"/>
  </w:num>
  <w:num w:numId="28">
    <w:abstractNumId w:val="15"/>
  </w:num>
  <w:num w:numId="29">
    <w:abstractNumId w:val="23"/>
  </w:num>
  <w:num w:numId="30">
    <w:abstractNumId w:val="14"/>
  </w:num>
  <w:num w:numId="31">
    <w:abstractNumId w:val="4"/>
  </w:num>
  <w:num w:numId="32">
    <w:abstractNumId w:val="1"/>
  </w:num>
  <w:num w:numId="33">
    <w:abstractNumId w:val="22"/>
  </w:num>
  <w:num w:numId="34">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09A6"/>
    <w:rsid w:val="000012BE"/>
    <w:rsid w:val="00001D9F"/>
    <w:rsid w:val="00021CEF"/>
    <w:rsid w:val="00025EC3"/>
    <w:rsid w:val="00026313"/>
    <w:rsid w:val="000319E1"/>
    <w:rsid w:val="00035352"/>
    <w:rsid w:val="00036E46"/>
    <w:rsid w:val="000418FA"/>
    <w:rsid w:val="000453E0"/>
    <w:rsid w:val="00051DA8"/>
    <w:rsid w:val="00052890"/>
    <w:rsid w:val="0005564A"/>
    <w:rsid w:val="00055C22"/>
    <w:rsid w:val="00061C88"/>
    <w:rsid w:val="00062456"/>
    <w:rsid w:val="0006798B"/>
    <w:rsid w:val="00072E62"/>
    <w:rsid w:val="0007735B"/>
    <w:rsid w:val="00081F93"/>
    <w:rsid w:val="000878CA"/>
    <w:rsid w:val="000904FA"/>
    <w:rsid w:val="0009279B"/>
    <w:rsid w:val="00092F0F"/>
    <w:rsid w:val="00093659"/>
    <w:rsid w:val="0009694C"/>
    <w:rsid w:val="00096DC5"/>
    <w:rsid w:val="000A363D"/>
    <w:rsid w:val="000A759C"/>
    <w:rsid w:val="000A7DC1"/>
    <w:rsid w:val="000B2D67"/>
    <w:rsid w:val="000B3DC1"/>
    <w:rsid w:val="000B685A"/>
    <w:rsid w:val="000B6AA9"/>
    <w:rsid w:val="000B6D90"/>
    <w:rsid w:val="000B7409"/>
    <w:rsid w:val="000B783F"/>
    <w:rsid w:val="000C3C54"/>
    <w:rsid w:val="000D07CA"/>
    <w:rsid w:val="000E0B9B"/>
    <w:rsid w:val="000E5208"/>
    <w:rsid w:val="000E5ECC"/>
    <w:rsid w:val="000E60A5"/>
    <w:rsid w:val="000F2916"/>
    <w:rsid w:val="001040D7"/>
    <w:rsid w:val="00107189"/>
    <w:rsid w:val="0011396A"/>
    <w:rsid w:val="001222C8"/>
    <w:rsid w:val="001329E5"/>
    <w:rsid w:val="00141F27"/>
    <w:rsid w:val="0014434D"/>
    <w:rsid w:val="001474B5"/>
    <w:rsid w:val="00150609"/>
    <w:rsid w:val="00151E67"/>
    <w:rsid w:val="001547D2"/>
    <w:rsid w:val="00154DBC"/>
    <w:rsid w:val="00157C03"/>
    <w:rsid w:val="001602E5"/>
    <w:rsid w:val="00162BB8"/>
    <w:rsid w:val="00164210"/>
    <w:rsid w:val="00167D7C"/>
    <w:rsid w:val="001708BB"/>
    <w:rsid w:val="00172958"/>
    <w:rsid w:val="00174C57"/>
    <w:rsid w:val="00176D61"/>
    <w:rsid w:val="0018159F"/>
    <w:rsid w:val="00182C5A"/>
    <w:rsid w:val="00184DD2"/>
    <w:rsid w:val="00186295"/>
    <w:rsid w:val="00187781"/>
    <w:rsid w:val="0019133B"/>
    <w:rsid w:val="0019385F"/>
    <w:rsid w:val="001C0BC0"/>
    <w:rsid w:val="001C316A"/>
    <w:rsid w:val="001C3C72"/>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2A60"/>
    <w:rsid w:val="00216917"/>
    <w:rsid w:val="00221910"/>
    <w:rsid w:val="00224887"/>
    <w:rsid w:val="00225AE8"/>
    <w:rsid w:val="00235585"/>
    <w:rsid w:val="00235F2E"/>
    <w:rsid w:val="00236519"/>
    <w:rsid w:val="002405F8"/>
    <w:rsid w:val="0024501F"/>
    <w:rsid w:val="0024580A"/>
    <w:rsid w:val="00250E7E"/>
    <w:rsid w:val="00257D81"/>
    <w:rsid w:val="0026382A"/>
    <w:rsid w:val="002653E7"/>
    <w:rsid w:val="00267B62"/>
    <w:rsid w:val="00286D1F"/>
    <w:rsid w:val="002A5ACA"/>
    <w:rsid w:val="002B48C5"/>
    <w:rsid w:val="002B4E66"/>
    <w:rsid w:val="002C7A23"/>
    <w:rsid w:val="002D2CCA"/>
    <w:rsid w:val="002E27EF"/>
    <w:rsid w:val="002E283F"/>
    <w:rsid w:val="002E4AA0"/>
    <w:rsid w:val="002E4B0F"/>
    <w:rsid w:val="002E5F1C"/>
    <w:rsid w:val="002F0C40"/>
    <w:rsid w:val="002F204B"/>
    <w:rsid w:val="002F5550"/>
    <w:rsid w:val="002F7621"/>
    <w:rsid w:val="00304756"/>
    <w:rsid w:val="00304A23"/>
    <w:rsid w:val="00305328"/>
    <w:rsid w:val="0031008D"/>
    <w:rsid w:val="00322B10"/>
    <w:rsid w:val="00324289"/>
    <w:rsid w:val="003248CA"/>
    <w:rsid w:val="003277C7"/>
    <w:rsid w:val="003359FB"/>
    <w:rsid w:val="00347349"/>
    <w:rsid w:val="00361D6C"/>
    <w:rsid w:val="00363901"/>
    <w:rsid w:val="00365C19"/>
    <w:rsid w:val="00370B6C"/>
    <w:rsid w:val="00373B13"/>
    <w:rsid w:val="00376B3E"/>
    <w:rsid w:val="003838E0"/>
    <w:rsid w:val="003867A8"/>
    <w:rsid w:val="003868A0"/>
    <w:rsid w:val="00386A84"/>
    <w:rsid w:val="00386D72"/>
    <w:rsid w:val="003918FF"/>
    <w:rsid w:val="00393D3C"/>
    <w:rsid w:val="003970AB"/>
    <w:rsid w:val="00397D49"/>
    <w:rsid w:val="003A039C"/>
    <w:rsid w:val="003A736A"/>
    <w:rsid w:val="003B28BE"/>
    <w:rsid w:val="003B467D"/>
    <w:rsid w:val="003B790F"/>
    <w:rsid w:val="003C12DB"/>
    <w:rsid w:val="003C325E"/>
    <w:rsid w:val="003C3662"/>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5366E"/>
    <w:rsid w:val="004536FD"/>
    <w:rsid w:val="004577C0"/>
    <w:rsid w:val="0046534A"/>
    <w:rsid w:val="00470AD8"/>
    <w:rsid w:val="004759C5"/>
    <w:rsid w:val="0048508F"/>
    <w:rsid w:val="004905F1"/>
    <w:rsid w:val="00496A70"/>
    <w:rsid w:val="00497709"/>
    <w:rsid w:val="004A5282"/>
    <w:rsid w:val="004A5AB9"/>
    <w:rsid w:val="004A685D"/>
    <w:rsid w:val="004B020E"/>
    <w:rsid w:val="004B18D2"/>
    <w:rsid w:val="004B22BC"/>
    <w:rsid w:val="004B692D"/>
    <w:rsid w:val="004C1BAD"/>
    <w:rsid w:val="004C2C58"/>
    <w:rsid w:val="004C5246"/>
    <w:rsid w:val="004C5F43"/>
    <w:rsid w:val="004C6F60"/>
    <w:rsid w:val="004D3893"/>
    <w:rsid w:val="004D5553"/>
    <w:rsid w:val="004F0485"/>
    <w:rsid w:val="004F4B6D"/>
    <w:rsid w:val="004F673A"/>
    <w:rsid w:val="005003FC"/>
    <w:rsid w:val="005102CA"/>
    <w:rsid w:val="005115F8"/>
    <w:rsid w:val="0051405A"/>
    <w:rsid w:val="00516FBC"/>
    <w:rsid w:val="0052108A"/>
    <w:rsid w:val="0052233E"/>
    <w:rsid w:val="00526006"/>
    <w:rsid w:val="005271A4"/>
    <w:rsid w:val="005344E6"/>
    <w:rsid w:val="00537741"/>
    <w:rsid w:val="005409B2"/>
    <w:rsid w:val="00540AFE"/>
    <w:rsid w:val="00542DD8"/>
    <w:rsid w:val="00545A38"/>
    <w:rsid w:val="0055208D"/>
    <w:rsid w:val="005537F7"/>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E0C47"/>
    <w:rsid w:val="005E374E"/>
    <w:rsid w:val="005F0119"/>
    <w:rsid w:val="00602EF0"/>
    <w:rsid w:val="00610286"/>
    <w:rsid w:val="0061029F"/>
    <w:rsid w:val="0061757D"/>
    <w:rsid w:val="00624BAA"/>
    <w:rsid w:val="00625D6E"/>
    <w:rsid w:val="00630DCA"/>
    <w:rsid w:val="006416C7"/>
    <w:rsid w:val="00643871"/>
    <w:rsid w:val="006479C5"/>
    <w:rsid w:val="00650BA0"/>
    <w:rsid w:val="00651920"/>
    <w:rsid w:val="006544E2"/>
    <w:rsid w:val="00657844"/>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D34D0"/>
    <w:rsid w:val="006D6F9D"/>
    <w:rsid w:val="006D7B44"/>
    <w:rsid w:val="006E68F8"/>
    <w:rsid w:val="006F02EB"/>
    <w:rsid w:val="006F0D97"/>
    <w:rsid w:val="006F3A8D"/>
    <w:rsid w:val="00700417"/>
    <w:rsid w:val="00705C22"/>
    <w:rsid w:val="00706FB6"/>
    <w:rsid w:val="007145F7"/>
    <w:rsid w:val="00715E48"/>
    <w:rsid w:val="0072191D"/>
    <w:rsid w:val="00721D94"/>
    <w:rsid w:val="00723DD6"/>
    <w:rsid w:val="00724ACC"/>
    <w:rsid w:val="00727622"/>
    <w:rsid w:val="00730121"/>
    <w:rsid w:val="00730966"/>
    <w:rsid w:val="00732601"/>
    <w:rsid w:val="00732D17"/>
    <w:rsid w:val="00733A49"/>
    <w:rsid w:val="007404A4"/>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348E"/>
    <w:rsid w:val="007C77AA"/>
    <w:rsid w:val="007D1A36"/>
    <w:rsid w:val="007D3EB6"/>
    <w:rsid w:val="007D6004"/>
    <w:rsid w:val="007D60EA"/>
    <w:rsid w:val="007D703C"/>
    <w:rsid w:val="007E2602"/>
    <w:rsid w:val="007E5070"/>
    <w:rsid w:val="007E7028"/>
    <w:rsid w:val="007F0ED4"/>
    <w:rsid w:val="007F4318"/>
    <w:rsid w:val="007F4951"/>
    <w:rsid w:val="007F6FB0"/>
    <w:rsid w:val="008013F0"/>
    <w:rsid w:val="00801DE1"/>
    <w:rsid w:val="00805C3F"/>
    <w:rsid w:val="00811EE1"/>
    <w:rsid w:val="008141CD"/>
    <w:rsid w:val="00823C9D"/>
    <w:rsid w:val="00830C32"/>
    <w:rsid w:val="00831D69"/>
    <w:rsid w:val="0083323F"/>
    <w:rsid w:val="008359D2"/>
    <w:rsid w:val="00835C99"/>
    <w:rsid w:val="0085122C"/>
    <w:rsid w:val="008520FC"/>
    <w:rsid w:val="00854517"/>
    <w:rsid w:val="00866F57"/>
    <w:rsid w:val="00880010"/>
    <w:rsid w:val="00882392"/>
    <w:rsid w:val="00887671"/>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0A30"/>
    <w:rsid w:val="008C2AEB"/>
    <w:rsid w:val="008C545E"/>
    <w:rsid w:val="008C744F"/>
    <w:rsid w:val="008C7798"/>
    <w:rsid w:val="008D52B1"/>
    <w:rsid w:val="008E735E"/>
    <w:rsid w:val="008F2AA3"/>
    <w:rsid w:val="008F5048"/>
    <w:rsid w:val="00902DAC"/>
    <w:rsid w:val="00906139"/>
    <w:rsid w:val="00914DC8"/>
    <w:rsid w:val="0091792B"/>
    <w:rsid w:val="00917AAE"/>
    <w:rsid w:val="009277B4"/>
    <w:rsid w:val="009300CE"/>
    <w:rsid w:val="00930372"/>
    <w:rsid w:val="0093182A"/>
    <w:rsid w:val="009322D3"/>
    <w:rsid w:val="00934B15"/>
    <w:rsid w:val="009357ED"/>
    <w:rsid w:val="0094373A"/>
    <w:rsid w:val="00946F4B"/>
    <w:rsid w:val="0095365D"/>
    <w:rsid w:val="00962F6A"/>
    <w:rsid w:val="0096369D"/>
    <w:rsid w:val="009648CA"/>
    <w:rsid w:val="00973916"/>
    <w:rsid w:val="00973BB5"/>
    <w:rsid w:val="0097528D"/>
    <w:rsid w:val="00977FA1"/>
    <w:rsid w:val="0098349E"/>
    <w:rsid w:val="0098522D"/>
    <w:rsid w:val="00985718"/>
    <w:rsid w:val="0098579E"/>
    <w:rsid w:val="00990248"/>
    <w:rsid w:val="009A049C"/>
    <w:rsid w:val="009B0585"/>
    <w:rsid w:val="009B4ACA"/>
    <w:rsid w:val="009C111C"/>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4D1D"/>
    <w:rsid w:val="00A16894"/>
    <w:rsid w:val="00A17802"/>
    <w:rsid w:val="00A23B90"/>
    <w:rsid w:val="00A27412"/>
    <w:rsid w:val="00A323FD"/>
    <w:rsid w:val="00A3244F"/>
    <w:rsid w:val="00A401AA"/>
    <w:rsid w:val="00A46142"/>
    <w:rsid w:val="00A46F33"/>
    <w:rsid w:val="00A50464"/>
    <w:rsid w:val="00A54DAE"/>
    <w:rsid w:val="00A60582"/>
    <w:rsid w:val="00A61B18"/>
    <w:rsid w:val="00A62D36"/>
    <w:rsid w:val="00A67416"/>
    <w:rsid w:val="00A70D48"/>
    <w:rsid w:val="00A74227"/>
    <w:rsid w:val="00A75BE2"/>
    <w:rsid w:val="00A77657"/>
    <w:rsid w:val="00A812D7"/>
    <w:rsid w:val="00A9276C"/>
    <w:rsid w:val="00AA07AC"/>
    <w:rsid w:val="00AA4C43"/>
    <w:rsid w:val="00AB1B3E"/>
    <w:rsid w:val="00AB34D8"/>
    <w:rsid w:val="00AB65D0"/>
    <w:rsid w:val="00AC1660"/>
    <w:rsid w:val="00AD0243"/>
    <w:rsid w:val="00AD33B5"/>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148"/>
    <w:rsid w:val="00B60B1B"/>
    <w:rsid w:val="00B71ADB"/>
    <w:rsid w:val="00B81D56"/>
    <w:rsid w:val="00B82764"/>
    <w:rsid w:val="00B838E2"/>
    <w:rsid w:val="00B84EF5"/>
    <w:rsid w:val="00BA466F"/>
    <w:rsid w:val="00BA69E8"/>
    <w:rsid w:val="00BB6CA4"/>
    <w:rsid w:val="00BC19AB"/>
    <w:rsid w:val="00BC6D4E"/>
    <w:rsid w:val="00BD0DC2"/>
    <w:rsid w:val="00BD3CBE"/>
    <w:rsid w:val="00BD464F"/>
    <w:rsid w:val="00BD6173"/>
    <w:rsid w:val="00BE0D4D"/>
    <w:rsid w:val="00BE1814"/>
    <w:rsid w:val="00BE7983"/>
    <w:rsid w:val="00BF347E"/>
    <w:rsid w:val="00BF71A3"/>
    <w:rsid w:val="00C02811"/>
    <w:rsid w:val="00C046A4"/>
    <w:rsid w:val="00C15588"/>
    <w:rsid w:val="00C15DD4"/>
    <w:rsid w:val="00C163B2"/>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307E"/>
    <w:rsid w:val="00CA42E0"/>
    <w:rsid w:val="00CA45A4"/>
    <w:rsid w:val="00CA4696"/>
    <w:rsid w:val="00CB188A"/>
    <w:rsid w:val="00CB28D4"/>
    <w:rsid w:val="00CB5339"/>
    <w:rsid w:val="00CB54E6"/>
    <w:rsid w:val="00CB6246"/>
    <w:rsid w:val="00CC74F4"/>
    <w:rsid w:val="00CD2E4D"/>
    <w:rsid w:val="00CD4F73"/>
    <w:rsid w:val="00CD7BA4"/>
    <w:rsid w:val="00CE2F50"/>
    <w:rsid w:val="00CE3D82"/>
    <w:rsid w:val="00CF3191"/>
    <w:rsid w:val="00CF52D4"/>
    <w:rsid w:val="00CF6B8B"/>
    <w:rsid w:val="00D0141A"/>
    <w:rsid w:val="00D024C5"/>
    <w:rsid w:val="00D07AAD"/>
    <w:rsid w:val="00D109F3"/>
    <w:rsid w:val="00D128BB"/>
    <w:rsid w:val="00D17CDB"/>
    <w:rsid w:val="00D3083F"/>
    <w:rsid w:val="00D34D18"/>
    <w:rsid w:val="00D454A6"/>
    <w:rsid w:val="00D47FDF"/>
    <w:rsid w:val="00D537F4"/>
    <w:rsid w:val="00D574D7"/>
    <w:rsid w:val="00D57C32"/>
    <w:rsid w:val="00D61DA4"/>
    <w:rsid w:val="00D63F11"/>
    <w:rsid w:val="00D71EF0"/>
    <w:rsid w:val="00D820AE"/>
    <w:rsid w:val="00D82C0F"/>
    <w:rsid w:val="00D87663"/>
    <w:rsid w:val="00D90062"/>
    <w:rsid w:val="00D9108B"/>
    <w:rsid w:val="00DB6D3B"/>
    <w:rsid w:val="00DC04D1"/>
    <w:rsid w:val="00DC148E"/>
    <w:rsid w:val="00DD11D4"/>
    <w:rsid w:val="00DD419A"/>
    <w:rsid w:val="00DD43A3"/>
    <w:rsid w:val="00DD4819"/>
    <w:rsid w:val="00DD5959"/>
    <w:rsid w:val="00DE26D4"/>
    <w:rsid w:val="00DE3D6A"/>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72B2"/>
    <w:rsid w:val="00EE6743"/>
    <w:rsid w:val="00EF0526"/>
    <w:rsid w:val="00EF4AC5"/>
    <w:rsid w:val="00EF7D3A"/>
    <w:rsid w:val="00F00F86"/>
    <w:rsid w:val="00F01B9B"/>
    <w:rsid w:val="00F03115"/>
    <w:rsid w:val="00F043A2"/>
    <w:rsid w:val="00F07710"/>
    <w:rsid w:val="00F1103E"/>
    <w:rsid w:val="00F125F0"/>
    <w:rsid w:val="00F129EB"/>
    <w:rsid w:val="00F138BD"/>
    <w:rsid w:val="00F16229"/>
    <w:rsid w:val="00F305DD"/>
    <w:rsid w:val="00F32478"/>
    <w:rsid w:val="00F42724"/>
    <w:rsid w:val="00F44E4D"/>
    <w:rsid w:val="00F516F6"/>
    <w:rsid w:val="00F62F57"/>
    <w:rsid w:val="00F650B7"/>
    <w:rsid w:val="00F66EDE"/>
    <w:rsid w:val="00F76387"/>
    <w:rsid w:val="00F810EA"/>
    <w:rsid w:val="00F824B8"/>
    <w:rsid w:val="00F86323"/>
    <w:rsid w:val="00F867C6"/>
    <w:rsid w:val="00F91414"/>
    <w:rsid w:val="00F918D4"/>
    <w:rsid w:val="00F951B2"/>
    <w:rsid w:val="00F9767B"/>
    <w:rsid w:val="00FA3C76"/>
    <w:rsid w:val="00FA46C6"/>
    <w:rsid w:val="00FA49DA"/>
    <w:rsid w:val="00FB2799"/>
    <w:rsid w:val="00FB3480"/>
    <w:rsid w:val="00FB62DA"/>
    <w:rsid w:val="00FB6A86"/>
    <w:rsid w:val="00FC1251"/>
    <w:rsid w:val="00FC1B0B"/>
    <w:rsid w:val="00FC2369"/>
    <w:rsid w:val="00FC28B7"/>
    <w:rsid w:val="00FC5C08"/>
    <w:rsid w:val="00FD0B8B"/>
    <w:rsid w:val="00FD1928"/>
    <w:rsid w:val="00FD4C93"/>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CF52D4"/>
    <w:pPr>
      <w:ind w:left="0"/>
    </w:pPr>
    <w:rPr>
      <w:rFonts w:eastAsia="Times" w:cs="Times New Roman"/>
      <w:b/>
      <w:sz w:val="20"/>
      <w:szCs w:val="20"/>
    </w:rPr>
  </w:style>
  <w:style w:type="paragraph" w:styleId="Header">
    <w:name w:val="header"/>
    <w:basedOn w:val="Normal"/>
    <w:link w:val="HeaderChar"/>
    <w:uiPriority w:val="99"/>
    <w:semiHidden/>
    <w:unhideWhenUsed/>
    <w:rsid w:val="00F86323"/>
    <w:pPr>
      <w:tabs>
        <w:tab w:val="center" w:pos="4680"/>
        <w:tab w:val="right" w:pos="9360"/>
      </w:tabs>
    </w:pPr>
  </w:style>
  <w:style w:type="character" w:customStyle="1" w:styleId="HeaderChar">
    <w:name w:val="Header Char"/>
    <w:basedOn w:val="DefaultParagraphFont"/>
    <w:link w:val="Header"/>
    <w:uiPriority w:val="99"/>
    <w:semiHidden/>
    <w:rsid w:val="00F86323"/>
    <w:rPr>
      <w:rFonts w:ascii="Arial" w:hAnsi="Arial" w:cs="Arial"/>
      <w:sz w:val="24"/>
      <w:szCs w:val="24"/>
    </w:rPr>
  </w:style>
  <w:style w:type="paragraph" w:styleId="Footer">
    <w:name w:val="footer"/>
    <w:basedOn w:val="Normal"/>
    <w:link w:val="FooterChar"/>
    <w:uiPriority w:val="99"/>
    <w:unhideWhenUsed/>
    <w:rsid w:val="00F86323"/>
    <w:pPr>
      <w:tabs>
        <w:tab w:val="center" w:pos="4680"/>
        <w:tab w:val="right" w:pos="9360"/>
      </w:tabs>
    </w:pPr>
  </w:style>
  <w:style w:type="character" w:customStyle="1" w:styleId="FooterChar">
    <w:name w:val="Footer Char"/>
    <w:basedOn w:val="DefaultParagraphFont"/>
    <w:link w:val="Footer"/>
    <w:uiPriority w:val="99"/>
    <w:rsid w:val="00F86323"/>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package" Target="embeddings/Microsoft_Office_Excel_Worksheet1.xlsx"/><Relationship Id="rId3" Type="http://schemas.openxmlformats.org/officeDocument/2006/relationships/customXml" Target="../customXml/item3.xml"/><Relationship Id="rId21" Type="http://schemas.openxmlformats.org/officeDocument/2006/relationships/hyperlink" Target="http://arcweb.sos.state.or.us/pages/rules/oars_300/oar_340/340_018.html" TargetMode="External"/><Relationship Id="rId7" Type="http://schemas.openxmlformats.org/officeDocument/2006/relationships/settings" Target="settings.xml"/><Relationship Id="rId12" Type="http://schemas.openxmlformats.org/officeDocument/2006/relationships/hyperlink" Target="http://www.leg.state.or.us/ors/468a.html" TargetMode="External"/><Relationship Id="rId17" Type="http://schemas.openxmlformats.org/officeDocument/2006/relationships/hyperlink" Target="http://www.leg.state.or.us/ors/183.html"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arcweb.sos.state.or.us/pages/rules/oars_600/oar_660/660_tofc.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regulations/proposedrules.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state.or.us/ors/197.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deq.state.or.us/pubs/permithandbook/lucs.htm"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815A1F7941B9426D8459EF6AB9DF1816"/>
        <w:category>
          <w:name w:val="General"/>
          <w:gallery w:val="placeholder"/>
        </w:category>
        <w:types>
          <w:type w:val="bbPlcHdr"/>
        </w:types>
        <w:behaviors>
          <w:behavior w:val="content"/>
        </w:behaviors>
        <w:guid w:val="{0CF4CDF2-C30E-4F7C-AD77-4C896C84C974}"/>
      </w:docPartPr>
      <w:docPartBody>
        <w:p w:rsidR="0010790B" w:rsidRDefault="0010790B" w:rsidP="0010790B">
          <w:pPr>
            <w:pStyle w:val="815A1F7941B9426D8459EF6AB9DF1816"/>
          </w:pPr>
          <w:r w:rsidRPr="00B15DF7">
            <w:rPr>
              <w:rStyle w:val="PlaceholderText"/>
              <w:rFonts w:ascii="Times New Roman" w:hAnsi="Times New Roman" w:cs="Times New Roman"/>
              <w:color w:val="000000" w:themeColor="text1"/>
            </w:rPr>
            <w:t>Choose an item.</w:t>
          </w:r>
        </w:p>
      </w:docPartBody>
    </w:docPart>
    <w:docPart>
      <w:docPartPr>
        <w:name w:val="4A6C8F0BA7D24668A997089D60383D5E"/>
        <w:category>
          <w:name w:val="General"/>
          <w:gallery w:val="placeholder"/>
        </w:category>
        <w:types>
          <w:type w:val="bbPlcHdr"/>
        </w:types>
        <w:behaviors>
          <w:behavior w:val="content"/>
        </w:behaviors>
        <w:guid w:val="{BAFB08C3-B529-4FE9-BCA0-435005033FDD}"/>
      </w:docPartPr>
      <w:docPartBody>
        <w:p w:rsidR="0010790B" w:rsidRDefault="0010790B" w:rsidP="0010790B">
          <w:pPr>
            <w:pStyle w:val="4A6C8F0BA7D24668A997089D60383D5E"/>
          </w:pPr>
          <w:r w:rsidRPr="00B15DF7">
            <w:rPr>
              <w:rStyle w:val="PlaceholderText"/>
              <w:rFonts w:ascii="Times New Roman" w:hAnsi="Times New Roman" w:cs="Times New Roman"/>
              <w:color w:val="000000" w:themeColor="text1"/>
            </w:rPr>
            <w:t>Choose an item.</w:t>
          </w:r>
        </w:p>
      </w:docPartBody>
    </w:docPart>
    <w:docPart>
      <w:docPartPr>
        <w:name w:val="72F79D22C5334D5294A0968968E4D98A"/>
        <w:category>
          <w:name w:val="General"/>
          <w:gallery w:val="placeholder"/>
        </w:category>
        <w:types>
          <w:type w:val="bbPlcHdr"/>
        </w:types>
        <w:behaviors>
          <w:behavior w:val="content"/>
        </w:behaviors>
        <w:guid w:val="{888871BE-5BE5-49D1-8D52-98AF81889A73}"/>
      </w:docPartPr>
      <w:docPartBody>
        <w:p w:rsidR="0010790B" w:rsidRDefault="0010790B" w:rsidP="0010790B">
          <w:pPr>
            <w:pStyle w:val="72F79D22C5334D5294A0968968E4D98A"/>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C4455"/>
    <w:rsid w:val="000E35D2"/>
    <w:rsid w:val="000F3229"/>
    <w:rsid w:val="0010790B"/>
    <w:rsid w:val="001A4530"/>
    <w:rsid w:val="001F29C2"/>
    <w:rsid w:val="002246A5"/>
    <w:rsid w:val="00262C03"/>
    <w:rsid w:val="002771AC"/>
    <w:rsid w:val="0029434C"/>
    <w:rsid w:val="00297A6D"/>
    <w:rsid w:val="002E032E"/>
    <w:rsid w:val="002E668F"/>
    <w:rsid w:val="002F2A75"/>
    <w:rsid w:val="00304F82"/>
    <w:rsid w:val="00306EC9"/>
    <w:rsid w:val="00357E4C"/>
    <w:rsid w:val="00373AF8"/>
    <w:rsid w:val="00386DB7"/>
    <w:rsid w:val="00492FA1"/>
    <w:rsid w:val="004C793D"/>
    <w:rsid w:val="004E5EB7"/>
    <w:rsid w:val="00516666"/>
    <w:rsid w:val="00553EC2"/>
    <w:rsid w:val="005A257B"/>
    <w:rsid w:val="006036E6"/>
    <w:rsid w:val="006043F0"/>
    <w:rsid w:val="00610C97"/>
    <w:rsid w:val="00654149"/>
    <w:rsid w:val="006E0821"/>
    <w:rsid w:val="006F2DE8"/>
    <w:rsid w:val="0074054F"/>
    <w:rsid w:val="007431AA"/>
    <w:rsid w:val="007F0034"/>
    <w:rsid w:val="007F2DDA"/>
    <w:rsid w:val="00832C1F"/>
    <w:rsid w:val="00886247"/>
    <w:rsid w:val="008F63C0"/>
    <w:rsid w:val="009474FE"/>
    <w:rsid w:val="00974A7F"/>
    <w:rsid w:val="009D3499"/>
    <w:rsid w:val="009D77D6"/>
    <w:rsid w:val="009D7836"/>
    <w:rsid w:val="009E3D97"/>
    <w:rsid w:val="009F564D"/>
    <w:rsid w:val="00A26414"/>
    <w:rsid w:val="00A6036A"/>
    <w:rsid w:val="00A9175C"/>
    <w:rsid w:val="00AE2923"/>
    <w:rsid w:val="00B07BC7"/>
    <w:rsid w:val="00B36CE6"/>
    <w:rsid w:val="00BA47EC"/>
    <w:rsid w:val="00C84407"/>
    <w:rsid w:val="00C96CBE"/>
    <w:rsid w:val="00CE3001"/>
    <w:rsid w:val="00D2302D"/>
    <w:rsid w:val="00D35A13"/>
    <w:rsid w:val="00D60F6D"/>
    <w:rsid w:val="00D86299"/>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90B"/>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815A1F7941B9426D8459EF6AB9DF1816">
    <w:name w:val="815A1F7941B9426D8459EF6AB9DF1816"/>
    <w:rsid w:val="0010790B"/>
  </w:style>
  <w:style w:type="paragraph" w:customStyle="1" w:styleId="4A6C8F0BA7D24668A997089D60383D5E">
    <w:name w:val="4A6C8F0BA7D24668A997089D60383D5E"/>
    <w:rsid w:val="0010790B"/>
  </w:style>
  <w:style w:type="paragraph" w:customStyle="1" w:styleId="72F79D22C5334D5294A0968968E4D98A">
    <w:name w:val="72F79D22C5334D5294A0968968E4D98A"/>
    <w:rsid w:val="0010790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6fa207418fcf2bbf7ecdd859a8fe5c96">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Blank</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4DF2D-63BB-40CE-A9DE-859AF7DE5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1FB304B4-EE66-4E7A-B255-9CDEB6C0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11</Pages>
  <Words>3269</Words>
  <Characters>18638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mvandeh</cp:lastModifiedBy>
  <cp:revision>30</cp:revision>
  <cp:lastPrinted>2012-06-25T22:49:00Z</cp:lastPrinted>
  <dcterms:created xsi:type="dcterms:W3CDTF">2013-08-21T23:40:00Z</dcterms:created>
  <dcterms:modified xsi:type="dcterms:W3CDTF">2014-02-25T17:30:00Z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