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tiff" ContentType="image/tif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56C45" w:rsidRPr="00C656C9" w:rsidRDefault="0050784C">
      <w:pPr>
        <w:pStyle w:val="Title"/>
      </w:pPr>
      <w:r w:rsidRPr="00C656C9">
        <w:fldChar w:fldCharType="begin"/>
      </w:r>
      <w:bookmarkStart w:id="0" w:name="Dropdown5"/>
      <w:r w:rsidR="00041287" w:rsidRPr="00C656C9">
        <w:instrText xml:space="preserve"> FORMDROPDOWN </w:instrText>
      </w:r>
      <w:r w:rsidRPr="00C656C9">
        <w:fldChar w:fldCharType="end"/>
      </w:r>
      <w:bookmarkEnd w:id="0"/>
      <w:r w:rsidRPr="00C656C9">
        <w:fldChar w:fldCharType="begin">
          <w:ffData>
            <w:name w:val=""/>
            <w:enabled/>
            <w:calcOnExit w:val="0"/>
            <w:ddList>
              <w:result w:val="1"/>
              <w:listEntry w:val="Simple"/>
              <w:listEntry w:val="Standard"/>
            </w:ddList>
          </w:ffData>
        </w:fldChar>
      </w:r>
      <w:r w:rsidR="009C5224" w:rsidRPr="00C656C9">
        <w:instrText xml:space="preserve"> FORMDROPDOWN </w:instrText>
      </w:r>
      <w:r w:rsidRPr="00C656C9">
        <w:fldChar w:fldCharType="end"/>
      </w:r>
      <w:r w:rsidR="00041287" w:rsidRPr="00C656C9">
        <w:t xml:space="preserve"> air contaminant discharge permit</w:t>
      </w:r>
    </w:p>
    <w:p w:rsidR="00856C45" w:rsidRPr="00C656C9" w:rsidRDefault="00041287">
      <w:pPr>
        <w:pStyle w:val="Title"/>
      </w:pPr>
      <w:r w:rsidRPr="00C656C9">
        <w:t>review report</w:t>
      </w:r>
    </w:p>
    <w:p w:rsidR="00856C45" w:rsidRPr="00C656C9" w:rsidRDefault="00041287">
      <w:pPr>
        <w:jc w:val="center"/>
      </w:pPr>
      <w:r w:rsidRPr="00C656C9">
        <w:t>Department of Environmental Quality</w:t>
      </w:r>
    </w:p>
    <w:p w:rsidR="00856C45" w:rsidRPr="00C656C9" w:rsidRDefault="0050784C">
      <w:pPr>
        <w:jc w:val="center"/>
      </w:pPr>
      <w:r w:rsidRPr="00C656C9">
        <w:fldChar w:fldCharType="begin"/>
      </w:r>
      <w:bookmarkStart w:id="1" w:name="Dropdown3"/>
      <w:r w:rsidR="00041287" w:rsidRPr="00C656C9">
        <w:instrText xml:space="preserve"> FORMDROPDOWN </w:instrText>
      </w:r>
      <w:r w:rsidRPr="00C656C9">
        <w:fldChar w:fldCharType="end"/>
      </w:r>
      <w:bookmarkEnd w:id="1"/>
      <w:r w:rsidRPr="00C656C9">
        <w:fldChar w:fldCharType="begin">
          <w:ffData>
            <w:name w:val=""/>
            <w:enabled/>
            <w:calcOnExit w:val="0"/>
            <w:ddList>
              <w:result w:val="2"/>
              <w:listEntry w:val="Eastern Region"/>
              <w:listEntry w:val="Western Region"/>
              <w:listEntry w:val="Northwest Region"/>
            </w:ddList>
          </w:ffData>
        </w:fldChar>
      </w:r>
      <w:r w:rsidR="009C5224" w:rsidRPr="00C656C9">
        <w:instrText xml:space="preserve"> FORMDROPDOWN </w:instrText>
      </w:r>
      <w:r w:rsidRPr="00C656C9">
        <w:fldChar w:fldCharType="end"/>
      </w:r>
    </w:p>
    <w:p w:rsidR="0015106C" w:rsidRPr="00C656C9" w:rsidRDefault="0015106C" w:rsidP="0015106C">
      <w:pPr>
        <w:pStyle w:val="Header"/>
        <w:tabs>
          <w:tab w:val="clear" w:pos="4320"/>
          <w:tab w:val="clear" w:pos="8640"/>
        </w:tabs>
        <w:jc w:val="center"/>
      </w:pPr>
      <w:proofErr w:type="gramStart"/>
      <w:r w:rsidRPr="00C656C9">
        <w:t>Waste Management of Oregon, Inc.</w:t>
      </w:r>
      <w:proofErr w:type="gramEnd"/>
    </w:p>
    <w:p w:rsidR="0015106C" w:rsidRPr="00C656C9" w:rsidRDefault="0015106C" w:rsidP="0015106C">
      <w:pPr>
        <w:jc w:val="center"/>
      </w:pPr>
      <w:proofErr w:type="gramStart"/>
      <w:r w:rsidRPr="00C656C9">
        <w:t>dba</w:t>
      </w:r>
      <w:proofErr w:type="gramEnd"/>
      <w:r w:rsidRPr="00C656C9">
        <w:t xml:space="preserve"> WM Agilyx Wastech</w:t>
      </w:r>
    </w:p>
    <w:p w:rsidR="00531C41" w:rsidRPr="00C656C9" w:rsidRDefault="00531C41">
      <w:pPr>
        <w:rPr>
          <w:b/>
        </w:rPr>
      </w:pPr>
    </w:p>
    <w:p w:rsidR="00856C45" w:rsidRPr="00C656C9" w:rsidRDefault="00041287">
      <w:r w:rsidRPr="00C656C9">
        <w:rPr>
          <w:b/>
        </w:rPr>
        <w:t>Source Information:</w:t>
      </w:r>
    </w:p>
    <w:p w:rsidR="00856C45" w:rsidRPr="00C656C9" w:rsidRDefault="00856C45">
      <w:pPr>
        <w:sectPr w:rsidR="00856C45" w:rsidRPr="00C656C9">
          <w:headerReference w:type="default" r:id="rId7"/>
          <w:footerReference w:type="default" r:id="rId8"/>
          <w:type w:val="continuous"/>
          <w:pgSz w:w="12240" w:h="15840"/>
          <w:pgMar w:top="1800" w:right="1440" w:bottom="1440" w:left="1440" w:header="720" w:footer="720" w:gutter="0"/>
          <w:cols w:space="720"/>
        </w:sectPr>
      </w:pPr>
    </w:p>
    <w:tbl>
      <w:tblPr>
        <w:tblStyle w:val="TableGrid"/>
        <w:tblW w:w="4608" w:type="dxa"/>
        <w:tblLayout w:type="fixed"/>
        <w:tblLook w:val="01E0"/>
      </w:tblPr>
      <w:tblGrid>
        <w:gridCol w:w="2538"/>
        <w:gridCol w:w="2070"/>
      </w:tblGrid>
      <w:tr w:rsidR="00856C45" w:rsidRPr="00C656C9">
        <w:tc>
          <w:tcPr>
            <w:tcW w:w="2538" w:type="dxa"/>
          </w:tcPr>
          <w:p w:rsidR="00856C45" w:rsidRPr="00C656C9" w:rsidRDefault="00041287" w:rsidP="00CD7393">
            <w:pPr>
              <w:spacing w:beforeLines="40" w:afterLines="40"/>
            </w:pPr>
            <w:r w:rsidRPr="00C656C9">
              <w:lastRenderedPageBreak/>
              <w:t>SIC</w:t>
            </w:r>
          </w:p>
        </w:tc>
        <w:tc>
          <w:tcPr>
            <w:tcW w:w="2070" w:type="dxa"/>
          </w:tcPr>
          <w:p w:rsidR="00856C45" w:rsidRPr="00C656C9" w:rsidRDefault="0015106C" w:rsidP="0015106C">
            <w:pPr>
              <w:pStyle w:val="Header"/>
              <w:tabs>
                <w:tab w:val="clear" w:pos="4320"/>
                <w:tab w:val="clear" w:pos="8640"/>
              </w:tabs>
              <w:spacing w:before="40" w:after="40"/>
              <w:jc w:val="center"/>
            </w:pPr>
            <w:r w:rsidRPr="00C656C9">
              <w:t>2869</w:t>
            </w:r>
          </w:p>
        </w:tc>
      </w:tr>
      <w:tr w:rsidR="00856C45" w:rsidRPr="00C656C9">
        <w:tc>
          <w:tcPr>
            <w:tcW w:w="2538" w:type="dxa"/>
          </w:tcPr>
          <w:p w:rsidR="00856C45" w:rsidRPr="00C656C9" w:rsidRDefault="00041287" w:rsidP="00CD7393">
            <w:pPr>
              <w:spacing w:beforeLines="40" w:afterLines="40"/>
            </w:pPr>
            <w:r w:rsidRPr="00C656C9">
              <w:t>NAICS</w:t>
            </w:r>
          </w:p>
        </w:tc>
        <w:tc>
          <w:tcPr>
            <w:tcW w:w="2070" w:type="dxa"/>
          </w:tcPr>
          <w:p w:rsidR="00856C45" w:rsidRPr="00C656C9" w:rsidRDefault="0015106C" w:rsidP="00CD7393">
            <w:pPr>
              <w:spacing w:beforeLines="40" w:afterLines="40"/>
              <w:jc w:val="center"/>
            </w:pPr>
            <w:r w:rsidRPr="00C656C9">
              <w:t>325199</w:t>
            </w:r>
          </w:p>
        </w:tc>
      </w:tr>
    </w:tbl>
    <w:p w:rsidR="00856C45" w:rsidRPr="00C656C9" w:rsidRDefault="00856C45"/>
    <w:p w:rsidR="00856C45" w:rsidRPr="00C656C9" w:rsidRDefault="00856C45"/>
    <w:tbl>
      <w:tblPr>
        <w:tblStyle w:val="TableGrid"/>
        <w:tblW w:w="4608" w:type="dxa"/>
        <w:tblLayout w:type="fixed"/>
        <w:tblLook w:val="01E0"/>
      </w:tblPr>
      <w:tblGrid>
        <w:gridCol w:w="2718"/>
        <w:gridCol w:w="1890"/>
      </w:tblGrid>
      <w:tr w:rsidR="00856C45" w:rsidRPr="00C656C9">
        <w:tc>
          <w:tcPr>
            <w:tcW w:w="2718" w:type="dxa"/>
          </w:tcPr>
          <w:p w:rsidR="00856C45" w:rsidRPr="00C656C9" w:rsidRDefault="00041287" w:rsidP="00CD7393">
            <w:pPr>
              <w:spacing w:beforeLines="40" w:afterLines="40"/>
            </w:pPr>
            <w:r w:rsidRPr="00C656C9">
              <w:lastRenderedPageBreak/>
              <w:t>Source Categories    (Table 1 Part, code)</w:t>
            </w:r>
          </w:p>
        </w:tc>
        <w:tc>
          <w:tcPr>
            <w:tcW w:w="1890" w:type="dxa"/>
          </w:tcPr>
          <w:p w:rsidR="00856C45" w:rsidRPr="00C656C9" w:rsidRDefault="00D520DF" w:rsidP="00CD7393">
            <w:pPr>
              <w:spacing w:beforeLines="40" w:afterLines="40"/>
              <w:jc w:val="center"/>
            </w:pPr>
            <w:r w:rsidRPr="00C656C9">
              <w:t xml:space="preserve">Part </w:t>
            </w:r>
            <w:r w:rsidR="0015106C" w:rsidRPr="00C656C9">
              <w:t>B. 53</w:t>
            </w:r>
          </w:p>
        </w:tc>
      </w:tr>
      <w:tr w:rsidR="00856C45" w:rsidRPr="00C656C9">
        <w:tc>
          <w:tcPr>
            <w:tcW w:w="2718" w:type="dxa"/>
          </w:tcPr>
          <w:p w:rsidR="00856C45" w:rsidRPr="00C656C9" w:rsidRDefault="00041287" w:rsidP="00CD7393">
            <w:pPr>
              <w:spacing w:beforeLines="40" w:afterLines="40"/>
            </w:pPr>
            <w:r w:rsidRPr="00C656C9">
              <w:t>Public Notice Category</w:t>
            </w:r>
          </w:p>
        </w:tc>
        <w:tc>
          <w:tcPr>
            <w:tcW w:w="1890" w:type="dxa"/>
          </w:tcPr>
          <w:p w:rsidR="00856C45" w:rsidRPr="00C656C9" w:rsidRDefault="0015106C" w:rsidP="00CD7393">
            <w:pPr>
              <w:spacing w:beforeLines="40" w:afterLines="40"/>
              <w:jc w:val="center"/>
            </w:pPr>
            <w:r w:rsidRPr="00C656C9">
              <w:t>III</w:t>
            </w:r>
          </w:p>
        </w:tc>
      </w:tr>
    </w:tbl>
    <w:p w:rsidR="00856C45" w:rsidRPr="00C656C9" w:rsidRDefault="00856C45">
      <w:pPr>
        <w:sectPr w:rsidR="00856C45" w:rsidRPr="00C656C9">
          <w:type w:val="continuous"/>
          <w:pgSz w:w="12240" w:h="15840"/>
          <w:pgMar w:top="1800" w:right="1440" w:bottom="1440" w:left="1440" w:header="720" w:footer="720" w:gutter="0"/>
          <w:cols w:num="2" w:space="720" w:equalWidth="0">
            <w:col w:w="4320" w:space="720"/>
            <w:col w:w="4320"/>
          </w:cols>
        </w:sectPr>
      </w:pPr>
    </w:p>
    <w:p w:rsidR="00856C45" w:rsidRPr="00C656C9" w:rsidRDefault="00041287">
      <w:r w:rsidRPr="00C656C9">
        <w:rPr>
          <w:b/>
        </w:rPr>
        <w:lastRenderedPageBreak/>
        <w:t>Compliance and Emissions Monitoring Requirements:</w:t>
      </w:r>
    </w:p>
    <w:p w:rsidR="00856C45" w:rsidRPr="00C656C9" w:rsidRDefault="00856C45">
      <w:pPr>
        <w:sectPr w:rsidR="00856C45" w:rsidRPr="00C656C9">
          <w:type w:val="continuous"/>
          <w:pgSz w:w="12240" w:h="15840"/>
          <w:pgMar w:top="1800" w:right="1440" w:bottom="1440" w:left="1440" w:header="720" w:footer="720" w:gutter="0"/>
          <w:cols w:space="720"/>
        </w:sectPr>
      </w:pPr>
    </w:p>
    <w:tbl>
      <w:tblPr>
        <w:tblStyle w:val="TableGrid"/>
        <w:tblW w:w="4608" w:type="dxa"/>
        <w:tblLayout w:type="fixed"/>
        <w:tblLook w:val="01E0"/>
      </w:tblPr>
      <w:tblGrid>
        <w:gridCol w:w="2538"/>
        <w:gridCol w:w="2070"/>
      </w:tblGrid>
      <w:tr w:rsidR="00856C45" w:rsidRPr="00C656C9">
        <w:tc>
          <w:tcPr>
            <w:tcW w:w="2538" w:type="dxa"/>
          </w:tcPr>
          <w:p w:rsidR="00856C45" w:rsidRPr="00C656C9" w:rsidRDefault="00041287" w:rsidP="00CD7393">
            <w:pPr>
              <w:spacing w:beforeLines="40" w:afterLines="40"/>
            </w:pPr>
            <w:r w:rsidRPr="00C656C9">
              <w:lastRenderedPageBreak/>
              <w:t>FCE</w:t>
            </w:r>
          </w:p>
        </w:tc>
        <w:tc>
          <w:tcPr>
            <w:tcW w:w="2070" w:type="dxa"/>
          </w:tcPr>
          <w:p w:rsidR="00856C45" w:rsidRPr="00C656C9" w:rsidRDefault="00856C45" w:rsidP="00CD7393">
            <w:pPr>
              <w:spacing w:beforeLines="40" w:afterLines="40"/>
              <w:jc w:val="center"/>
            </w:pPr>
          </w:p>
        </w:tc>
      </w:tr>
      <w:tr w:rsidR="00856C45" w:rsidRPr="00C656C9">
        <w:tc>
          <w:tcPr>
            <w:tcW w:w="2538" w:type="dxa"/>
          </w:tcPr>
          <w:p w:rsidR="00856C45" w:rsidRPr="00C656C9" w:rsidRDefault="00041287" w:rsidP="00CD7393">
            <w:pPr>
              <w:spacing w:beforeLines="40" w:afterLines="40"/>
            </w:pPr>
            <w:r w:rsidRPr="00C656C9">
              <w:t>Compliance schedule</w:t>
            </w:r>
          </w:p>
        </w:tc>
        <w:tc>
          <w:tcPr>
            <w:tcW w:w="2070" w:type="dxa"/>
          </w:tcPr>
          <w:p w:rsidR="00856C45" w:rsidRPr="00C656C9" w:rsidRDefault="00856C45" w:rsidP="00CD7393">
            <w:pPr>
              <w:spacing w:beforeLines="40" w:afterLines="40"/>
              <w:jc w:val="center"/>
            </w:pPr>
          </w:p>
        </w:tc>
      </w:tr>
      <w:tr w:rsidR="00856C45" w:rsidRPr="00C656C9">
        <w:tc>
          <w:tcPr>
            <w:tcW w:w="2538" w:type="dxa"/>
          </w:tcPr>
          <w:p w:rsidR="00856C45" w:rsidRPr="00C656C9" w:rsidRDefault="00041287" w:rsidP="00CD7393">
            <w:pPr>
              <w:spacing w:beforeLines="40" w:afterLines="40"/>
            </w:pPr>
            <w:r w:rsidRPr="00C656C9">
              <w:t>Unassigned emissions</w:t>
            </w:r>
          </w:p>
        </w:tc>
        <w:tc>
          <w:tcPr>
            <w:tcW w:w="2070" w:type="dxa"/>
          </w:tcPr>
          <w:p w:rsidR="00856C45" w:rsidRPr="00C656C9" w:rsidRDefault="00856C45" w:rsidP="00CD7393">
            <w:pPr>
              <w:spacing w:beforeLines="40" w:afterLines="40"/>
              <w:jc w:val="center"/>
            </w:pPr>
          </w:p>
        </w:tc>
      </w:tr>
      <w:tr w:rsidR="00856C45" w:rsidRPr="00C656C9">
        <w:tc>
          <w:tcPr>
            <w:tcW w:w="2538" w:type="dxa"/>
          </w:tcPr>
          <w:p w:rsidR="00856C45" w:rsidRPr="00C656C9" w:rsidRDefault="00041287" w:rsidP="00CD7393">
            <w:pPr>
              <w:spacing w:beforeLines="40" w:afterLines="40"/>
            </w:pPr>
            <w:r w:rsidRPr="00C656C9">
              <w:t>Emission credits</w:t>
            </w:r>
          </w:p>
        </w:tc>
        <w:tc>
          <w:tcPr>
            <w:tcW w:w="2070" w:type="dxa"/>
          </w:tcPr>
          <w:p w:rsidR="00856C45" w:rsidRPr="00C656C9" w:rsidRDefault="00856C45" w:rsidP="00CD7393">
            <w:pPr>
              <w:spacing w:beforeLines="40" w:afterLines="40"/>
              <w:jc w:val="center"/>
            </w:pPr>
          </w:p>
        </w:tc>
      </w:tr>
      <w:tr w:rsidR="00856C45" w:rsidRPr="00C656C9">
        <w:tc>
          <w:tcPr>
            <w:tcW w:w="2538" w:type="dxa"/>
          </w:tcPr>
          <w:p w:rsidR="00856C45" w:rsidRPr="00C656C9" w:rsidRDefault="00041287" w:rsidP="00CD7393">
            <w:pPr>
              <w:spacing w:beforeLines="40" w:afterLines="40"/>
            </w:pPr>
            <w:r w:rsidRPr="00C656C9">
              <w:t>Special Conditions</w:t>
            </w:r>
          </w:p>
        </w:tc>
        <w:tc>
          <w:tcPr>
            <w:tcW w:w="2070" w:type="dxa"/>
          </w:tcPr>
          <w:p w:rsidR="00856C45" w:rsidRPr="00C656C9" w:rsidRDefault="00856C45" w:rsidP="00CD7393">
            <w:pPr>
              <w:spacing w:beforeLines="40" w:afterLines="40"/>
              <w:jc w:val="center"/>
            </w:pPr>
          </w:p>
        </w:tc>
      </w:tr>
    </w:tbl>
    <w:p w:rsidR="00856C45" w:rsidRPr="00C656C9" w:rsidRDefault="00856C45"/>
    <w:tbl>
      <w:tblPr>
        <w:tblStyle w:val="TableGrid"/>
        <w:tblW w:w="4608" w:type="dxa"/>
        <w:tblLayout w:type="fixed"/>
        <w:tblLook w:val="01E0"/>
      </w:tblPr>
      <w:tblGrid>
        <w:gridCol w:w="2718"/>
        <w:gridCol w:w="1890"/>
      </w:tblGrid>
      <w:tr w:rsidR="00856C45" w:rsidRPr="00C656C9">
        <w:tc>
          <w:tcPr>
            <w:tcW w:w="2718" w:type="dxa"/>
          </w:tcPr>
          <w:p w:rsidR="00856C45" w:rsidRPr="00C656C9" w:rsidRDefault="00041287" w:rsidP="00CD7393">
            <w:pPr>
              <w:spacing w:beforeLines="40" w:afterLines="40"/>
            </w:pPr>
            <w:r w:rsidRPr="00C656C9">
              <w:lastRenderedPageBreak/>
              <w:t>Source test</w:t>
            </w:r>
          </w:p>
        </w:tc>
        <w:tc>
          <w:tcPr>
            <w:tcW w:w="1890" w:type="dxa"/>
          </w:tcPr>
          <w:p w:rsidR="00856C45" w:rsidRPr="00C656C9" w:rsidRDefault="0015106C" w:rsidP="00CD7393">
            <w:pPr>
              <w:spacing w:beforeLines="40" w:afterLines="40"/>
              <w:jc w:val="center"/>
            </w:pPr>
            <w:r w:rsidRPr="00C656C9">
              <w:t>X</w:t>
            </w:r>
          </w:p>
        </w:tc>
      </w:tr>
      <w:tr w:rsidR="00856C45" w:rsidRPr="00C656C9">
        <w:tc>
          <w:tcPr>
            <w:tcW w:w="2718" w:type="dxa"/>
          </w:tcPr>
          <w:p w:rsidR="00856C45" w:rsidRPr="00C656C9" w:rsidRDefault="00041287" w:rsidP="00CD7393">
            <w:pPr>
              <w:spacing w:beforeLines="40" w:afterLines="40"/>
            </w:pPr>
            <w:r w:rsidRPr="00C656C9">
              <w:t>COMS</w:t>
            </w:r>
          </w:p>
        </w:tc>
        <w:tc>
          <w:tcPr>
            <w:tcW w:w="1890" w:type="dxa"/>
          </w:tcPr>
          <w:p w:rsidR="00856C45" w:rsidRPr="00C656C9" w:rsidRDefault="00856C45" w:rsidP="00CD7393">
            <w:pPr>
              <w:spacing w:beforeLines="40" w:afterLines="40"/>
              <w:jc w:val="center"/>
            </w:pPr>
          </w:p>
        </w:tc>
      </w:tr>
      <w:tr w:rsidR="00856C45" w:rsidRPr="00C656C9">
        <w:tc>
          <w:tcPr>
            <w:tcW w:w="2718" w:type="dxa"/>
          </w:tcPr>
          <w:p w:rsidR="00856C45" w:rsidRPr="00C656C9" w:rsidRDefault="00041287" w:rsidP="00CD7393">
            <w:pPr>
              <w:spacing w:beforeLines="40" w:afterLines="40"/>
            </w:pPr>
            <w:r w:rsidRPr="00C656C9">
              <w:t>CEMS</w:t>
            </w:r>
          </w:p>
        </w:tc>
        <w:tc>
          <w:tcPr>
            <w:tcW w:w="1890" w:type="dxa"/>
          </w:tcPr>
          <w:p w:rsidR="00856C45" w:rsidRPr="00C656C9" w:rsidRDefault="00856C45" w:rsidP="00CD7393">
            <w:pPr>
              <w:spacing w:beforeLines="40" w:afterLines="40"/>
              <w:jc w:val="center"/>
            </w:pPr>
          </w:p>
        </w:tc>
      </w:tr>
      <w:tr w:rsidR="00856C45" w:rsidRPr="00C656C9">
        <w:tc>
          <w:tcPr>
            <w:tcW w:w="2718" w:type="dxa"/>
          </w:tcPr>
          <w:p w:rsidR="00856C45" w:rsidRPr="00C656C9" w:rsidRDefault="00041287" w:rsidP="00CD7393">
            <w:pPr>
              <w:spacing w:beforeLines="40" w:afterLines="40"/>
            </w:pPr>
            <w:r w:rsidRPr="00C656C9">
              <w:t>Ambient monitoring</w:t>
            </w:r>
          </w:p>
        </w:tc>
        <w:tc>
          <w:tcPr>
            <w:tcW w:w="1890" w:type="dxa"/>
          </w:tcPr>
          <w:p w:rsidR="00856C45" w:rsidRPr="00C656C9" w:rsidRDefault="00856C45" w:rsidP="00CD7393">
            <w:pPr>
              <w:spacing w:beforeLines="40" w:afterLines="40"/>
              <w:jc w:val="center"/>
            </w:pPr>
          </w:p>
        </w:tc>
      </w:tr>
    </w:tbl>
    <w:p w:rsidR="00856C45" w:rsidRPr="00C656C9" w:rsidRDefault="00856C45">
      <w:pPr>
        <w:sectPr w:rsidR="00856C45" w:rsidRPr="00C656C9">
          <w:type w:val="continuous"/>
          <w:pgSz w:w="12240" w:h="15840"/>
          <w:pgMar w:top="1800" w:right="1440" w:bottom="1440" w:left="1440" w:header="720" w:footer="720" w:gutter="0"/>
          <w:cols w:num="2" w:space="720" w:equalWidth="0">
            <w:col w:w="4320" w:space="720"/>
            <w:col w:w="4320"/>
          </w:cols>
        </w:sectPr>
      </w:pPr>
    </w:p>
    <w:p w:rsidR="00856C45" w:rsidRPr="00C656C9" w:rsidRDefault="00041287">
      <w:r w:rsidRPr="00C656C9">
        <w:rPr>
          <w:b/>
        </w:rPr>
        <w:lastRenderedPageBreak/>
        <w:t>Reporting Requirements</w:t>
      </w:r>
    </w:p>
    <w:p w:rsidR="00856C45" w:rsidRPr="00C656C9" w:rsidRDefault="00856C45">
      <w:pPr>
        <w:sectPr w:rsidR="00856C45" w:rsidRPr="00C656C9">
          <w:type w:val="continuous"/>
          <w:pgSz w:w="12240" w:h="15840"/>
          <w:pgMar w:top="1800" w:right="1440" w:bottom="1440" w:left="1440" w:header="720" w:footer="720" w:gutter="0"/>
          <w:cols w:space="720"/>
        </w:sectPr>
      </w:pPr>
    </w:p>
    <w:tbl>
      <w:tblPr>
        <w:tblStyle w:val="TableGrid"/>
        <w:tblW w:w="4608" w:type="dxa"/>
        <w:tblLayout w:type="fixed"/>
        <w:tblLook w:val="01E0"/>
      </w:tblPr>
      <w:tblGrid>
        <w:gridCol w:w="2538"/>
        <w:gridCol w:w="2070"/>
      </w:tblGrid>
      <w:tr w:rsidR="00856C45" w:rsidRPr="00C656C9">
        <w:tc>
          <w:tcPr>
            <w:tcW w:w="2538" w:type="dxa"/>
          </w:tcPr>
          <w:p w:rsidR="00856C45" w:rsidRPr="00C656C9" w:rsidRDefault="00041287" w:rsidP="00CD7393">
            <w:pPr>
              <w:spacing w:beforeLines="40" w:afterLines="40"/>
            </w:pPr>
            <w:r w:rsidRPr="00C656C9">
              <w:lastRenderedPageBreak/>
              <w:t>Annual report          (due date)</w:t>
            </w:r>
          </w:p>
        </w:tc>
        <w:tc>
          <w:tcPr>
            <w:tcW w:w="2070" w:type="dxa"/>
          </w:tcPr>
          <w:p w:rsidR="00856C45" w:rsidRPr="00C656C9" w:rsidRDefault="0015106C" w:rsidP="00CD7393">
            <w:pPr>
              <w:spacing w:beforeLines="40" w:afterLines="40"/>
              <w:jc w:val="center"/>
            </w:pPr>
            <w:r w:rsidRPr="00C656C9">
              <w:t>Feb 15th</w:t>
            </w:r>
          </w:p>
        </w:tc>
      </w:tr>
      <w:tr w:rsidR="00856C45" w:rsidRPr="00C656C9">
        <w:tc>
          <w:tcPr>
            <w:tcW w:w="2538" w:type="dxa"/>
          </w:tcPr>
          <w:p w:rsidR="00856C45" w:rsidRPr="00C656C9" w:rsidRDefault="00041287" w:rsidP="00CD7393">
            <w:pPr>
              <w:spacing w:beforeLines="40" w:afterLines="40"/>
            </w:pPr>
            <w:r w:rsidRPr="00C656C9">
              <w:t>Quarterly report      (due dates)</w:t>
            </w:r>
          </w:p>
        </w:tc>
        <w:tc>
          <w:tcPr>
            <w:tcW w:w="2070" w:type="dxa"/>
          </w:tcPr>
          <w:p w:rsidR="00856C45" w:rsidRPr="00C656C9" w:rsidRDefault="00856C45" w:rsidP="00CD7393">
            <w:pPr>
              <w:spacing w:beforeLines="40" w:afterLines="40"/>
              <w:jc w:val="center"/>
            </w:pPr>
          </w:p>
        </w:tc>
      </w:tr>
    </w:tbl>
    <w:p w:rsidR="00856C45" w:rsidRPr="00C656C9" w:rsidRDefault="00856C45"/>
    <w:p w:rsidR="00856C45" w:rsidRPr="00C656C9" w:rsidRDefault="00856C45"/>
    <w:tbl>
      <w:tblPr>
        <w:tblStyle w:val="TableGrid"/>
        <w:tblW w:w="4608" w:type="dxa"/>
        <w:tblLayout w:type="fixed"/>
        <w:tblLook w:val="01E0"/>
      </w:tblPr>
      <w:tblGrid>
        <w:gridCol w:w="2538"/>
        <w:gridCol w:w="2070"/>
      </w:tblGrid>
      <w:tr w:rsidR="00856C45" w:rsidRPr="00C656C9">
        <w:tc>
          <w:tcPr>
            <w:tcW w:w="2538" w:type="dxa"/>
          </w:tcPr>
          <w:p w:rsidR="009E7822" w:rsidRPr="00C656C9" w:rsidRDefault="00041287" w:rsidP="00CD7393">
            <w:pPr>
              <w:spacing w:beforeLines="40" w:afterLines="40"/>
            </w:pPr>
            <w:r w:rsidRPr="00C656C9">
              <w:lastRenderedPageBreak/>
              <w:t>Monthly report</w:t>
            </w:r>
          </w:p>
          <w:p w:rsidR="00856C45" w:rsidRPr="00C656C9" w:rsidRDefault="00041287" w:rsidP="00CD7393">
            <w:pPr>
              <w:spacing w:beforeLines="40" w:afterLines="40"/>
            </w:pPr>
            <w:r w:rsidRPr="00C656C9">
              <w:t>(due dates)</w:t>
            </w:r>
          </w:p>
        </w:tc>
        <w:tc>
          <w:tcPr>
            <w:tcW w:w="2070" w:type="dxa"/>
          </w:tcPr>
          <w:p w:rsidR="00856C45" w:rsidRPr="00C656C9" w:rsidRDefault="00856C45" w:rsidP="00CD7393">
            <w:pPr>
              <w:spacing w:beforeLines="40" w:afterLines="40"/>
              <w:jc w:val="center"/>
            </w:pPr>
          </w:p>
        </w:tc>
      </w:tr>
      <w:tr w:rsidR="00856C45" w:rsidRPr="00C656C9">
        <w:tc>
          <w:tcPr>
            <w:tcW w:w="2538" w:type="dxa"/>
          </w:tcPr>
          <w:p w:rsidR="00856C45" w:rsidRPr="00C656C9" w:rsidRDefault="00041287" w:rsidP="00CD7393">
            <w:pPr>
              <w:spacing w:beforeLines="40" w:afterLines="40"/>
            </w:pPr>
            <w:r w:rsidRPr="00C656C9">
              <w:t>Excess emissions report</w:t>
            </w:r>
          </w:p>
        </w:tc>
        <w:tc>
          <w:tcPr>
            <w:tcW w:w="2070" w:type="dxa"/>
          </w:tcPr>
          <w:p w:rsidR="00856C45" w:rsidRPr="00C656C9" w:rsidRDefault="00D520DF" w:rsidP="00CD7393">
            <w:pPr>
              <w:spacing w:beforeLines="40" w:afterLines="40"/>
              <w:jc w:val="center"/>
            </w:pPr>
            <w:r w:rsidRPr="00C656C9">
              <w:t>Std</w:t>
            </w:r>
          </w:p>
        </w:tc>
      </w:tr>
      <w:tr w:rsidR="00856C45" w:rsidRPr="00C656C9">
        <w:tc>
          <w:tcPr>
            <w:tcW w:w="2538" w:type="dxa"/>
          </w:tcPr>
          <w:p w:rsidR="00856C45" w:rsidRPr="00C656C9" w:rsidRDefault="00041287" w:rsidP="00CD7393">
            <w:pPr>
              <w:spacing w:beforeLines="40" w:afterLines="40"/>
            </w:pPr>
            <w:r w:rsidRPr="00C656C9">
              <w:t>Other (</w:t>
            </w:r>
            <w:r w:rsidR="009E7822" w:rsidRPr="00C656C9">
              <w:t>Semiannual</w:t>
            </w:r>
            <w:r w:rsidRPr="00C656C9">
              <w:t>)</w:t>
            </w:r>
          </w:p>
        </w:tc>
        <w:tc>
          <w:tcPr>
            <w:tcW w:w="2070" w:type="dxa"/>
          </w:tcPr>
          <w:p w:rsidR="00856C45" w:rsidRPr="00C656C9" w:rsidRDefault="009E7822" w:rsidP="00CD7393">
            <w:pPr>
              <w:spacing w:beforeLines="40" w:afterLines="40"/>
              <w:jc w:val="center"/>
            </w:pPr>
            <w:r w:rsidRPr="00C656C9">
              <w:t>July 31</w:t>
            </w:r>
          </w:p>
        </w:tc>
      </w:tr>
    </w:tbl>
    <w:p w:rsidR="00856C45" w:rsidRPr="00C656C9" w:rsidRDefault="00856C45">
      <w:pPr>
        <w:sectPr w:rsidR="00856C45" w:rsidRPr="00C656C9">
          <w:type w:val="continuous"/>
          <w:pgSz w:w="12240" w:h="15840"/>
          <w:pgMar w:top="1800" w:right="1440" w:bottom="1440" w:left="1440" w:header="720" w:footer="720" w:gutter="0"/>
          <w:cols w:num="2" w:space="720" w:equalWidth="0">
            <w:col w:w="4320" w:space="720"/>
            <w:col w:w="4320"/>
          </w:cols>
        </w:sectPr>
      </w:pPr>
    </w:p>
    <w:p w:rsidR="00856C45" w:rsidRPr="00C656C9" w:rsidRDefault="00041287">
      <w:r w:rsidRPr="00C656C9">
        <w:rPr>
          <w:b/>
        </w:rPr>
        <w:lastRenderedPageBreak/>
        <w:t>Air Programs</w:t>
      </w:r>
    </w:p>
    <w:p w:rsidR="00856C45" w:rsidRPr="00C656C9" w:rsidRDefault="00856C45">
      <w:pPr>
        <w:sectPr w:rsidR="00856C45" w:rsidRPr="00C656C9">
          <w:type w:val="continuous"/>
          <w:pgSz w:w="12240" w:h="15840"/>
          <w:pgMar w:top="1800" w:right="1440" w:bottom="1440" w:left="1440" w:header="720" w:footer="720" w:gutter="0"/>
          <w:cols w:space="720"/>
        </w:sectPr>
      </w:pPr>
    </w:p>
    <w:tbl>
      <w:tblPr>
        <w:tblStyle w:val="TableGrid"/>
        <w:tblW w:w="4608" w:type="dxa"/>
        <w:tblLayout w:type="fixed"/>
        <w:tblLook w:val="01E0"/>
      </w:tblPr>
      <w:tblGrid>
        <w:gridCol w:w="2718"/>
        <w:gridCol w:w="1890"/>
      </w:tblGrid>
      <w:tr w:rsidR="00856C45" w:rsidRPr="00C656C9">
        <w:tc>
          <w:tcPr>
            <w:tcW w:w="2718" w:type="dxa"/>
          </w:tcPr>
          <w:p w:rsidR="00856C45" w:rsidRPr="00C656C9" w:rsidRDefault="00041287" w:rsidP="00CD7393">
            <w:pPr>
              <w:spacing w:beforeLines="40" w:afterLines="40"/>
            </w:pPr>
            <w:r w:rsidRPr="00C656C9">
              <w:lastRenderedPageBreak/>
              <w:t>Synthetic Minor (SM)</w:t>
            </w:r>
          </w:p>
        </w:tc>
        <w:tc>
          <w:tcPr>
            <w:tcW w:w="1890" w:type="dxa"/>
          </w:tcPr>
          <w:p w:rsidR="00856C45" w:rsidRPr="00C656C9" w:rsidRDefault="00856C45" w:rsidP="00CD7393">
            <w:pPr>
              <w:spacing w:beforeLines="40" w:afterLines="40"/>
              <w:jc w:val="center"/>
            </w:pPr>
          </w:p>
        </w:tc>
      </w:tr>
      <w:tr w:rsidR="00856C45" w:rsidRPr="00C656C9">
        <w:tc>
          <w:tcPr>
            <w:tcW w:w="2718" w:type="dxa"/>
          </w:tcPr>
          <w:p w:rsidR="00856C45" w:rsidRPr="00C656C9" w:rsidRDefault="00041287" w:rsidP="00CD7393">
            <w:pPr>
              <w:spacing w:beforeLines="40" w:afterLines="40"/>
            </w:pPr>
            <w:r w:rsidRPr="00C656C9">
              <w:t>SM -80</w:t>
            </w:r>
          </w:p>
        </w:tc>
        <w:tc>
          <w:tcPr>
            <w:tcW w:w="1890" w:type="dxa"/>
          </w:tcPr>
          <w:p w:rsidR="00856C45" w:rsidRPr="00C656C9" w:rsidRDefault="00856C45" w:rsidP="00CD7393">
            <w:pPr>
              <w:spacing w:beforeLines="40" w:afterLines="40"/>
              <w:jc w:val="center"/>
            </w:pPr>
          </w:p>
        </w:tc>
      </w:tr>
      <w:tr w:rsidR="00856C45" w:rsidRPr="00C656C9">
        <w:tc>
          <w:tcPr>
            <w:tcW w:w="2718" w:type="dxa"/>
          </w:tcPr>
          <w:p w:rsidR="00856C45" w:rsidRPr="00C656C9" w:rsidRDefault="00041287" w:rsidP="00CD7393">
            <w:pPr>
              <w:spacing w:beforeLines="40" w:afterLines="40"/>
            </w:pPr>
            <w:r w:rsidRPr="00C656C9">
              <w:t>NSPS (list subparts)</w:t>
            </w:r>
          </w:p>
        </w:tc>
        <w:tc>
          <w:tcPr>
            <w:tcW w:w="1890" w:type="dxa"/>
          </w:tcPr>
          <w:p w:rsidR="00856C45" w:rsidRPr="00C656C9" w:rsidRDefault="00856C45" w:rsidP="00CD7393">
            <w:pPr>
              <w:spacing w:beforeLines="40" w:afterLines="40"/>
              <w:jc w:val="center"/>
            </w:pPr>
          </w:p>
        </w:tc>
      </w:tr>
      <w:tr w:rsidR="00856C45" w:rsidRPr="00C656C9">
        <w:tc>
          <w:tcPr>
            <w:tcW w:w="2718" w:type="dxa"/>
          </w:tcPr>
          <w:p w:rsidR="00856C45" w:rsidRPr="00C656C9" w:rsidRDefault="00041287" w:rsidP="00CD7393">
            <w:pPr>
              <w:spacing w:beforeLines="40" w:afterLines="40"/>
            </w:pPr>
            <w:r w:rsidRPr="00C656C9">
              <w:t>NESHAP (list subparts)</w:t>
            </w:r>
          </w:p>
        </w:tc>
        <w:tc>
          <w:tcPr>
            <w:tcW w:w="1890" w:type="dxa"/>
          </w:tcPr>
          <w:p w:rsidR="00856C45" w:rsidRPr="00C656C9" w:rsidRDefault="00856C45" w:rsidP="00CD7393">
            <w:pPr>
              <w:spacing w:beforeLines="40" w:afterLines="40"/>
              <w:jc w:val="center"/>
            </w:pPr>
          </w:p>
        </w:tc>
      </w:tr>
      <w:tr w:rsidR="00856C45" w:rsidRPr="00C656C9">
        <w:tc>
          <w:tcPr>
            <w:tcW w:w="2718" w:type="dxa"/>
          </w:tcPr>
          <w:p w:rsidR="00856C45" w:rsidRPr="00C656C9" w:rsidRDefault="00041287" w:rsidP="00CD7393">
            <w:pPr>
              <w:spacing w:beforeLines="40" w:afterLines="40"/>
            </w:pPr>
            <w:r w:rsidRPr="00C656C9">
              <w:t>Part 68 Risk Management</w:t>
            </w:r>
          </w:p>
        </w:tc>
        <w:tc>
          <w:tcPr>
            <w:tcW w:w="1890" w:type="dxa"/>
          </w:tcPr>
          <w:p w:rsidR="00856C45" w:rsidRPr="00C656C9" w:rsidRDefault="00856C45" w:rsidP="00CD7393">
            <w:pPr>
              <w:spacing w:beforeLines="40" w:afterLines="40"/>
              <w:jc w:val="center"/>
            </w:pPr>
          </w:p>
        </w:tc>
      </w:tr>
      <w:tr w:rsidR="00856C45" w:rsidRPr="00C656C9">
        <w:tc>
          <w:tcPr>
            <w:tcW w:w="2718" w:type="dxa"/>
          </w:tcPr>
          <w:p w:rsidR="00856C45" w:rsidRPr="00C656C9" w:rsidRDefault="00041287" w:rsidP="00CD7393">
            <w:pPr>
              <w:spacing w:beforeLines="40" w:afterLines="40"/>
            </w:pPr>
            <w:r w:rsidRPr="00C656C9">
              <w:t>CFC</w:t>
            </w:r>
          </w:p>
        </w:tc>
        <w:tc>
          <w:tcPr>
            <w:tcW w:w="1890" w:type="dxa"/>
          </w:tcPr>
          <w:p w:rsidR="00856C45" w:rsidRPr="00C656C9" w:rsidRDefault="00856C45" w:rsidP="00CD7393">
            <w:pPr>
              <w:spacing w:beforeLines="40" w:afterLines="40"/>
              <w:jc w:val="center"/>
            </w:pPr>
          </w:p>
        </w:tc>
      </w:tr>
      <w:tr w:rsidR="00856C45" w:rsidRPr="00C656C9">
        <w:tc>
          <w:tcPr>
            <w:tcW w:w="2718" w:type="dxa"/>
          </w:tcPr>
          <w:p w:rsidR="00856C45" w:rsidRPr="00C656C9" w:rsidRDefault="00041287" w:rsidP="00CD7393">
            <w:pPr>
              <w:spacing w:beforeLines="40" w:afterLines="40"/>
            </w:pPr>
            <w:r w:rsidRPr="00C656C9">
              <w:lastRenderedPageBreak/>
              <w:t>NSR</w:t>
            </w:r>
          </w:p>
        </w:tc>
        <w:tc>
          <w:tcPr>
            <w:tcW w:w="1890" w:type="dxa"/>
          </w:tcPr>
          <w:p w:rsidR="00856C45" w:rsidRPr="00C656C9" w:rsidRDefault="00856C45" w:rsidP="00CD7393">
            <w:pPr>
              <w:spacing w:beforeLines="40" w:afterLines="40"/>
              <w:jc w:val="center"/>
            </w:pPr>
          </w:p>
        </w:tc>
      </w:tr>
      <w:tr w:rsidR="00856C45" w:rsidRPr="00C656C9">
        <w:tc>
          <w:tcPr>
            <w:tcW w:w="2718" w:type="dxa"/>
          </w:tcPr>
          <w:p w:rsidR="00856C45" w:rsidRPr="00C656C9" w:rsidRDefault="00041287" w:rsidP="00CD7393">
            <w:pPr>
              <w:spacing w:beforeLines="40" w:afterLines="40"/>
            </w:pPr>
            <w:r w:rsidRPr="00C656C9">
              <w:t>PSD</w:t>
            </w:r>
          </w:p>
        </w:tc>
        <w:tc>
          <w:tcPr>
            <w:tcW w:w="1890" w:type="dxa"/>
          </w:tcPr>
          <w:p w:rsidR="00856C45" w:rsidRPr="00C656C9" w:rsidRDefault="00856C45" w:rsidP="00CD7393">
            <w:pPr>
              <w:spacing w:beforeLines="40" w:afterLines="40"/>
              <w:jc w:val="center"/>
            </w:pPr>
          </w:p>
        </w:tc>
      </w:tr>
      <w:tr w:rsidR="00856C45" w:rsidRPr="00C656C9">
        <w:tc>
          <w:tcPr>
            <w:tcW w:w="2718" w:type="dxa"/>
          </w:tcPr>
          <w:p w:rsidR="00856C45" w:rsidRPr="00C656C9" w:rsidRDefault="00041287" w:rsidP="00CD7393">
            <w:pPr>
              <w:spacing w:beforeLines="40" w:afterLines="40"/>
            </w:pPr>
            <w:r w:rsidRPr="00C656C9">
              <w:t>RACT</w:t>
            </w:r>
          </w:p>
        </w:tc>
        <w:tc>
          <w:tcPr>
            <w:tcW w:w="1890" w:type="dxa"/>
          </w:tcPr>
          <w:p w:rsidR="00856C45" w:rsidRPr="00C656C9" w:rsidRDefault="00856C45" w:rsidP="00CD7393">
            <w:pPr>
              <w:spacing w:beforeLines="40" w:afterLines="40"/>
              <w:jc w:val="center"/>
            </w:pPr>
          </w:p>
        </w:tc>
      </w:tr>
      <w:tr w:rsidR="00856C45" w:rsidRPr="00C656C9">
        <w:tc>
          <w:tcPr>
            <w:tcW w:w="2718" w:type="dxa"/>
          </w:tcPr>
          <w:p w:rsidR="00856C45" w:rsidRPr="00C656C9" w:rsidRDefault="00041287" w:rsidP="00CD7393">
            <w:pPr>
              <w:spacing w:beforeLines="40" w:afterLines="40"/>
            </w:pPr>
            <w:r w:rsidRPr="00C656C9">
              <w:t>TACT</w:t>
            </w:r>
          </w:p>
        </w:tc>
        <w:tc>
          <w:tcPr>
            <w:tcW w:w="1890" w:type="dxa"/>
          </w:tcPr>
          <w:p w:rsidR="00856C45" w:rsidRPr="00C656C9" w:rsidRDefault="00D520DF" w:rsidP="00CD7393">
            <w:pPr>
              <w:spacing w:beforeLines="40" w:afterLines="40"/>
              <w:jc w:val="center"/>
            </w:pPr>
            <w:r w:rsidRPr="00C656C9">
              <w:t>X</w:t>
            </w:r>
          </w:p>
        </w:tc>
      </w:tr>
      <w:tr w:rsidR="00856C45" w:rsidRPr="00C656C9">
        <w:tc>
          <w:tcPr>
            <w:tcW w:w="2718" w:type="dxa"/>
          </w:tcPr>
          <w:p w:rsidR="00856C45" w:rsidRPr="00C656C9" w:rsidRDefault="00041287" w:rsidP="00CD7393">
            <w:pPr>
              <w:spacing w:beforeLines="40" w:afterLines="40"/>
            </w:pPr>
            <w:r w:rsidRPr="00C656C9">
              <w:t>Other (specify)</w:t>
            </w:r>
          </w:p>
        </w:tc>
        <w:tc>
          <w:tcPr>
            <w:tcW w:w="1890" w:type="dxa"/>
          </w:tcPr>
          <w:p w:rsidR="00856C45" w:rsidRPr="00C656C9" w:rsidRDefault="00856C45" w:rsidP="00CD7393">
            <w:pPr>
              <w:spacing w:beforeLines="40" w:afterLines="40"/>
              <w:jc w:val="center"/>
            </w:pPr>
          </w:p>
        </w:tc>
      </w:tr>
    </w:tbl>
    <w:p w:rsidR="00856C45" w:rsidRPr="00C656C9" w:rsidRDefault="00856C45">
      <w:pPr>
        <w:sectPr w:rsidR="00856C45" w:rsidRPr="00C656C9">
          <w:type w:val="continuous"/>
          <w:pgSz w:w="12240" w:h="15840"/>
          <w:pgMar w:top="1800" w:right="1440" w:bottom="1440" w:left="1440" w:header="720" w:footer="720" w:gutter="0"/>
          <w:cols w:num="2" w:space="720" w:equalWidth="0">
            <w:col w:w="4320" w:space="720"/>
            <w:col w:w="4320"/>
          </w:cols>
        </w:sectPr>
      </w:pPr>
    </w:p>
    <w:p w:rsidR="00856C45" w:rsidRPr="00C656C9" w:rsidRDefault="00856C45">
      <w:pPr>
        <w:sectPr w:rsidR="00856C45" w:rsidRPr="00C656C9">
          <w:headerReference w:type="default" r:id="rId9"/>
          <w:type w:val="continuous"/>
          <w:pgSz w:w="12240" w:h="15840"/>
          <w:pgMar w:top="1800" w:right="1440" w:bottom="1440" w:left="1440" w:header="720" w:footer="720" w:gutter="0"/>
          <w:cols w:space="720"/>
        </w:sectPr>
      </w:pPr>
    </w:p>
    <w:p w:rsidR="00856C45" w:rsidRPr="00C656C9" w:rsidRDefault="00856C45"/>
    <w:p w:rsidR="00856C45" w:rsidRPr="00C656C9" w:rsidRDefault="00041287">
      <w:pPr>
        <w:rPr>
          <w:b/>
          <w:caps/>
          <w:szCs w:val="24"/>
        </w:rPr>
      </w:pPr>
      <w:r w:rsidRPr="00C656C9">
        <w:rPr>
          <w:b/>
          <w:caps/>
          <w:szCs w:val="24"/>
        </w:rPr>
        <w:t>Table Of Contents</w:t>
      </w:r>
    </w:p>
    <w:p w:rsidR="00856C45" w:rsidRPr="00C656C9" w:rsidRDefault="00856C45"/>
    <w:p w:rsidR="009435AA" w:rsidRPr="00C656C9" w:rsidRDefault="0050784C">
      <w:pPr>
        <w:pStyle w:val="TOC1"/>
        <w:rPr>
          <w:rFonts w:asciiTheme="minorHAnsi" w:eastAsiaTheme="minorEastAsia" w:hAnsiTheme="minorHAnsi" w:cstheme="minorBidi"/>
          <w:caps w:val="0"/>
          <w:sz w:val="22"/>
          <w:szCs w:val="22"/>
        </w:rPr>
      </w:pPr>
      <w:r w:rsidRPr="0050784C">
        <w:fldChar w:fldCharType="begin"/>
      </w:r>
      <w:r w:rsidR="00041287" w:rsidRPr="00C656C9">
        <w:instrText xml:space="preserve"> TOC \t "Section Header" \* MERGEFORMAT </w:instrText>
      </w:r>
      <w:r w:rsidRPr="0050784C">
        <w:fldChar w:fldCharType="separate"/>
      </w:r>
      <w:r w:rsidR="009435AA" w:rsidRPr="00C656C9">
        <w:t>PERMITTING</w:t>
      </w:r>
      <w:r w:rsidR="009435AA" w:rsidRPr="00C656C9">
        <w:tab/>
      </w:r>
      <w:r w:rsidRPr="00C656C9">
        <w:fldChar w:fldCharType="begin"/>
      </w:r>
      <w:r w:rsidR="009435AA" w:rsidRPr="00C656C9">
        <w:instrText xml:space="preserve"> PAGEREF _Toc310351178 \h </w:instrText>
      </w:r>
      <w:r w:rsidRPr="00C656C9">
        <w:fldChar w:fldCharType="separate"/>
      </w:r>
      <w:r w:rsidR="009435AA" w:rsidRPr="00C656C9">
        <w:t>3</w:t>
      </w:r>
      <w:r w:rsidRPr="00C656C9">
        <w:fldChar w:fldCharType="end"/>
      </w:r>
    </w:p>
    <w:p w:rsidR="009435AA" w:rsidRPr="00C656C9" w:rsidRDefault="009435AA">
      <w:pPr>
        <w:pStyle w:val="TOC1"/>
        <w:rPr>
          <w:rFonts w:asciiTheme="minorHAnsi" w:eastAsiaTheme="minorEastAsia" w:hAnsiTheme="minorHAnsi" w:cstheme="minorBidi"/>
          <w:caps w:val="0"/>
          <w:sz w:val="22"/>
          <w:szCs w:val="22"/>
        </w:rPr>
      </w:pPr>
      <w:r w:rsidRPr="00C656C9">
        <w:t>source description</w:t>
      </w:r>
      <w:r w:rsidRPr="00C656C9">
        <w:tab/>
      </w:r>
      <w:r w:rsidR="0050784C" w:rsidRPr="00C656C9">
        <w:fldChar w:fldCharType="begin"/>
      </w:r>
      <w:r w:rsidRPr="00C656C9">
        <w:instrText xml:space="preserve"> PAGEREF _Toc310351179 \h </w:instrText>
      </w:r>
      <w:r w:rsidR="0050784C" w:rsidRPr="00C656C9">
        <w:fldChar w:fldCharType="separate"/>
      </w:r>
      <w:r w:rsidRPr="00C656C9">
        <w:t>3</w:t>
      </w:r>
      <w:r w:rsidR="0050784C" w:rsidRPr="00C656C9">
        <w:fldChar w:fldCharType="end"/>
      </w:r>
    </w:p>
    <w:p w:rsidR="009435AA" w:rsidRPr="00C656C9" w:rsidRDefault="009435AA">
      <w:pPr>
        <w:pStyle w:val="TOC1"/>
        <w:rPr>
          <w:rFonts w:asciiTheme="minorHAnsi" w:eastAsiaTheme="minorEastAsia" w:hAnsiTheme="minorHAnsi" w:cstheme="minorBidi"/>
          <w:caps w:val="0"/>
          <w:sz w:val="22"/>
          <w:szCs w:val="22"/>
        </w:rPr>
      </w:pPr>
      <w:r w:rsidRPr="00C656C9">
        <w:t>compliance</w:t>
      </w:r>
      <w:r w:rsidRPr="00C656C9">
        <w:tab/>
      </w:r>
      <w:r w:rsidR="0050784C" w:rsidRPr="00C656C9">
        <w:fldChar w:fldCharType="begin"/>
      </w:r>
      <w:r w:rsidRPr="00C656C9">
        <w:instrText xml:space="preserve"> PAGEREF _Toc310351180 \h </w:instrText>
      </w:r>
      <w:r w:rsidR="0050784C" w:rsidRPr="00C656C9">
        <w:fldChar w:fldCharType="separate"/>
      </w:r>
      <w:r w:rsidRPr="00C656C9">
        <w:t>5</w:t>
      </w:r>
      <w:r w:rsidR="0050784C" w:rsidRPr="00C656C9">
        <w:fldChar w:fldCharType="end"/>
      </w:r>
    </w:p>
    <w:p w:rsidR="009435AA" w:rsidRPr="00C656C9" w:rsidRDefault="009435AA">
      <w:pPr>
        <w:pStyle w:val="TOC1"/>
        <w:rPr>
          <w:rFonts w:asciiTheme="minorHAnsi" w:eastAsiaTheme="minorEastAsia" w:hAnsiTheme="minorHAnsi" w:cstheme="minorBidi"/>
          <w:caps w:val="0"/>
          <w:sz w:val="22"/>
          <w:szCs w:val="22"/>
        </w:rPr>
      </w:pPr>
      <w:r w:rsidRPr="00C656C9">
        <w:t>emissions</w:t>
      </w:r>
      <w:r w:rsidRPr="00C656C9">
        <w:tab/>
      </w:r>
      <w:r w:rsidR="0050784C" w:rsidRPr="00C656C9">
        <w:fldChar w:fldCharType="begin"/>
      </w:r>
      <w:r w:rsidRPr="00C656C9">
        <w:instrText xml:space="preserve"> PAGEREF _Toc310351181 \h </w:instrText>
      </w:r>
      <w:r w:rsidR="0050784C" w:rsidRPr="00C656C9">
        <w:fldChar w:fldCharType="separate"/>
      </w:r>
      <w:r w:rsidRPr="00C656C9">
        <w:t>5</w:t>
      </w:r>
      <w:r w:rsidR="0050784C" w:rsidRPr="00C656C9">
        <w:fldChar w:fldCharType="end"/>
      </w:r>
    </w:p>
    <w:p w:rsidR="009435AA" w:rsidRPr="00C656C9" w:rsidRDefault="009435AA">
      <w:pPr>
        <w:pStyle w:val="TOC1"/>
        <w:rPr>
          <w:rFonts w:asciiTheme="minorHAnsi" w:eastAsiaTheme="minorEastAsia" w:hAnsiTheme="minorHAnsi" w:cstheme="minorBidi"/>
          <w:caps w:val="0"/>
          <w:sz w:val="22"/>
          <w:szCs w:val="22"/>
        </w:rPr>
      </w:pPr>
      <w:r w:rsidRPr="00C656C9">
        <w:t>major source applicability</w:t>
      </w:r>
      <w:r w:rsidRPr="00C656C9">
        <w:tab/>
      </w:r>
      <w:r w:rsidR="0050784C" w:rsidRPr="00C656C9">
        <w:fldChar w:fldCharType="begin"/>
      </w:r>
      <w:r w:rsidRPr="00C656C9">
        <w:instrText xml:space="preserve"> PAGEREF _Toc310351182 \h </w:instrText>
      </w:r>
      <w:r w:rsidR="0050784C" w:rsidRPr="00C656C9">
        <w:fldChar w:fldCharType="separate"/>
      </w:r>
      <w:r w:rsidRPr="00C656C9">
        <w:t>7</w:t>
      </w:r>
      <w:r w:rsidR="0050784C" w:rsidRPr="00C656C9">
        <w:fldChar w:fldCharType="end"/>
      </w:r>
    </w:p>
    <w:p w:rsidR="009435AA" w:rsidRPr="00C656C9" w:rsidRDefault="009435AA">
      <w:pPr>
        <w:pStyle w:val="TOC1"/>
        <w:rPr>
          <w:rFonts w:asciiTheme="minorHAnsi" w:eastAsiaTheme="minorEastAsia" w:hAnsiTheme="minorHAnsi" w:cstheme="minorBidi"/>
          <w:caps w:val="0"/>
          <w:sz w:val="22"/>
          <w:szCs w:val="22"/>
        </w:rPr>
      </w:pPr>
      <w:r w:rsidRPr="00C656C9">
        <w:t>additional requirements</w:t>
      </w:r>
      <w:r w:rsidRPr="00C656C9">
        <w:tab/>
      </w:r>
      <w:r w:rsidR="0050784C" w:rsidRPr="00C656C9">
        <w:fldChar w:fldCharType="begin"/>
      </w:r>
      <w:r w:rsidRPr="00C656C9">
        <w:instrText xml:space="preserve"> PAGEREF _Toc310351183 \h </w:instrText>
      </w:r>
      <w:r w:rsidR="0050784C" w:rsidRPr="00C656C9">
        <w:fldChar w:fldCharType="separate"/>
      </w:r>
      <w:r w:rsidRPr="00C656C9">
        <w:t>7</w:t>
      </w:r>
      <w:r w:rsidR="0050784C" w:rsidRPr="00C656C9">
        <w:fldChar w:fldCharType="end"/>
      </w:r>
    </w:p>
    <w:p w:rsidR="009435AA" w:rsidRPr="00C656C9" w:rsidRDefault="009435AA">
      <w:pPr>
        <w:pStyle w:val="TOC1"/>
        <w:rPr>
          <w:rFonts w:asciiTheme="minorHAnsi" w:eastAsiaTheme="minorEastAsia" w:hAnsiTheme="minorHAnsi" w:cstheme="minorBidi"/>
          <w:caps w:val="0"/>
          <w:sz w:val="22"/>
          <w:szCs w:val="22"/>
        </w:rPr>
      </w:pPr>
      <w:r w:rsidRPr="00C656C9">
        <w:t>source testing</w:t>
      </w:r>
      <w:r w:rsidRPr="00C656C9">
        <w:tab/>
      </w:r>
      <w:r w:rsidR="0050784C" w:rsidRPr="00C656C9">
        <w:fldChar w:fldCharType="begin"/>
      </w:r>
      <w:r w:rsidRPr="00C656C9">
        <w:instrText xml:space="preserve"> PAGEREF _Toc310351184 \h </w:instrText>
      </w:r>
      <w:r w:rsidR="0050784C" w:rsidRPr="00C656C9">
        <w:fldChar w:fldCharType="separate"/>
      </w:r>
      <w:r w:rsidRPr="00C656C9">
        <w:t>8</w:t>
      </w:r>
      <w:r w:rsidR="0050784C" w:rsidRPr="00C656C9">
        <w:fldChar w:fldCharType="end"/>
      </w:r>
    </w:p>
    <w:p w:rsidR="009435AA" w:rsidRPr="00C656C9" w:rsidRDefault="009435AA">
      <w:pPr>
        <w:pStyle w:val="TOC1"/>
        <w:rPr>
          <w:rFonts w:asciiTheme="minorHAnsi" w:eastAsiaTheme="minorEastAsia" w:hAnsiTheme="minorHAnsi" w:cstheme="minorBidi"/>
          <w:caps w:val="0"/>
          <w:sz w:val="22"/>
          <w:szCs w:val="22"/>
        </w:rPr>
      </w:pPr>
      <w:r w:rsidRPr="00C656C9">
        <w:t>public notice</w:t>
      </w:r>
      <w:r w:rsidRPr="00C656C9">
        <w:tab/>
      </w:r>
      <w:r w:rsidR="0050784C" w:rsidRPr="00C656C9">
        <w:fldChar w:fldCharType="begin"/>
      </w:r>
      <w:r w:rsidRPr="00C656C9">
        <w:instrText xml:space="preserve"> PAGEREF _Toc310351185 \h </w:instrText>
      </w:r>
      <w:r w:rsidR="0050784C" w:rsidRPr="00C656C9">
        <w:fldChar w:fldCharType="separate"/>
      </w:r>
      <w:r w:rsidRPr="00C656C9">
        <w:t>9</w:t>
      </w:r>
      <w:r w:rsidR="0050784C" w:rsidRPr="00C656C9">
        <w:fldChar w:fldCharType="end"/>
      </w:r>
    </w:p>
    <w:p w:rsidR="00856C45" w:rsidRPr="00C656C9" w:rsidRDefault="0050784C">
      <w:r w:rsidRPr="00C656C9">
        <w:fldChar w:fldCharType="end"/>
      </w:r>
    </w:p>
    <w:p w:rsidR="00856C45" w:rsidRPr="00C656C9" w:rsidRDefault="00041287">
      <w:pPr>
        <w:pStyle w:val="SectionHeader"/>
      </w:pPr>
      <w:r w:rsidRPr="00C656C9">
        <w:br w:type="page"/>
      </w:r>
      <w:bookmarkStart w:id="2" w:name="_Toc452882785"/>
      <w:bookmarkStart w:id="3" w:name="_Toc452883740"/>
      <w:bookmarkStart w:id="4" w:name="_Toc452883931"/>
      <w:bookmarkStart w:id="5" w:name="_Toc463344851"/>
      <w:bookmarkStart w:id="6" w:name="_Toc310351178"/>
      <w:r w:rsidRPr="00C656C9">
        <w:lastRenderedPageBreak/>
        <w:t>PERMITTING</w:t>
      </w:r>
      <w:bookmarkEnd w:id="2"/>
      <w:bookmarkEnd w:id="3"/>
      <w:bookmarkEnd w:id="4"/>
      <w:bookmarkEnd w:id="5"/>
      <w:bookmarkEnd w:id="6"/>
    </w:p>
    <w:p w:rsidR="00856C45" w:rsidRPr="00C656C9" w:rsidRDefault="00856C45"/>
    <w:p w:rsidR="00856C45" w:rsidRPr="00C656C9" w:rsidRDefault="00041287">
      <w:pPr>
        <w:pStyle w:val="Sub-sectionheader"/>
      </w:pPr>
      <w:r w:rsidRPr="00C656C9">
        <w:t>PERMITTING ACTION</w:t>
      </w:r>
    </w:p>
    <w:p w:rsidR="00856C45" w:rsidRPr="00C656C9" w:rsidRDefault="00856C45">
      <w:pPr>
        <w:tabs>
          <w:tab w:val="left" w:pos="-720"/>
        </w:tabs>
        <w:suppressAutoHyphens/>
        <w:rPr>
          <w:u w:val="single"/>
        </w:rPr>
      </w:pPr>
    </w:p>
    <w:p w:rsidR="00856C45" w:rsidRPr="00C656C9" w:rsidRDefault="00041287">
      <w:pPr>
        <w:pStyle w:val="Heading1"/>
      </w:pPr>
      <w:r w:rsidRPr="00C656C9">
        <w:t xml:space="preserve">The proposed permit is a new permit for </w:t>
      </w:r>
      <w:r w:rsidR="0050784C" w:rsidRPr="00C656C9">
        <w:fldChar w:fldCharType="begin"/>
      </w:r>
      <w:r w:rsidRPr="00C656C9">
        <w:instrText xml:space="preserve"> FORMDROPDOWN </w:instrText>
      </w:r>
      <w:r w:rsidR="0050784C" w:rsidRPr="00C656C9">
        <w:fldChar w:fldCharType="end"/>
      </w:r>
      <w:r w:rsidR="008A0699">
        <w:t>the</w:t>
      </w:r>
      <w:r w:rsidRPr="00C656C9">
        <w:t xml:space="preserve"> source.</w:t>
      </w:r>
    </w:p>
    <w:p w:rsidR="00856C45" w:rsidRPr="00C656C9" w:rsidRDefault="00856C45"/>
    <w:p w:rsidR="00856C45" w:rsidRPr="00C656C9" w:rsidRDefault="00041287">
      <w:pPr>
        <w:pStyle w:val="Sub-sectionheader"/>
      </w:pPr>
      <w:r w:rsidRPr="00C656C9">
        <w:t>OTHER PERMITS</w:t>
      </w:r>
    </w:p>
    <w:p w:rsidR="00856C45" w:rsidRPr="00C656C9" w:rsidRDefault="00856C45"/>
    <w:p w:rsidR="00856C45" w:rsidRPr="00C656C9" w:rsidRDefault="00041287" w:rsidP="000D2EC8">
      <w:pPr>
        <w:pStyle w:val="Heading1"/>
      </w:pPr>
      <w:r w:rsidRPr="00C656C9">
        <w:t>Other permits issued or required by the Department of Environmental Quality for this source include:</w:t>
      </w:r>
      <w:r w:rsidR="000D2EC8" w:rsidRPr="00C656C9">
        <w:t xml:space="preserve">  Stormwater: 1200-COLS, File No. 105744</w:t>
      </w:r>
    </w:p>
    <w:p w:rsidR="00856C45" w:rsidRPr="00C656C9" w:rsidRDefault="00856C45"/>
    <w:p w:rsidR="00856C45" w:rsidRPr="00C656C9" w:rsidRDefault="00041287">
      <w:pPr>
        <w:pStyle w:val="Sub-sectionheader"/>
      </w:pPr>
      <w:r w:rsidRPr="00C656C9">
        <w:t>ATTAINMENT STATUS</w:t>
      </w:r>
    </w:p>
    <w:p w:rsidR="00856C45" w:rsidRPr="00C656C9" w:rsidRDefault="00856C45"/>
    <w:p w:rsidR="000D2EC8" w:rsidRPr="00C656C9" w:rsidRDefault="000D2EC8" w:rsidP="000D2EC8">
      <w:pPr>
        <w:pStyle w:val="Heading1"/>
        <w:widowControl/>
        <w:suppressAutoHyphens/>
      </w:pPr>
      <w:r w:rsidRPr="00C656C9">
        <w:t>The source is located in maintenance areas for carbon monoxide (CO) and ozone [oxides of nitrogen (NO</w:t>
      </w:r>
      <w:r w:rsidRPr="00C656C9">
        <w:rPr>
          <w:vertAlign w:val="subscript"/>
        </w:rPr>
        <w:t>X</w:t>
      </w:r>
      <w:r w:rsidRPr="00C656C9">
        <w:t>) and volatile organic compounds (VOC) are precursors of ozone].  The area is an attainment area for all other pollutants.  The facility has minor emissions of</w:t>
      </w:r>
      <w:r w:rsidR="00280343" w:rsidRPr="00C656C9">
        <w:t xml:space="preserve"> particulate matter (PM)</w:t>
      </w:r>
      <w:r w:rsidR="00280343">
        <w:t>,</w:t>
      </w:r>
      <w:r w:rsidRPr="00C656C9">
        <w:t xml:space="preserve"> CO, NO</w:t>
      </w:r>
      <w:r w:rsidRPr="00C656C9">
        <w:rPr>
          <w:vertAlign w:val="subscript"/>
        </w:rPr>
        <w:t>X</w:t>
      </w:r>
      <w:r w:rsidRPr="00C656C9">
        <w:t xml:space="preserve"> and</w:t>
      </w:r>
      <w:r w:rsidR="00280343" w:rsidRPr="00C656C9">
        <w:t xml:space="preserve"> sulfur dioxide (SO</w:t>
      </w:r>
      <w:r w:rsidR="00280343" w:rsidRPr="00C656C9">
        <w:rPr>
          <w:vertAlign w:val="subscript"/>
        </w:rPr>
        <w:t>2</w:t>
      </w:r>
      <w:r w:rsidR="00280343" w:rsidRPr="00C656C9">
        <w:t>)</w:t>
      </w:r>
      <w:r w:rsidRPr="00C656C9">
        <w:t>, and negligible emissions of</w:t>
      </w:r>
      <w:r w:rsidR="00280343" w:rsidRPr="00C656C9">
        <w:t xml:space="preserve"> VOCs</w:t>
      </w:r>
      <w:r w:rsidRPr="00C656C9">
        <w:t>.</w:t>
      </w:r>
    </w:p>
    <w:p w:rsidR="000D2EC8" w:rsidRPr="00C656C9" w:rsidRDefault="000D2EC8" w:rsidP="000D2EC8">
      <w:pPr>
        <w:pStyle w:val="EndnoteText"/>
        <w:suppressAutoHyphens/>
      </w:pPr>
    </w:p>
    <w:p w:rsidR="000D2EC8" w:rsidRPr="00C656C9" w:rsidRDefault="000D2EC8" w:rsidP="000D2EC8">
      <w:pPr>
        <w:suppressAutoHyphens/>
        <w:ind w:left="720"/>
      </w:pPr>
      <w:r w:rsidRPr="00C656C9">
        <w:t>Note:</w:t>
      </w:r>
    </w:p>
    <w:p w:rsidR="000D2EC8" w:rsidRPr="00C656C9" w:rsidRDefault="000D2EC8" w:rsidP="000D2EC8">
      <w:pPr>
        <w:suppressAutoHyphens/>
        <w:ind w:left="720"/>
      </w:pPr>
    </w:p>
    <w:p w:rsidR="000D2EC8" w:rsidRPr="00C656C9" w:rsidRDefault="000D2EC8" w:rsidP="000D2EC8">
      <w:pPr>
        <w:numPr>
          <w:ilvl w:val="0"/>
          <w:numId w:val="21"/>
        </w:numPr>
        <w:tabs>
          <w:tab w:val="clear" w:pos="360"/>
          <w:tab w:val="num" w:pos="1080"/>
        </w:tabs>
        <w:suppressAutoHyphens/>
        <w:ind w:left="1080"/>
      </w:pPr>
      <w:r w:rsidRPr="00C656C9">
        <w:t>“Nonattainment Area” means any geographic area that exceeds any state or federal primary or secondary ambient air quality standard as designated by the Environmental Q</w:t>
      </w:r>
      <w:r w:rsidR="00534226" w:rsidRPr="00C656C9">
        <w:t xml:space="preserve">uality Commission (EQC) or the </w:t>
      </w:r>
      <w:r w:rsidRPr="00C656C9">
        <w:t>U.S. Environmental Protection Agency (EPA).</w:t>
      </w:r>
    </w:p>
    <w:p w:rsidR="000D2EC8" w:rsidRPr="00C656C9" w:rsidRDefault="000D2EC8" w:rsidP="000D2EC8">
      <w:pPr>
        <w:numPr>
          <w:ilvl w:val="0"/>
          <w:numId w:val="21"/>
        </w:numPr>
        <w:tabs>
          <w:tab w:val="clear" w:pos="360"/>
          <w:tab w:val="num" w:pos="1080"/>
        </w:tabs>
        <w:suppressAutoHyphens/>
        <w:ind w:left="1080"/>
      </w:pPr>
      <w:r w:rsidRPr="00C656C9">
        <w:t>“Maintenance Area” means any area that was formerly a nonattainment area, achieved attainment status and was redesignated as an attainment area by EPA, and redesignated a maintenance area by the EQC in Oregon Administrative Rule Chapter 340 division 204.</w:t>
      </w:r>
    </w:p>
    <w:p w:rsidR="00856C45" w:rsidRPr="00C656C9" w:rsidRDefault="00856C45"/>
    <w:p w:rsidR="00856C45" w:rsidRPr="00C656C9" w:rsidRDefault="00856C45"/>
    <w:p w:rsidR="00856C45" w:rsidRPr="00C656C9" w:rsidRDefault="00041287">
      <w:pPr>
        <w:pStyle w:val="SectionHeader"/>
      </w:pPr>
      <w:bookmarkStart w:id="7" w:name="_Toc310351179"/>
      <w:r w:rsidRPr="00C656C9">
        <w:t>source description</w:t>
      </w:r>
      <w:bookmarkEnd w:id="7"/>
    </w:p>
    <w:p w:rsidR="00856C45" w:rsidRPr="00C656C9" w:rsidRDefault="00856C45"/>
    <w:p w:rsidR="00856C45" w:rsidRPr="00C656C9" w:rsidRDefault="00041287">
      <w:pPr>
        <w:pStyle w:val="Sub-sectionheader"/>
      </w:pPr>
      <w:r w:rsidRPr="00C656C9">
        <w:t>overview</w:t>
      </w:r>
    </w:p>
    <w:p w:rsidR="00856C45" w:rsidRPr="00C656C9" w:rsidRDefault="00856C45"/>
    <w:p w:rsidR="00F10B59" w:rsidRPr="00C656C9" w:rsidRDefault="00534226" w:rsidP="00534226">
      <w:pPr>
        <w:pStyle w:val="Heading1"/>
      </w:pPr>
      <w:r w:rsidRPr="00C656C9">
        <w:t>The permittee proposes to construct and operate an energy reclamation facility at 701 N. Hunt Street, in Portland, Oregon.  The proposed facility will produce a synthetic crude oil-</w:t>
      </w:r>
      <w:r w:rsidR="00BA7EDA" w:rsidRPr="00C656C9">
        <w:t>like product from waste plastic feedstock</w:t>
      </w:r>
      <w:r w:rsidRPr="00C656C9">
        <w:t>.</w:t>
      </w:r>
      <w:r w:rsidR="000D76A4" w:rsidRPr="00C656C9">
        <w:t xml:space="preserve">  </w:t>
      </w:r>
      <w:r w:rsidR="000D76A4" w:rsidRPr="006750CD">
        <w:t xml:space="preserve">The permittee </w:t>
      </w:r>
      <w:r w:rsidR="000D76A4">
        <w:t>will</w:t>
      </w:r>
      <w:r w:rsidR="000D76A4" w:rsidRPr="006750CD">
        <w:t xml:space="preserve"> process plastic feed stock materials </w:t>
      </w:r>
      <w:r w:rsidR="000D76A4">
        <w:t xml:space="preserve">including those derived from materials delivered to the </w:t>
      </w:r>
      <w:r w:rsidR="000D76A4" w:rsidRPr="006750CD">
        <w:t>Tualatin Valley Waste Recovery Facility</w:t>
      </w:r>
      <w:r w:rsidR="000D76A4" w:rsidRPr="00C656C9">
        <w:t xml:space="preserve"> </w:t>
      </w:r>
      <w:r w:rsidR="000D76A4">
        <w:t>(</w:t>
      </w:r>
      <w:r w:rsidR="000D76A4" w:rsidRPr="00C656C9">
        <w:t>3205 SE Minter Bridge Road, Hillsboro, OR)</w:t>
      </w:r>
      <w:r w:rsidR="000D76A4">
        <w:t>, or a similar equipped Waste Management owned facility</w:t>
      </w:r>
      <w:r w:rsidR="000D76A4" w:rsidRPr="006750CD">
        <w:t>.</w:t>
      </w:r>
      <w:r w:rsidR="000D76A4">
        <w:t xml:space="preserve">  All</w:t>
      </w:r>
      <w:r w:rsidR="000D76A4" w:rsidRPr="006750CD">
        <w:t xml:space="preserve"> </w:t>
      </w:r>
      <w:r w:rsidR="000D76A4">
        <w:t xml:space="preserve">mixed </w:t>
      </w:r>
      <w:r w:rsidR="000D76A4" w:rsidRPr="006750CD">
        <w:t>feed</w:t>
      </w:r>
      <w:r w:rsidR="000D76A4">
        <w:t xml:space="preserve"> </w:t>
      </w:r>
      <w:r w:rsidR="000D76A4" w:rsidRPr="006750CD">
        <w:t xml:space="preserve">stock materials must be </w:t>
      </w:r>
      <w:r w:rsidR="000D76A4" w:rsidRPr="00FB1C52">
        <w:t>pre-processed by a methodology designed to remove ≥ 90% of the PVC content.</w:t>
      </w:r>
      <w:r w:rsidR="00C508A3" w:rsidRPr="00FB1C52">
        <w:t xml:space="preserve">  </w:t>
      </w:r>
      <w:r w:rsidR="006D5E51" w:rsidRPr="00FB1C52">
        <w:t>N</w:t>
      </w:r>
      <w:r w:rsidR="00C508A3" w:rsidRPr="00FB1C52">
        <w:t>on-mixed feed stock material</w:t>
      </w:r>
      <w:r w:rsidR="00C45859" w:rsidRPr="00FB1C52">
        <w:t xml:space="preserve"> accepted for processing by the permittee </w:t>
      </w:r>
      <w:r w:rsidR="006D5E51" w:rsidRPr="00FB1C52">
        <w:t>cannot</w:t>
      </w:r>
      <w:r w:rsidR="00C45859" w:rsidRPr="00FB1C52">
        <w:t xml:space="preserve"> have PVC content</w:t>
      </w:r>
      <w:r w:rsidR="00C508A3" w:rsidRPr="00FB1C52">
        <w:t>.</w:t>
      </w:r>
      <w:r w:rsidR="00DA17F8" w:rsidRPr="00FB1C52">
        <w:t xml:space="preserve"> </w:t>
      </w:r>
      <w:r w:rsidR="00C508A3" w:rsidRPr="00FB1C52">
        <w:t xml:space="preserve"> </w:t>
      </w:r>
      <w:r w:rsidR="00C45859" w:rsidRPr="00FB1C52">
        <w:t>Material specifications/acceptance criteria and d</w:t>
      </w:r>
      <w:r w:rsidR="00C508A3" w:rsidRPr="00FB1C52">
        <w:t xml:space="preserve">ocumentation of material </w:t>
      </w:r>
      <w:r w:rsidR="00C508A3" w:rsidRPr="00FB1C52">
        <w:lastRenderedPageBreak/>
        <w:t>inspection</w:t>
      </w:r>
      <w:r w:rsidR="00C45859" w:rsidRPr="00FB1C52">
        <w:t>s</w:t>
      </w:r>
      <w:r w:rsidR="00C508A3" w:rsidRPr="00FB1C52">
        <w:t xml:space="preserve"> for all feedstock</w:t>
      </w:r>
      <w:r w:rsidR="006D5E51" w:rsidRPr="00FB1C52">
        <w:t>s processed</w:t>
      </w:r>
      <w:r w:rsidR="00C508A3" w:rsidRPr="00FB1C52">
        <w:t xml:space="preserve"> (mixed and non-mixed) </w:t>
      </w:r>
      <w:r w:rsidR="00C45859" w:rsidRPr="00FB1C52">
        <w:t>must</w:t>
      </w:r>
      <w:r w:rsidR="00C508A3" w:rsidRPr="00FB1C52">
        <w:t xml:space="preserve"> be retained in the facility operating records file.</w:t>
      </w:r>
      <w:r w:rsidR="005E6AD2" w:rsidRPr="00FB1C52">
        <w:t xml:space="preserve">  The feedstock will</w:t>
      </w:r>
      <w:r w:rsidR="00772B27" w:rsidRPr="00FB1C52">
        <w:t xml:space="preserve"> consist</w:t>
      </w:r>
      <w:r w:rsidR="00772B27" w:rsidRPr="00C656C9">
        <w:t xml:space="preserve"> of </w:t>
      </w:r>
      <w:r w:rsidR="00D04377" w:rsidRPr="00C656C9">
        <w:t>plastics</w:t>
      </w:r>
      <w:r w:rsidR="00772B27" w:rsidRPr="00C656C9">
        <w:t xml:space="preserve"> that </w:t>
      </w:r>
      <w:r w:rsidR="00D04377" w:rsidRPr="00C656C9">
        <w:t>are</w:t>
      </w:r>
      <w:r w:rsidR="00772B27" w:rsidRPr="00C656C9">
        <w:t xml:space="preserve"> not feasible for recycling.</w:t>
      </w:r>
      <w:r w:rsidR="00BA7EDA" w:rsidRPr="00C656C9">
        <w:t xml:space="preserve"> </w:t>
      </w:r>
      <w:r w:rsidRPr="00C656C9">
        <w:t xml:space="preserve"> Following the production of th</w:t>
      </w:r>
      <w:r w:rsidR="001161F0" w:rsidRPr="00C656C9">
        <w:t>e synthetic crude oil product</w:t>
      </w:r>
      <w:r w:rsidRPr="00C656C9">
        <w:t xml:space="preserve"> no further processing of th</w:t>
      </w:r>
      <w:r w:rsidR="001161F0" w:rsidRPr="00C656C9">
        <w:t>e</w:t>
      </w:r>
      <w:r w:rsidRPr="00C656C9">
        <w:t xml:space="preserve"> product will occur on site.  The product will be sold to off-site customers (e.g. refining operations)</w:t>
      </w:r>
      <w:r w:rsidR="00C30620" w:rsidRPr="00C656C9">
        <w:t xml:space="preserve"> where it can be made into fuels, chemicals, and other products</w:t>
      </w:r>
      <w:r w:rsidRPr="00C656C9">
        <w:t>.</w:t>
      </w:r>
    </w:p>
    <w:p w:rsidR="00F10B59" w:rsidRPr="00C656C9" w:rsidRDefault="00F10B59" w:rsidP="00F10B59">
      <w:pPr>
        <w:pStyle w:val="Heading1"/>
        <w:numPr>
          <w:ilvl w:val="0"/>
          <w:numId w:val="0"/>
        </w:numPr>
        <w:ind w:left="720"/>
      </w:pPr>
    </w:p>
    <w:p w:rsidR="00A759DF" w:rsidRPr="00C656C9" w:rsidRDefault="00534226" w:rsidP="00F10B59">
      <w:pPr>
        <w:pStyle w:val="Heading1"/>
        <w:numPr>
          <w:ilvl w:val="0"/>
          <w:numId w:val="0"/>
        </w:numPr>
        <w:ind w:left="720"/>
      </w:pPr>
      <w:r w:rsidRPr="00C656C9">
        <w:t>The process</w:t>
      </w:r>
      <w:r w:rsidR="001161F0" w:rsidRPr="00C656C9">
        <w:t xml:space="preserve"> will</w:t>
      </w:r>
      <w:r w:rsidRPr="00C656C9">
        <w:t xml:space="preserve"> include</w:t>
      </w:r>
      <w:r w:rsidR="001161F0" w:rsidRPr="00C656C9">
        <w:t xml:space="preserve"> sixteen</w:t>
      </w:r>
      <w:r w:rsidRPr="00C656C9">
        <w:t xml:space="preserve"> sealed </w:t>
      </w:r>
      <w:r w:rsidR="00443F27" w:rsidRPr="00C656C9">
        <w:t xml:space="preserve">plastics </w:t>
      </w:r>
      <w:r w:rsidRPr="00C656C9">
        <w:t>reclamation</w:t>
      </w:r>
      <w:r w:rsidR="00443F27" w:rsidRPr="00C656C9">
        <w:t xml:space="preserve"> units (PRUs)</w:t>
      </w:r>
      <w:r w:rsidR="00330A6E" w:rsidRPr="00C656C9">
        <w:t>.</w:t>
      </w:r>
      <w:r w:rsidR="00E96613" w:rsidRPr="00C656C9">
        <w:t xml:space="preserve">  The sixteen PRUs are configured in four “pods” of four PRUs each.</w:t>
      </w:r>
      <w:r w:rsidR="00330A6E" w:rsidRPr="00C656C9">
        <w:t xml:space="preserve">  P</w:t>
      </w:r>
      <w:r w:rsidR="00F10B59" w:rsidRPr="00C656C9">
        <w:t xml:space="preserve">lastic </w:t>
      </w:r>
      <w:r w:rsidR="00BA7EDA" w:rsidRPr="00C656C9">
        <w:t>feedstock</w:t>
      </w:r>
      <w:r w:rsidR="00330A6E" w:rsidRPr="00C656C9">
        <w:t xml:space="preserve"> is loaded into </w:t>
      </w:r>
      <w:r w:rsidR="00744B0F" w:rsidRPr="00C656C9">
        <w:t xml:space="preserve">a </w:t>
      </w:r>
      <w:r w:rsidR="00330A6E" w:rsidRPr="00C656C9">
        <w:t>processing cartridge</w:t>
      </w:r>
      <w:r w:rsidR="00744B0F" w:rsidRPr="00C656C9">
        <w:t xml:space="preserve"> (“Direct Contact Cartridge”) which gets inserted into </w:t>
      </w:r>
      <w:r w:rsidR="00F21CC8" w:rsidRPr="00C656C9">
        <w:t>a</w:t>
      </w:r>
      <w:r w:rsidR="00744B0F" w:rsidRPr="00C656C9">
        <w:t xml:space="preserve"> PRU chamber.  The chamber/cartridge is</w:t>
      </w:r>
      <w:r w:rsidR="001161F0" w:rsidRPr="00C656C9">
        <w:t xml:space="preserve"> </w:t>
      </w:r>
      <w:r w:rsidR="00F21CC8" w:rsidRPr="00C656C9">
        <w:t xml:space="preserve">then </w:t>
      </w:r>
      <w:r w:rsidR="001161F0" w:rsidRPr="00C656C9">
        <w:t>heated and</w:t>
      </w:r>
      <w:r w:rsidR="00744B0F" w:rsidRPr="00C656C9">
        <w:t xml:space="preserve"> the feedstock is</w:t>
      </w:r>
      <w:r w:rsidRPr="00C656C9">
        <w:t xml:space="preserve"> gasified in the absence of oxygen</w:t>
      </w:r>
      <w:r w:rsidR="00443F27" w:rsidRPr="00C656C9">
        <w:t xml:space="preserve"> (the process is initiated</w:t>
      </w:r>
      <w:r w:rsidR="00A35943" w:rsidRPr="00C656C9">
        <w:t xml:space="preserve"> </w:t>
      </w:r>
      <w:r w:rsidR="00A35943">
        <w:t>by placing the PRU cartridge under vacuum which removes residual oxygen</w:t>
      </w:r>
      <w:r w:rsidR="00443F27" w:rsidRPr="00A35943">
        <w:t>;</w:t>
      </w:r>
      <w:r w:rsidR="00443F27" w:rsidRPr="00C656C9">
        <w:t xml:space="preserve"> combustion cannot occur)</w:t>
      </w:r>
      <w:r w:rsidRPr="00C656C9">
        <w:t xml:space="preserve">.  </w:t>
      </w:r>
      <w:r w:rsidR="00F10B59" w:rsidRPr="00C656C9">
        <w:t>Each PRU is constantly under vacuum and t</w:t>
      </w:r>
      <w:r w:rsidRPr="00C656C9">
        <w:t xml:space="preserve">he </w:t>
      </w:r>
      <w:r w:rsidR="005A3CDC" w:rsidRPr="00C656C9">
        <w:t>result</w:t>
      </w:r>
      <w:r w:rsidRPr="00C656C9">
        <w:t>ing gases that are produced are evacuated to a condensing system to convert the gases into the liquefied final product.</w:t>
      </w:r>
      <w:r w:rsidR="00A35943" w:rsidRPr="00C656C9">
        <w:t xml:space="preserve">  </w:t>
      </w:r>
      <w:r w:rsidR="00A35943" w:rsidRPr="00E222EB">
        <w:t xml:space="preserve">In the event of a process upset condition within the PRU and gas transfer lines, a nitrogen inerting system is activated </w:t>
      </w:r>
      <w:r w:rsidR="00040818" w:rsidRPr="00E222EB">
        <w:t>to</w:t>
      </w:r>
      <w:r w:rsidR="00A35943" w:rsidRPr="00E222EB">
        <w:t xml:space="preserve"> purge the system.</w:t>
      </w:r>
      <w:r w:rsidRPr="00C656C9">
        <w:t xml:space="preserve">  During the </w:t>
      </w:r>
      <w:r w:rsidR="00040818">
        <w:t xml:space="preserve">production </w:t>
      </w:r>
      <w:r w:rsidRPr="00C656C9">
        <w:t>process, a fraction of the gases that are produced are noncondensable at ambient temperatures and atmospheric pressure and therefore remain as gases.  The noncondensable gases (gaseous emissions) are captured and are ducted to a</w:t>
      </w:r>
      <w:r w:rsidR="00C35AE3">
        <w:t xml:space="preserve"> VOC abatement unit in which</w:t>
      </w:r>
      <w:r w:rsidRPr="00C656C9">
        <w:t xml:space="preserve"> they are combusted.  The finished product is a </w:t>
      </w:r>
      <w:r w:rsidR="00A729F8" w:rsidRPr="00C656C9">
        <w:t xml:space="preserve">solid to </w:t>
      </w:r>
      <w:r w:rsidRPr="00C656C9">
        <w:t>gel-like substance at normal room temperature and must be heated to 130° – 150</w:t>
      </w:r>
      <w:r w:rsidR="00223463" w:rsidRPr="00C656C9">
        <w:t>°</w:t>
      </w:r>
      <w:r w:rsidRPr="00C656C9">
        <w:t xml:space="preserve"> F to effectively transfer it</w:t>
      </w:r>
      <w:r w:rsidR="001161F0" w:rsidRPr="00C656C9">
        <w:t>.  T</w:t>
      </w:r>
      <w:r w:rsidRPr="00C656C9">
        <w:t>herefore</w:t>
      </w:r>
      <w:r w:rsidR="001161F0" w:rsidRPr="00C656C9">
        <w:t>,</w:t>
      </w:r>
      <w:r w:rsidRPr="00C656C9">
        <w:t xml:space="preserve"> the finished product</w:t>
      </w:r>
      <w:r w:rsidR="001161F0" w:rsidRPr="00C656C9">
        <w:t xml:space="preserve"> will be</w:t>
      </w:r>
      <w:r w:rsidRPr="00C656C9">
        <w:t xml:space="preserve"> stored in </w:t>
      </w:r>
      <w:r w:rsidR="001161F0" w:rsidRPr="00C656C9">
        <w:t xml:space="preserve">two </w:t>
      </w:r>
      <w:r w:rsidRPr="00C656C9">
        <w:t>tank</w:t>
      </w:r>
      <w:r w:rsidR="001161F0" w:rsidRPr="00C656C9">
        <w:t>s that are</w:t>
      </w:r>
      <w:r w:rsidRPr="00C656C9">
        <w:t xml:space="preserve"> capable of being heated.</w:t>
      </w:r>
      <w:r w:rsidR="00271C91" w:rsidRPr="00C656C9">
        <w:t xml:space="preserve">  </w:t>
      </w:r>
      <w:r w:rsidR="00DB1931" w:rsidRPr="00C656C9">
        <w:t>H</w:t>
      </w:r>
      <w:r w:rsidR="00271C91" w:rsidRPr="00C656C9">
        <w:t xml:space="preserve">eat from the PRU exhaust gases </w:t>
      </w:r>
      <w:r w:rsidR="00DB1931" w:rsidRPr="00C656C9">
        <w:t xml:space="preserve">is used as a heat source </w:t>
      </w:r>
      <w:r w:rsidR="00271C91" w:rsidRPr="00C656C9">
        <w:t>to warm stored oil prior to loading it into tank trucks.</w:t>
      </w:r>
      <w:r w:rsidRPr="00C656C9">
        <w:t xml:space="preserve">  The tank</w:t>
      </w:r>
      <w:r w:rsidR="001161F0" w:rsidRPr="00C656C9">
        <w:t>s</w:t>
      </w:r>
      <w:r w:rsidRPr="00C656C9">
        <w:t xml:space="preserve"> </w:t>
      </w:r>
      <w:r w:rsidR="001161F0" w:rsidRPr="00C656C9">
        <w:t>will</w:t>
      </w:r>
      <w:r w:rsidRPr="00C656C9">
        <w:t xml:space="preserve"> normally </w:t>
      </w:r>
      <w:r w:rsidR="001161F0" w:rsidRPr="00C656C9">
        <w:t xml:space="preserve">be </w:t>
      </w:r>
      <w:r w:rsidRPr="00C656C9">
        <w:t>operated at ambient temperature, but will be heated prior to product shipment.</w:t>
      </w:r>
      <w:r w:rsidR="000D3596" w:rsidRPr="00C656C9">
        <w:t xml:space="preserve">  The truck loading process will be equipped with a vapor recovery system in which displaced vapors that occur during</w:t>
      </w:r>
      <w:r w:rsidR="00223463" w:rsidRPr="00C656C9">
        <w:t xml:space="preserve"> tank</w:t>
      </w:r>
      <w:r w:rsidR="005C6B2C" w:rsidRPr="00C656C9">
        <w:t xml:space="preserve"> truck</w:t>
      </w:r>
      <w:r w:rsidR="00223463" w:rsidRPr="00C656C9">
        <w:t xml:space="preserve"> </w:t>
      </w:r>
      <w:r w:rsidR="000D3596" w:rsidRPr="00C656C9">
        <w:t xml:space="preserve">loading are captured and returned to the storage tanks.  The vapor space of each storage tank will be plumbed into the facility’s </w:t>
      </w:r>
      <w:r w:rsidR="00A729F8" w:rsidRPr="008A0699">
        <w:t xml:space="preserve">process gas stream.  This </w:t>
      </w:r>
      <w:r w:rsidR="000D3596" w:rsidRPr="00C656C9">
        <w:t>allow</w:t>
      </w:r>
      <w:r w:rsidR="005D05C7" w:rsidRPr="00C656C9">
        <w:t>s</w:t>
      </w:r>
      <w:r w:rsidR="000D3596" w:rsidRPr="00C656C9">
        <w:t xml:space="preserve"> the gaseous </w:t>
      </w:r>
      <w:r w:rsidR="005D05C7" w:rsidRPr="00C656C9">
        <w:t xml:space="preserve">hydrocarbon </w:t>
      </w:r>
      <w:r w:rsidR="000D3596" w:rsidRPr="00C656C9">
        <w:t xml:space="preserve">emissions </w:t>
      </w:r>
      <w:r w:rsidR="005D05C7" w:rsidRPr="00C656C9">
        <w:t xml:space="preserve">that would otherwise occur </w:t>
      </w:r>
      <w:r w:rsidR="000D3596" w:rsidRPr="00C656C9">
        <w:t>from the storage tanks and truck loading operations to be captured</w:t>
      </w:r>
      <w:r w:rsidR="00223463" w:rsidRPr="00C656C9">
        <w:t xml:space="preserve"> and returned</w:t>
      </w:r>
      <w:r w:rsidR="00A729F8" w:rsidRPr="008A0699">
        <w:t xml:space="preserve"> for reprocessing </w:t>
      </w:r>
      <w:r w:rsidR="00223463" w:rsidRPr="008A0699">
        <w:t>in the c</w:t>
      </w:r>
      <w:r w:rsidR="00A729F8" w:rsidRPr="008A0699">
        <w:t>ondens</w:t>
      </w:r>
      <w:r w:rsidR="00223463" w:rsidRPr="008A0699">
        <w:t>ing system of the</w:t>
      </w:r>
      <w:r w:rsidR="000D3596" w:rsidRPr="00C656C9">
        <w:t xml:space="preserve"> production process</w:t>
      </w:r>
      <w:r w:rsidR="00223463" w:rsidRPr="00C656C9">
        <w:t>.</w:t>
      </w:r>
      <w:r w:rsidR="00F21CC8" w:rsidRPr="00C656C9">
        <w:t xml:space="preserve">  During operation some carbon deposition occurs in the Direct Contact Cartridges.  After each </w:t>
      </w:r>
      <w:r w:rsidR="00461F8C" w:rsidRPr="00C656C9">
        <w:t xml:space="preserve">process </w:t>
      </w:r>
      <w:r w:rsidR="00F21CC8" w:rsidRPr="00C656C9">
        <w:t xml:space="preserve">cycle the cartridges are removed from the PRUs, cooled </w:t>
      </w:r>
      <w:r w:rsidR="007530C6" w:rsidRPr="00C656C9">
        <w:t>under vacuum (</w:t>
      </w:r>
      <w:r w:rsidR="002E18BE" w:rsidRPr="00C656C9">
        <w:t>any remaining process gases are sent to the vacuum system for control by the</w:t>
      </w:r>
      <w:r w:rsidR="00FE788E" w:rsidRPr="00FE788E">
        <w:t xml:space="preserve"> </w:t>
      </w:r>
      <w:r w:rsidR="00FE788E">
        <w:t>VOC abatement unit</w:t>
      </w:r>
      <w:r w:rsidR="002E18BE" w:rsidRPr="00C656C9">
        <w:t>) and upon cooling the</w:t>
      </w:r>
      <w:r w:rsidR="00461F8C" w:rsidRPr="00C656C9">
        <w:t xml:space="preserve"> cartridges are cleaned of</w:t>
      </w:r>
      <w:r w:rsidR="002E18BE" w:rsidRPr="00C656C9">
        <w:t xml:space="preserve"> carbon deposits</w:t>
      </w:r>
      <w:r w:rsidR="00461F8C" w:rsidRPr="00C656C9">
        <w:t>.  The collected carbon is</w:t>
      </w:r>
      <w:r w:rsidR="002E18BE" w:rsidRPr="00C656C9">
        <w:t xml:space="preserve"> stored</w:t>
      </w:r>
      <w:r w:rsidR="006C3148" w:rsidRPr="00C656C9">
        <w:t xml:space="preserve"> in super sacks and later shipped to end users (</w:t>
      </w:r>
      <w:r w:rsidR="00461F8C" w:rsidRPr="00C656C9">
        <w:t>e.g.,</w:t>
      </w:r>
      <w:r w:rsidR="006C3148" w:rsidRPr="00C656C9">
        <w:t xml:space="preserve"> asphalt plants, steel makers, landfill).</w:t>
      </w:r>
    </w:p>
    <w:p w:rsidR="00A759DF" w:rsidRPr="00C656C9" w:rsidRDefault="00A759DF" w:rsidP="00A759DF">
      <w:pPr>
        <w:ind w:left="720"/>
      </w:pPr>
    </w:p>
    <w:p w:rsidR="00856C45" w:rsidRPr="00C656C9" w:rsidRDefault="00A759DF" w:rsidP="00A759DF">
      <w:pPr>
        <w:ind w:left="720"/>
      </w:pPr>
      <w:r w:rsidRPr="00C656C9">
        <w:t>The permittee intends on operating the facility 24 hours per day</w:t>
      </w:r>
      <w:r w:rsidR="009E3F69" w:rsidRPr="00C656C9">
        <w:t xml:space="preserve"> for 336 days per year.</w:t>
      </w:r>
      <w:r w:rsidR="00534226" w:rsidRPr="00C656C9">
        <w:t xml:space="preserve">  </w:t>
      </w:r>
      <w:r w:rsidR="006A5FF9" w:rsidRPr="00C656C9">
        <w:t>The maximum production for the facility is estimated to result in approximately 28,449,000 pounds of plastic feedstock treated per year</w:t>
      </w:r>
      <w:r w:rsidR="00E62F8A" w:rsidRPr="00C656C9">
        <w:t>,</w:t>
      </w:r>
      <w:r w:rsidR="006A5FF9" w:rsidRPr="00C656C9">
        <w:t xml:space="preserve"> </w:t>
      </w:r>
      <w:r w:rsidR="00E62F8A" w:rsidRPr="00C656C9">
        <w:t xml:space="preserve">creating </w:t>
      </w:r>
      <w:r w:rsidR="00F42309" w:rsidRPr="00C656C9">
        <w:t>approximately 21,868,000</w:t>
      </w:r>
      <w:r w:rsidR="00534226" w:rsidRPr="00C656C9">
        <w:t xml:space="preserve"> lbs finished product per year (~</w:t>
      </w:r>
      <w:r w:rsidR="009E3F69" w:rsidRPr="00C656C9">
        <w:t>2,955,000</w:t>
      </w:r>
      <w:r w:rsidR="00534226" w:rsidRPr="00C656C9">
        <w:t xml:space="preserve"> gallons).  The facility is proposed to complete construction in 201</w:t>
      </w:r>
      <w:r w:rsidR="00C51975" w:rsidRPr="00C656C9">
        <w:t>2</w:t>
      </w:r>
      <w:r w:rsidR="00534226" w:rsidRPr="00C656C9">
        <w:t>.</w:t>
      </w:r>
    </w:p>
    <w:p w:rsidR="00FB1C52" w:rsidRDefault="00FB1C52">
      <w:r>
        <w:br w:type="page"/>
      </w:r>
    </w:p>
    <w:p w:rsidR="00856C45" w:rsidRPr="00C656C9" w:rsidRDefault="00856C45"/>
    <w:p w:rsidR="00856C45" w:rsidRPr="00C656C9" w:rsidRDefault="00041287">
      <w:pPr>
        <w:pStyle w:val="Sub-sectionheader"/>
      </w:pPr>
      <w:r w:rsidRPr="00C656C9">
        <w:t>process and control devices</w:t>
      </w:r>
    </w:p>
    <w:p w:rsidR="00856C45" w:rsidRPr="00C656C9" w:rsidRDefault="00856C45"/>
    <w:p w:rsidR="00856C45" w:rsidRPr="00C656C9" w:rsidRDefault="00673F09">
      <w:pPr>
        <w:pStyle w:val="Heading1"/>
      </w:pPr>
      <w:r w:rsidRPr="00C656C9">
        <w:t>A</w:t>
      </w:r>
      <w:r w:rsidR="00041287" w:rsidRPr="00C656C9">
        <w:t xml:space="preserve">ir contaminant sources at the facility </w:t>
      </w:r>
      <w:r w:rsidRPr="00C656C9">
        <w:t xml:space="preserve">will </w:t>
      </w:r>
      <w:r w:rsidR="00041287" w:rsidRPr="00C656C9">
        <w:t>consist of the following:</w:t>
      </w:r>
    </w:p>
    <w:p w:rsidR="00856C45" w:rsidRPr="00C656C9" w:rsidRDefault="00856C45"/>
    <w:p w:rsidR="00350516" w:rsidRPr="00C656C9" w:rsidRDefault="00350516" w:rsidP="00350516">
      <w:pPr>
        <w:pStyle w:val="Heading2"/>
      </w:pPr>
      <w:r w:rsidRPr="00C656C9">
        <w:t>Sixteen (16) plastic reclamation process units</w:t>
      </w:r>
      <w:r w:rsidR="00AD3FF8" w:rsidRPr="00C656C9">
        <w:t xml:space="preserve"> (PRUs)</w:t>
      </w:r>
      <w:r w:rsidRPr="00C656C9">
        <w:t xml:space="preserve">, each equipped with one </w:t>
      </w:r>
      <w:r w:rsidR="00AD3FF8" w:rsidRPr="00C656C9">
        <w:t>Power Flame Model FDM-150</w:t>
      </w:r>
      <w:r w:rsidRPr="00C656C9">
        <w:t xml:space="preserve"> </w:t>
      </w:r>
      <w:r w:rsidR="00AD3FF8" w:rsidRPr="00C656C9">
        <w:t xml:space="preserve">1.5 </w:t>
      </w:r>
      <w:r w:rsidRPr="00C656C9">
        <w:t>MMBtu/hr natural</w:t>
      </w:r>
      <w:r w:rsidR="00A23F48" w:rsidRPr="00C656C9">
        <w:t xml:space="preserve"> gas or propane</w:t>
      </w:r>
      <w:r w:rsidRPr="00C656C9">
        <w:t xml:space="preserve"> fired burner.  </w:t>
      </w:r>
      <w:r w:rsidR="00971A52" w:rsidRPr="00C656C9">
        <w:t>The sixteen burners share a common exhaust/ emission point.</w:t>
      </w:r>
      <w:r w:rsidR="00AD3FF8" w:rsidRPr="00C656C9">
        <w:t xml:space="preserve">  </w:t>
      </w:r>
      <w:r w:rsidRPr="00C656C9">
        <w:t>Noncondensable gaseous emissions from all units are ducted to one (1) Bekaert CEB 350 thermal oxidizer emission control device</w:t>
      </w:r>
      <w:r w:rsidR="00FE788E">
        <w:t xml:space="preserve"> (VOC abatement unit)</w:t>
      </w:r>
      <w:r w:rsidRPr="00C656C9">
        <w:t xml:space="preserve">, with </w:t>
      </w:r>
      <w:r w:rsidR="00AA6DD1" w:rsidRPr="00C656C9">
        <w:t>12</w:t>
      </w:r>
      <w:r w:rsidRPr="00C656C9">
        <w:t xml:space="preserve"> MMBtu/hr natural gas fired burner</w:t>
      </w:r>
      <w:r w:rsidR="008A0699">
        <w:t>. The burner may be partially or completely fired with process gas depend</w:t>
      </w:r>
      <w:r w:rsidR="006D5D52">
        <w:t>ing</w:t>
      </w:r>
      <w:r w:rsidR="008A0699">
        <w:t xml:space="preserve"> on the Btu</w:t>
      </w:r>
      <w:r w:rsidR="006D5D52">
        <w:t xml:space="preserve"> value of incoming process gas</w:t>
      </w:r>
      <w:r w:rsidRPr="00C656C9">
        <w:t>.</w:t>
      </w:r>
    </w:p>
    <w:p w:rsidR="00350516" w:rsidRPr="00C656C9" w:rsidRDefault="00350516" w:rsidP="00350516">
      <w:pPr>
        <w:pStyle w:val="Heading2"/>
      </w:pPr>
      <w:r w:rsidRPr="00C656C9">
        <w:t>Two (2) – 19,800 gallon, double wall</w:t>
      </w:r>
      <w:r w:rsidR="00ED1524" w:rsidRPr="00C656C9">
        <w:t>ed</w:t>
      </w:r>
      <w:r w:rsidRPr="00C656C9">
        <w:t xml:space="preserve"> above ground heated product storage tank</w:t>
      </w:r>
      <w:r w:rsidR="00C51975" w:rsidRPr="00C656C9">
        <w:t>s</w:t>
      </w:r>
      <w:r w:rsidRPr="00C656C9">
        <w:t xml:space="preserve"> (tank</w:t>
      </w:r>
      <w:r w:rsidR="00C51975" w:rsidRPr="00C656C9">
        <w:t>s are</w:t>
      </w:r>
      <w:r w:rsidRPr="00C656C9">
        <w:t xml:space="preserve"> heated at time of product transfer for shipment), with submerged fill and pressure/vacuum </w:t>
      </w:r>
      <w:r w:rsidR="00AF5B59" w:rsidRPr="00C656C9">
        <w:t>relief</w:t>
      </w:r>
      <w:r w:rsidRPr="00C656C9">
        <w:t>.</w:t>
      </w:r>
      <w:r w:rsidR="000B607B" w:rsidRPr="00C656C9">
        <w:t xml:space="preserve">  </w:t>
      </w:r>
      <w:r w:rsidR="00475CCF" w:rsidRPr="00C656C9">
        <w:t>Tanks are equipped with</w:t>
      </w:r>
      <w:r w:rsidR="000B607B" w:rsidRPr="00C656C9">
        <w:t xml:space="preserve"> vapor capture/control system</w:t>
      </w:r>
      <w:r w:rsidR="00AC5995" w:rsidRPr="00C656C9">
        <w:t xml:space="preserve"> -</w:t>
      </w:r>
      <w:r w:rsidR="00475CCF" w:rsidRPr="00C656C9">
        <w:t xml:space="preserve"> </w:t>
      </w:r>
      <w:r w:rsidR="00AC5995" w:rsidRPr="00C656C9">
        <w:t xml:space="preserve">displaced </w:t>
      </w:r>
      <w:r w:rsidR="00475CCF" w:rsidRPr="00C656C9">
        <w:t>tank vapors are captured and returned to process gas stream for reprocessing in condensers</w:t>
      </w:r>
      <w:r w:rsidR="00AC5995" w:rsidRPr="00C656C9">
        <w:t xml:space="preserve"> (</w:t>
      </w:r>
      <w:r w:rsidR="00FE788E" w:rsidRPr="00C656C9">
        <w:t>control</w:t>
      </w:r>
      <w:r w:rsidR="00C411EF">
        <w:t xml:space="preserve">led by </w:t>
      </w:r>
      <w:r w:rsidR="00FE788E">
        <w:t>VOC abatement unit</w:t>
      </w:r>
      <w:r w:rsidR="00AC5995" w:rsidRPr="00C656C9">
        <w:t>)</w:t>
      </w:r>
      <w:r w:rsidR="00ED1524" w:rsidRPr="00C656C9">
        <w:t>.</w:t>
      </w:r>
    </w:p>
    <w:p w:rsidR="00856C45" w:rsidRPr="00C656C9" w:rsidRDefault="00940161">
      <w:pPr>
        <w:pStyle w:val="Heading2"/>
      </w:pPr>
      <w:r w:rsidRPr="00C656C9">
        <w:t>One</w:t>
      </w:r>
      <w:r w:rsidR="00ED1524" w:rsidRPr="00C656C9">
        <w:t xml:space="preserve"> (1) -</w:t>
      </w:r>
      <w:r w:rsidRPr="00C656C9">
        <w:t xml:space="preserve"> tank truck loading operation equipped with </w:t>
      </w:r>
      <w:r w:rsidR="000B607B" w:rsidRPr="00C656C9">
        <w:t xml:space="preserve">vapor recovery and </w:t>
      </w:r>
      <w:r w:rsidR="000B607B" w:rsidRPr="00C656C9">
        <w:rPr>
          <w:sz w:val="22"/>
          <w:szCs w:val="22"/>
        </w:rPr>
        <w:t>Scully Overfill Protection System.  Displaced and recovered tank truck vapors are returned to the product storage tanks.</w:t>
      </w:r>
    </w:p>
    <w:p w:rsidR="00856C45" w:rsidRPr="00C656C9" w:rsidRDefault="00F42309">
      <w:pPr>
        <w:pStyle w:val="Heading2"/>
      </w:pPr>
      <w:proofErr w:type="gramStart"/>
      <w:r w:rsidRPr="00C656C9">
        <w:t>One (1) -</w:t>
      </w:r>
      <w:r w:rsidR="009D7A6D" w:rsidRPr="00C656C9">
        <w:t xml:space="preserve"> Direct Contact Cartridge carbon deposition cleaning process.</w:t>
      </w:r>
      <w:proofErr w:type="gramEnd"/>
    </w:p>
    <w:p w:rsidR="00856C45" w:rsidRPr="00C656C9" w:rsidRDefault="00856C45"/>
    <w:p w:rsidR="00856C45" w:rsidRPr="00C656C9" w:rsidRDefault="00041287">
      <w:pPr>
        <w:pStyle w:val="Sub-sectionheader"/>
      </w:pPr>
      <w:r w:rsidRPr="00C656C9">
        <w:t>CONTINUOUS MONITORING DEVICES</w:t>
      </w:r>
    </w:p>
    <w:p w:rsidR="00856C45" w:rsidRPr="00C656C9" w:rsidRDefault="00856C45"/>
    <w:p w:rsidR="005B12A2" w:rsidRPr="00C656C9" w:rsidRDefault="005B12A2" w:rsidP="005B12A2">
      <w:pPr>
        <w:pStyle w:val="Heading1"/>
      </w:pPr>
      <w:r w:rsidRPr="00C656C9">
        <w:t>The facility will have the following continuous monitoring devices:</w:t>
      </w:r>
    </w:p>
    <w:p w:rsidR="005B12A2" w:rsidRPr="00C656C9" w:rsidRDefault="005B12A2" w:rsidP="005B12A2"/>
    <w:p w:rsidR="005B12A2" w:rsidRPr="00C656C9" w:rsidRDefault="005B12A2" w:rsidP="005B12A2">
      <w:pPr>
        <w:pStyle w:val="Heading2"/>
      </w:pPr>
      <w:proofErr w:type="gramStart"/>
      <w:r w:rsidRPr="00C656C9">
        <w:t xml:space="preserve">A continuous temperature monitor to monitor the operating temperature of the </w:t>
      </w:r>
      <w:r w:rsidR="00C35AE3">
        <w:t>VOC abatement unit</w:t>
      </w:r>
      <w:r w:rsidRPr="00C656C9">
        <w:t>.</w:t>
      </w:r>
      <w:proofErr w:type="gramEnd"/>
    </w:p>
    <w:p w:rsidR="005B12A2" w:rsidRPr="00C656C9" w:rsidRDefault="000C29B5" w:rsidP="005B12A2">
      <w:pPr>
        <w:pStyle w:val="Heading2"/>
      </w:pPr>
      <w:proofErr w:type="gramStart"/>
      <w:r w:rsidRPr="00C656C9">
        <w:t>Four (4) c</w:t>
      </w:r>
      <w:r w:rsidR="005B12A2" w:rsidRPr="00C656C9">
        <w:t>ontinuous temperature monitor</w:t>
      </w:r>
      <w:r w:rsidRPr="00C656C9">
        <w:t>s, one at each pod,</w:t>
      </w:r>
      <w:r w:rsidR="005B12A2" w:rsidRPr="00C656C9">
        <w:t xml:space="preserve"> to monitor the operating temperature of the </w:t>
      </w:r>
      <w:r w:rsidR="003F6FA5" w:rsidRPr="00C656C9">
        <w:t>cooling fluid</w:t>
      </w:r>
      <w:r w:rsidR="005B12A2" w:rsidRPr="00C656C9">
        <w:t xml:space="preserve"> </w:t>
      </w:r>
      <w:r w:rsidR="002008FF" w:rsidRPr="00C656C9">
        <w:t>in</w:t>
      </w:r>
      <w:r w:rsidR="005B12A2" w:rsidRPr="00C656C9">
        <w:t xml:space="preserve"> </w:t>
      </w:r>
      <w:r w:rsidR="003F6FA5" w:rsidRPr="00C656C9">
        <w:t>each overhead</w:t>
      </w:r>
      <w:r w:rsidR="005B12A2" w:rsidRPr="00C656C9">
        <w:t xml:space="preserve"> condenser.</w:t>
      </w:r>
      <w:proofErr w:type="gramEnd"/>
    </w:p>
    <w:p w:rsidR="005B12A2" w:rsidRPr="00C656C9" w:rsidRDefault="000C29B5" w:rsidP="005B12A2">
      <w:pPr>
        <w:pStyle w:val="Heading2"/>
      </w:pPr>
      <w:proofErr w:type="gramStart"/>
      <w:r w:rsidRPr="00C656C9">
        <w:t>Four (4) flow monitoring i</w:t>
      </w:r>
      <w:r w:rsidR="005B12A2" w:rsidRPr="00C656C9">
        <w:t>nstrument</w:t>
      </w:r>
      <w:r w:rsidRPr="00C656C9">
        <w:t xml:space="preserve">s, one at each pod, </w:t>
      </w:r>
      <w:r w:rsidR="005B12A2" w:rsidRPr="00C656C9">
        <w:t>to</w:t>
      </w:r>
      <w:r w:rsidRPr="00C656C9">
        <w:t xml:space="preserve"> monitor/verify</w:t>
      </w:r>
      <w:r w:rsidR="005B12A2" w:rsidRPr="00C656C9">
        <w:t xml:space="preserve"> the </w:t>
      </w:r>
      <w:r w:rsidRPr="00C656C9">
        <w:t xml:space="preserve">flow </w:t>
      </w:r>
      <w:r w:rsidR="005B12A2" w:rsidRPr="00C656C9">
        <w:t>of the</w:t>
      </w:r>
      <w:r w:rsidR="003F6FA5" w:rsidRPr="00C656C9">
        <w:t xml:space="preserve"> cooling fluid</w:t>
      </w:r>
      <w:r w:rsidR="005B12A2" w:rsidRPr="00C656C9">
        <w:t xml:space="preserve"> </w:t>
      </w:r>
      <w:r w:rsidR="00877B69" w:rsidRPr="00C656C9">
        <w:t>of each</w:t>
      </w:r>
      <w:r w:rsidR="003F6FA5" w:rsidRPr="00C656C9">
        <w:t xml:space="preserve"> overhead condenser</w:t>
      </w:r>
      <w:r w:rsidR="005B12A2" w:rsidRPr="00C656C9">
        <w:t>.</w:t>
      </w:r>
      <w:proofErr w:type="gramEnd"/>
    </w:p>
    <w:p w:rsidR="00856C45" w:rsidRPr="00C656C9" w:rsidRDefault="00856C45"/>
    <w:p w:rsidR="00856C45" w:rsidRPr="00C656C9" w:rsidRDefault="00856C45"/>
    <w:p w:rsidR="00856C45" w:rsidRPr="00C656C9" w:rsidRDefault="00041287">
      <w:pPr>
        <w:pStyle w:val="SectionHeader"/>
      </w:pPr>
      <w:bookmarkStart w:id="8" w:name="_Toc452882787"/>
      <w:bookmarkStart w:id="9" w:name="_Toc452883742"/>
      <w:bookmarkStart w:id="10" w:name="_Toc452883933"/>
      <w:bookmarkStart w:id="11" w:name="_Toc463344853"/>
      <w:bookmarkStart w:id="12" w:name="_Toc310351180"/>
      <w:r w:rsidRPr="00C656C9">
        <w:t>compliance</w:t>
      </w:r>
      <w:bookmarkEnd w:id="8"/>
      <w:bookmarkEnd w:id="9"/>
      <w:bookmarkEnd w:id="10"/>
      <w:bookmarkEnd w:id="11"/>
      <w:bookmarkEnd w:id="12"/>
    </w:p>
    <w:p w:rsidR="00856C45" w:rsidRPr="00C656C9" w:rsidRDefault="00856C45"/>
    <w:p w:rsidR="00E73FFE" w:rsidRPr="00C656C9" w:rsidRDefault="00E73FFE" w:rsidP="00E73FFE">
      <w:pPr>
        <w:pStyle w:val="Heading1"/>
      </w:pPr>
      <w:r w:rsidRPr="00C656C9">
        <w:rPr>
          <w:snapToGrid w:val="0"/>
        </w:rPr>
        <w:t>After construction has been completed the facility will be inspected by Department personnel to ensure compliance with the permit conditions.</w:t>
      </w:r>
    </w:p>
    <w:p w:rsidR="00856C45" w:rsidRPr="00C656C9" w:rsidRDefault="00856C45">
      <w:pPr>
        <w:pStyle w:val="Header"/>
        <w:tabs>
          <w:tab w:val="clear" w:pos="4320"/>
          <w:tab w:val="clear" w:pos="8640"/>
        </w:tabs>
      </w:pPr>
    </w:p>
    <w:p w:rsidR="00856C45" w:rsidRPr="00C656C9" w:rsidRDefault="00856C45"/>
    <w:p w:rsidR="00856C45" w:rsidRPr="00C656C9" w:rsidRDefault="00041287">
      <w:pPr>
        <w:pStyle w:val="SectionHeader"/>
      </w:pPr>
      <w:bookmarkStart w:id="13" w:name="_Toc452882789"/>
      <w:bookmarkStart w:id="14" w:name="_Toc452883744"/>
      <w:bookmarkStart w:id="15" w:name="_Toc452883935"/>
      <w:bookmarkStart w:id="16" w:name="_Toc463344855"/>
      <w:bookmarkStart w:id="17" w:name="_Toc310351181"/>
      <w:r w:rsidRPr="00C656C9">
        <w:t>emissions</w:t>
      </w:r>
      <w:bookmarkEnd w:id="13"/>
      <w:bookmarkEnd w:id="14"/>
      <w:bookmarkEnd w:id="15"/>
      <w:bookmarkEnd w:id="16"/>
      <w:bookmarkEnd w:id="17"/>
    </w:p>
    <w:p w:rsidR="00856C45" w:rsidRPr="00C656C9" w:rsidRDefault="00856C45"/>
    <w:p w:rsidR="00856C45" w:rsidRPr="00C656C9" w:rsidRDefault="00041287">
      <w:pPr>
        <w:pStyle w:val="Heading1"/>
      </w:pPr>
      <w:r w:rsidRPr="00C656C9">
        <w:t>Proposed PSEL information:</w:t>
      </w:r>
    </w:p>
    <w:p w:rsidR="00856C45" w:rsidRPr="00C656C9" w:rsidRDefault="00856C45"/>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431"/>
        <w:gridCol w:w="1523"/>
        <w:gridCol w:w="1217"/>
        <w:gridCol w:w="1271"/>
        <w:gridCol w:w="1330"/>
        <w:gridCol w:w="1384"/>
        <w:gridCol w:w="1312"/>
      </w:tblGrid>
      <w:tr w:rsidR="00856C45" w:rsidRPr="00C656C9" w:rsidTr="001F758E">
        <w:trPr>
          <w:cantSplit/>
        </w:trPr>
        <w:tc>
          <w:tcPr>
            <w:tcW w:w="0" w:type="auto"/>
            <w:vMerge w:val="restart"/>
            <w:tcBorders>
              <w:top w:val="double" w:sz="4" w:space="0" w:color="auto"/>
              <w:left w:val="double" w:sz="4" w:space="0" w:color="auto"/>
              <w:bottom w:val="nil"/>
              <w:right w:val="nil"/>
            </w:tcBorders>
            <w:vAlign w:val="bottom"/>
          </w:tcPr>
          <w:p w:rsidR="00856C45" w:rsidRPr="00C656C9" w:rsidRDefault="00041287">
            <w:pPr>
              <w:spacing w:before="800" w:after="40"/>
              <w:rPr>
                <w:szCs w:val="24"/>
              </w:rPr>
            </w:pPr>
            <w:r w:rsidRPr="00C656C9">
              <w:rPr>
                <w:szCs w:val="24"/>
              </w:rPr>
              <w:lastRenderedPageBreak/>
              <w:t>Pollutant</w:t>
            </w:r>
          </w:p>
        </w:tc>
        <w:tc>
          <w:tcPr>
            <w:tcW w:w="0" w:type="auto"/>
            <w:vMerge w:val="restart"/>
            <w:tcBorders>
              <w:top w:val="double" w:sz="4" w:space="0" w:color="auto"/>
              <w:left w:val="single" w:sz="4" w:space="0" w:color="auto"/>
              <w:bottom w:val="nil"/>
              <w:right w:val="single" w:sz="4" w:space="0" w:color="auto"/>
            </w:tcBorders>
            <w:vAlign w:val="bottom"/>
          </w:tcPr>
          <w:p w:rsidR="00856C45" w:rsidRPr="00C656C9" w:rsidRDefault="00041287">
            <w:pPr>
              <w:spacing w:before="320" w:after="40"/>
              <w:jc w:val="center"/>
              <w:rPr>
                <w:szCs w:val="24"/>
              </w:rPr>
            </w:pPr>
            <w:r w:rsidRPr="00C656C9">
              <w:rPr>
                <w:szCs w:val="24"/>
              </w:rPr>
              <w:t>Baseline Emission Rate (tons/yr)</w:t>
            </w:r>
          </w:p>
        </w:tc>
        <w:tc>
          <w:tcPr>
            <w:tcW w:w="0" w:type="auto"/>
            <w:gridSpan w:val="2"/>
            <w:tcBorders>
              <w:top w:val="double" w:sz="4" w:space="0" w:color="auto"/>
              <w:left w:val="nil"/>
              <w:bottom w:val="single" w:sz="4" w:space="0" w:color="auto"/>
              <w:right w:val="single" w:sz="4" w:space="0" w:color="auto"/>
            </w:tcBorders>
            <w:vAlign w:val="bottom"/>
          </w:tcPr>
          <w:p w:rsidR="00856C45" w:rsidRPr="00C656C9" w:rsidRDefault="00041287">
            <w:pPr>
              <w:spacing w:before="40" w:after="40"/>
              <w:jc w:val="center"/>
              <w:rPr>
                <w:szCs w:val="24"/>
              </w:rPr>
            </w:pPr>
            <w:r w:rsidRPr="00C656C9">
              <w:rPr>
                <w:szCs w:val="24"/>
              </w:rPr>
              <w:t>Netting Basis</w:t>
            </w:r>
          </w:p>
        </w:tc>
        <w:tc>
          <w:tcPr>
            <w:tcW w:w="0" w:type="auto"/>
            <w:gridSpan w:val="3"/>
            <w:tcBorders>
              <w:top w:val="double" w:sz="4" w:space="0" w:color="auto"/>
              <w:left w:val="nil"/>
              <w:bottom w:val="single" w:sz="4" w:space="0" w:color="auto"/>
              <w:right w:val="double" w:sz="6" w:space="0" w:color="auto"/>
            </w:tcBorders>
            <w:vAlign w:val="bottom"/>
          </w:tcPr>
          <w:p w:rsidR="00856C45" w:rsidRPr="00C656C9" w:rsidRDefault="00041287">
            <w:pPr>
              <w:spacing w:before="40" w:after="40"/>
              <w:jc w:val="center"/>
              <w:rPr>
                <w:szCs w:val="24"/>
              </w:rPr>
            </w:pPr>
            <w:r w:rsidRPr="00C656C9">
              <w:rPr>
                <w:szCs w:val="24"/>
              </w:rPr>
              <w:t>Plant Site Emission Limits (PSEL)</w:t>
            </w:r>
          </w:p>
        </w:tc>
      </w:tr>
      <w:tr w:rsidR="00856C45" w:rsidRPr="00C656C9" w:rsidTr="001F758E">
        <w:trPr>
          <w:cantSplit/>
          <w:trHeight w:val="550"/>
        </w:trPr>
        <w:tc>
          <w:tcPr>
            <w:tcW w:w="0" w:type="auto"/>
            <w:vMerge/>
            <w:tcBorders>
              <w:top w:val="nil"/>
              <w:left w:val="double" w:sz="4" w:space="0" w:color="auto"/>
              <w:bottom w:val="double" w:sz="4" w:space="0" w:color="auto"/>
              <w:right w:val="nil"/>
            </w:tcBorders>
            <w:vAlign w:val="bottom"/>
          </w:tcPr>
          <w:p w:rsidR="00856C45" w:rsidRPr="00C656C9" w:rsidRDefault="00856C45">
            <w:pPr>
              <w:spacing w:before="40" w:after="40"/>
              <w:jc w:val="center"/>
              <w:rPr>
                <w:szCs w:val="24"/>
              </w:rPr>
            </w:pPr>
          </w:p>
        </w:tc>
        <w:tc>
          <w:tcPr>
            <w:tcW w:w="0" w:type="auto"/>
            <w:vMerge/>
            <w:tcBorders>
              <w:top w:val="nil"/>
              <w:left w:val="single" w:sz="4" w:space="0" w:color="auto"/>
              <w:bottom w:val="double" w:sz="4" w:space="0" w:color="auto"/>
              <w:right w:val="single" w:sz="4" w:space="0" w:color="auto"/>
            </w:tcBorders>
            <w:vAlign w:val="bottom"/>
          </w:tcPr>
          <w:p w:rsidR="00856C45" w:rsidRPr="00C656C9" w:rsidRDefault="00856C45">
            <w:pPr>
              <w:spacing w:before="40" w:after="40"/>
              <w:jc w:val="center"/>
              <w:rPr>
                <w:szCs w:val="24"/>
              </w:rPr>
            </w:pPr>
          </w:p>
        </w:tc>
        <w:tc>
          <w:tcPr>
            <w:tcW w:w="0" w:type="auto"/>
            <w:tcBorders>
              <w:top w:val="nil"/>
              <w:left w:val="nil"/>
              <w:bottom w:val="double" w:sz="4" w:space="0" w:color="auto"/>
            </w:tcBorders>
            <w:vAlign w:val="bottom"/>
          </w:tcPr>
          <w:p w:rsidR="00856C45" w:rsidRPr="00C656C9" w:rsidRDefault="00041287">
            <w:pPr>
              <w:spacing w:before="240" w:after="40"/>
              <w:jc w:val="center"/>
              <w:rPr>
                <w:szCs w:val="24"/>
              </w:rPr>
            </w:pPr>
            <w:r w:rsidRPr="00C656C9">
              <w:rPr>
                <w:szCs w:val="24"/>
              </w:rPr>
              <w:t>Previous (tons/yr)</w:t>
            </w:r>
          </w:p>
        </w:tc>
        <w:tc>
          <w:tcPr>
            <w:tcW w:w="0" w:type="auto"/>
            <w:tcBorders>
              <w:top w:val="nil"/>
              <w:bottom w:val="double" w:sz="4" w:space="0" w:color="auto"/>
              <w:right w:val="single" w:sz="4" w:space="0" w:color="auto"/>
            </w:tcBorders>
            <w:vAlign w:val="bottom"/>
          </w:tcPr>
          <w:p w:rsidR="00856C45" w:rsidRPr="00C656C9" w:rsidRDefault="00041287">
            <w:pPr>
              <w:spacing w:before="240" w:after="40"/>
              <w:jc w:val="center"/>
              <w:rPr>
                <w:szCs w:val="24"/>
              </w:rPr>
            </w:pPr>
            <w:r w:rsidRPr="00C656C9">
              <w:rPr>
                <w:szCs w:val="24"/>
              </w:rPr>
              <w:t>Proposed (tons/yr)</w:t>
            </w:r>
          </w:p>
        </w:tc>
        <w:tc>
          <w:tcPr>
            <w:tcW w:w="0" w:type="auto"/>
            <w:tcBorders>
              <w:top w:val="nil"/>
              <w:left w:val="nil"/>
              <w:bottom w:val="double" w:sz="4" w:space="0" w:color="auto"/>
            </w:tcBorders>
            <w:vAlign w:val="bottom"/>
          </w:tcPr>
          <w:p w:rsidR="00856C45" w:rsidRPr="00C656C9" w:rsidRDefault="00041287">
            <w:pPr>
              <w:spacing w:before="40" w:after="40"/>
              <w:jc w:val="center"/>
              <w:rPr>
                <w:szCs w:val="24"/>
              </w:rPr>
            </w:pPr>
            <w:r w:rsidRPr="00C656C9">
              <w:rPr>
                <w:szCs w:val="24"/>
              </w:rPr>
              <w:t>Previous PSEL (tons/yr)</w:t>
            </w:r>
          </w:p>
        </w:tc>
        <w:tc>
          <w:tcPr>
            <w:tcW w:w="0" w:type="auto"/>
            <w:tcBorders>
              <w:top w:val="nil"/>
              <w:bottom w:val="double" w:sz="4" w:space="0" w:color="auto"/>
            </w:tcBorders>
            <w:vAlign w:val="bottom"/>
          </w:tcPr>
          <w:p w:rsidR="00856C45" w:rsidRPr="00C656C9" w:rsidRDefault="00041287">
            <w:pPr>
              <w:spacing w:before="40" w:after="40"/>
              <w:jc w:val="center"/>
              <w:rPr>
                <w:szCs w:val="24"/>
              </w:rPr>
            </w:pPr>
            <w:r w:rsidRPr="00C656C9">
              <w:rPr>
                <w:szCs w:val="24"/>
              </w:rPr>
              <w:t>Proposed PSEL (tons/yr)</w:t>
            </w:r>
          </w:p>
        </w:tc>
        <w:tc>
          <w:tcPr>
            <w:tcW w:w="0" w:type="auto"/>
            <w:tcBorders>
              <w:top w:val="nil"/>
              <w:bottom w:val="double" w:sz="4" w:space="0" w:color="auto"/>
              <w:right w:val="double" w:sz="6" w:space="0" w:color="auto"/>
            </w:tcBorders>
            <w:vAlign w:val="bottom"/>
          </w:tcPr>
          <w:p w:rsidR="00856C45" w:rsidRPr="00C656C9" w:rsidRDefault="00041287">
            <w:pPr>
              <w:spacing w:before="40" w:after="40"/>
              <w:jc w:val="center"/>
              <w:rPr>
                <w:szCs w:val="24"/>
              </w:rPr>
            </w:pPr>
            <w:r w:rsidRPr="00C656C9">
              <w:rPr>
                <w:szCs w:val="24"/>
              </w:rPr>
              <w:t>PSEL Increase (tons/yr)</w:t>
            </w:r>
          </w:p>
        </w:tc>
      </w:tr>
      <w:tr w:rsidR="00E73FFE" w:rsidRPr="00C656C9" w:rsidTr="001F758E">
        <w:trPr>
          <w:cantSplit/>
        </w:trPr>
        <w:tc>
          <w:tcPr>
            <w:tcW w:w="0" w:type="auto"/>
            <w:tcBorders>
              <w:top w:val="double" w:sz="4" w:space="0" w:color="auto"/>
              <w:left w:val="double" w:sz="4" w:space="0" w:color="auto"/>
              <w:bottom w:val="single" w:sz="4" w:space="0" w:color="auto"/>
              <w:right w:val="nil"/>
            </w:tcBorders>
          </w:tcPr>
          <w:p w:rsidR="00E73FFE" w:rsidRPr="00C656C9" w:rsidRDefault="00300D53" w:rsidP="00300D53">
            <w:pPr>
              <w:spacing w:before="40" w:after="40"/>
              <w:rPr>
                <w:szCs w:val="24"/>
                <w:vertAlign w:val="subscript"/>
              </w:rPr>
            </w:pPr>
            <w:r w:rsidRPr="00C656C9">
              <w:rPr>
                <w:szCs w:val="24"/>
              </w:rPr>
              <w:t>PM</w:t>
            </w:r>
            <w:r w:rsidRPr="00C656C9">
              <w:rPr>
                <w:szCs w:val="24"/>
                <w:vertAlign w:val="subscript"/>
              </w:rPr>
              <w:t>10</w:t>
            </w:r>
            <w:r w:rsidR="00C51975" w:rsidRPr="00C656C9">
              <w:rPr>
                <w:szCs w:val="24"/>
              </w:rPr>
              <w:t>/</w:t>
            </w:r>
            <w:r w:rsidRPr="00C656C9">
              <w:rPr>
                <w:szCs w:val="24"/>
              </w:rPr>
              <w:t>PM</w:t>
            </w:r>
            <w:r w:rsidRPr="00C656C9">
              <w:rPr>
                <w:szCs w:val="24"/>
                <w:vertAlign w:val="subscript"/>
              </w:rPr>
              <w:t>2.5</w:t>
            </w:r>
          </w:p>
        </w:tc>
        <w:tc>
          <w:tcPr>
            <w:tcW w:w="0" w:type="auto"/>
            <w:tcBorders>
              <w:top w:val="double" w:sz="4" w:space="0" w:color="auto"/>
              <w:left w:val="single" w:sz="4" w:space="0" w:color="auto"/>
              <w:bottom w:val="single" w:sz="4" w:space="0" w:color="auto"/>
              <w:right w:val="single" w:sz="4" w:space="0" w:color="auto"/>
            </w:tcBorders>
          </w:tcPr>
          <w:p w:rsidR="00E73FFE" w:rsidRPr="00C656C9" w:rsidRDefault="00E73FFE" w:rsidP="003626F3">
            <w:pPr>
              <w:spacing w:before="40" w:after="40"/>
              <w:jc w:val="center"/>
              <w:rPr>
                <w:szCs w:val="24"/>
              </w:rPr>
            </w:pPr>
            <w:r w:rsidRPr="00C656C9">
              <w:rPr>
                <w:szCs w:val="24"/>
              </w:rPr>
              <w:t>0</w:t>
            </w:r>
          </w:p>
        </w:tc>
        <w:tc>
          <w:tcPr>
            <w:tcW w:w="0" w:type="auto"/>
            <w:tcBorders>
              <w:top w:val="double" w:sz="4" w:space="0" w:color="auto"/>
              <w:left w:val="nil"/>
              <w:bottom w:val="single" w:sz="4" w:space="0" w:color="auto"/>
            </w:tcBorders>
          </w:tcPr>
          <w:p w:rsidR="00E73FFE" w:rsidRPr="00C656C9" w:rsidRDefault="00E73FFE" w:rsidP="003626F3">
            <w:pPr>
              <w:spacing w:before="40" w:after="40"/>
              <w:jc w:val="center"/>
              <w:rPr>
                <w:szCs w:val="24"/>
              </w:rPr>
            </w:pPr>
            <w:r w:rsidRPr="00C656C9">
              <w:rPr>
                <w:szCs w:val="24"/>
              </w:rPr>
              <w:t>0</w:t>
            </w:r>
          </w:p>
        </w:tc>
        <w:tc>
          <w:tcPr>
            <w:tcW w:w="0" w:type="auto"/>
            <w:tcBorders>
              <w:top w:val="double" w:sz="4" w:space="0" w:color="auto"/>
              <w:bottom w:val="single" w:sz="4" w:space="0" w:color="auto"/>
              <w:right w:val="single" w:sz="4" w:space="0" w:color="auto"/>
            </w:tcBorders>
          </w:tcPr>
          <w:p w:rsidR="00E73FFE" w:rsidRPr="00C656C9" w:rsidRDefault="00E73FFE" w:rsidP="003626F3">
            <w:pPr>
              <w:spacing w:before="40" w:after="40"/>
              <w:jc w:val="center"/>
              <w:rPr>
                <w:szCs w:val="24"/>
              </w:rPr>
            </w:pPr>
            <w:r w:rsidRPr="00C656C9">
              <w:rPr>
                <w:szCs w:val="24"/>
              </w:rPr>
              <w:t>0</w:t>
            </w:r>
          </w:p>
        </w:tc>
        <w:tc>
          <w:tcPr>
            <w:tcW w:w="0" w:type="auto"/>
            <w:tcBorders>
              <w:top w:val="double" w:sz="4" w:space="0" w:color="auto"/>
              <w:left w:val="nil"/>
              <w:bottom w:val="single" w:sz="4" w:space="0" w:color="auto"/>
              <w:right w:val="nil"/>
            </w:tcBorders>
          </w:tcPr>
          <w:p w:rsidR="00E73FFE" w:rsidRPr="00C656C9" w:rsidRDefault="00E73FFE" w:rsidP="003626F3">
            <w:pPr>
              <w:spacing w:before="40" w:after="40"/>
              <w:jc w:val="center"/>
              <w:rPr>
                <w:szCs w:val="24"/>
              </w:rPr>
            </w:pPr>
            <w:r w:rsidRPr="00C656C9">
              <w:rPr>
                <w:szCs w:val="24"/>
              </w:rPr>
              <w:t>NA</w:t>
            </w:r>
          </w:p>
        </w:tc>
        <w:tc>
          <w:tcPr>
            <w:tcW w:w="0" w:type="auto"/>
            <w:tcBorders>
              <w:top w:val="double" w:sz="4" w:space="0" w:color="auto"/>
              <w:left w:val="single" w:sz="4" w:space="0" w:color="auto"/>
              <w:bottom w:val="single" w:sz="4" w:space="0" w:color="auto"/>
              <w:right w:val="single" w:sz="4" w:space="0" w:color="auto"/>
            </w:tcBorders>
          </w:tcPr>
          <w:p w:rsidR="00E73FFE" w:rsidRPr="00C656C9" w:rsidRDefault="00C51975" w:rsidP="003626F3">
            <w:pPr>
              <w:spacing w:before="40" w:after="40"/>
              <w:jc w:val="center"/>
              <w:rPr>
                <w:szCs w:val="24"/>
              </w:rPr>
            </w:pPr>
            <w:r w:rsidRPr="00C656C9">
              <w:rPr>
                <w:szCs w:val="24"/>
              </w:rPr>
              <w:t>9</w:t>
            </w:r>
          </w:p>
        </w:tc>
        <w:tc>
          <w:tcPr>
            <w:tcW w:w="0" w:type="auto"/>
            <w:tcBorders>
              <w:top w:val="double" w:sz="4" w:space="0" w:color="auto"/>
              <w:left w:val="nil"/>
              <w:bottom w:val="single" w:sz="4" w:space="0" w:color="auto"/>
              <w:right w:val="double" w:sz="6" w:space="0" w:color="auto"/>
            </w:tcBorders>
          </w:tcPr>
          <w:p w:rsidR="00E73FFE" w:rsidRPr="00C656C9" w:rsidRDefault="00C51975" w:rsidP="003626F3">
            <w:pPr>
              <w:spacing w:before="40" w:after="40"/>
              <w:jc w:val="center"/>
              <w:rPr>
                <w:szCs w:val="24"/>
              </w:rPr>
            </w:pPr>
            <w:r w:rsidRPr="00C656C9">
              <w:rPr>
                <w:szCs w:val="24"/>
              </w:rPr>
              <w:t>9</w:t>
            </w:r>
          </w:p>
        </w:tc>
      </w:tr>
      <w:tr w:rsidR="006D5D52" w:rsidRPr="00C656C9" w:rsidTr="001F758E">
        <w:trPr>
          <w:cantSplit/>
        </w:trPr>
        <w:tc>
          <w:tcPr>
            <w:tcW w:w="0" w:type="auto"/>
            <w:tcBorders>
              <w:top w:val="single" w:sz="4" w:space="0" w:color="auto"/>
              <w:left w:val="double" w:sz="4" w:space="0" w:color="auto"/>
              <w:bottom w:val="single" w:sz="4" w:space="0" w:color="auto"/>
              <w:right w:val="nil"/>
            </w:tcBorders>
          </w:tcPr>
          <w:p w:rsidR="006D5D52" w:rsidRPr="00C656C9" w:rsidRDefault="006D5D52">
            <w:pPr>
              <w:spacing w:before="40" w:after="40"/>
              <w:rPr>
                <w:szCs w:val="24"/>
              </w:rPr>
            </w:pPr>
            <w:r w:rsidRPr="00C656C9">
              <w:rPr>
                <w:szCs w:val="24"/>
              </w:rPr>
              <w:t>SO</w:t>
            </w:r>
            <w:r w:rsidRPr="00C656C9">
              <w:rPr>
                <w:szCs w:val="24"/>
                <w:vertAlign w:val="subscript"/>
              </w:rPr>
              <w:t>2</w:t>
            </w:r>
          </w:p>
        </w:tc>
        <w:tc>
          <w:tcPr>
            <w:tcW w:w="0" w:type="auto"/>
            <w:tcBorders>
              <w:top w:val="single" w:sz="4" w:space="0" w:color="auto"/>
              <w:left w:val="single" w:sz="4" w:space="0" w:color="auto"/>
              <w:bottom w:val="single" w:sz="4" w:space="0" w:color="auto"/>
              <w:right w:val="single" w:sz="4" w:space="0" w:color="auto"/>
            </w:tcBorders>
          </w:tcPr>
          <w:p w:rsidR="006D5D52" w:rsidRPr="006D5D52" w:rsidRDefault="006D5D52" w:rsidP="006D5D52">
            <w:pPr>
              <w:spacing w:before="40" w:after="40"/>
              <w:jc w:val="center"/>
              <w:rPr>
                <w:szCs w:val="24"/>
              </w:rPr>
            </w:pPr>
            <w:r w:rsidRPr="00B4101E">
              <w:rPr>
                <w:szCs w:val="24"/>
              </w:rPr>
              <w:t>0</w:t>
            </w:r>
          </w:p>
        </w:tc>
        <w:tc>
          <w:tcPr>
            <w:tcW w:w="0" w:type="auto"/>
            <w:tcBorders>
              <w:top w:val="single" w:sz="4" w:space="0" w:color="auto"/>
              <w:left w:val="nil"/>
              <w:bottom w:val="single" w:sz="4" w:space="0" w:color="auto"/>
            </w:tcBorders>
          </w:tcPr>
          <w:p w:rsidR="006D5D52" w:rsidRPr="006D5D52" w:rsidRDefault="006D5D52" w:rsidP="006D5D52">
            <w:pPr>
              <w:spacing w:before="40" w:after="40"/>
              <w:jc w:val="center"/>
              <w:rPr>
                <w:szCs w:val="24"/>
              </w:rPr>
            </w:pPr>
            <w:r w:rsidRPr="00B4101E">
              <w:rPr>
                <w:szCs w:val="24"/>
              </w:rPr>
              <w:t>0</w:t>
            </w:r>
          </w:p>
        </w:tc>
        <w:tc>
          <w:tcPr>
            <w:tcW w:w="0" w:type="auto"/>
            <w:tcBorders>
              <w:top w:val="single" w:sz="4" w:space="0" w:color="auto"/>
              <w:bottom w:val="single" w:sz="4" w:space="0" w:color="auto"/>
              <w:right w:val="single" w:sz="4" w:space="0" w:color="auto"/>
            </w:tcBorders>
          </w:tcPr>
          <w:p w:rsidR="006D5D52" w:rsidRPr="006D5D52" w:rsidRDefault="006D5D52" w:rsidP="006D5D52">
            <w:pPr>
              <w:spacing w:before="40" w:after="40"/>
              <w:jc w:val="center"/>
              <w:rPr>
                <w:szCs w:val="24"/>
              </w:rPr>
            </w:pPr>
            <w:r w:rsidRPr="00B4101E">
              <w:rPr>
                <w:szCs w:val="24"/>
              </w:rPr>
              <w:t>0</w:t>
            </w:r>
          </w:p>
        </w:tc>
        <w:tc>
          <w:tcPr>
            <w:tcW w:w="0" w:type="auto"/>
            <w:tcBorders>
              <w:top w:val="single" w:sz="4" w:space="0" w:color="auto"/>
              <w:left w:val="nil"/>
              <w:bottom w:val="single" w:sz="4" w:space="0" w:color="auto"/>
              <w:right w:val="nil"/>
            </w:tcBorders>
          </w:tcPr>
          <w:p w:rsidR="006D5D52" w:rsidRPr="00C656C9" w:rsidRDefault="006D5D52" w:rsidP="003626F3">
            <w:pPr>
              <w:spacing w:before="40" w:after="40"/>
              <w:jc w:val="center"/>
              <w:rPr>
                <w:szCs w:val="24"/>
              </w:rPr>
            </w:pPr>
            <w:r w:rsidRPr="00C656C9">
              <w:rPr>
                <w:szCs w:val="24"/>
              </w:rPr>
              <w:t>NA</w:t>
            </w:r>
          </w:p>
        </w:tc>
        <w:tc>
          <w:tcPr>
            <w:tcW w:w="0" w:type="auto"/>
            <w:tcBorders>
              <w:top w:val="single" w:sz="4" w:space="0" w:color="auto"/>
              <w:left w:val="single" w:sz="4" w:space="0" w:color="auto"/>
              <w:bottom w:val="single" w:sz="4" w:space="0" w:color="auto"/>
              <w:right w:val="single" w:sz="4" w:space="0" w:color="auto"/>
            </w:tcBorders>
          </w:tcPr>
          <w:p w:rsidR="006D5D52" w:rsidRPr="00C656C9" w:rsidRDefault="006D5D52" w:rsidP="003626F3">
            <w:pPr>
              <w:spacing w:before="40" w:after="40"/>
              <w:jc w:val="center"/>
              <w:rPr>
                <w:szCs w:val="24"/>
              </w:rPr>
            </w:pPr>
            <w:r w:rsidRPr="00C656C9">
              <w:rPr>
                <w:szCs w:val="24"/>
              </w:rPr>
              <w:t>39</w:t>
            </w:r>
          </w:p>
        </w:tc>
        <w:tc>
          <w:tcPr>
            <w:tcW w:w="0" w:type="auto"/>
            <w:tcBorders>
              <w:top w:val="single" w:sz="4" w:space="0" w:color="auto"/>
              <w:left w:val="nil"/>
              <w:bottom w:val="single" w:sz="4" w:space="0" w:color="auto"/>
              <w:right w:val="double" w:sz="6" w:space="0" w:color="auto"/>
            </w:tcBorders>
          </w:tcPr>
          <w:p w:rsidR="006D5D52" w:rsidRPr="00C656C9" w:rsidRDefault="006D5D52" w:rsidP="003626F3">
            <w:pPr>
              <w:spacing w:before="40" w:after="40"/>
              <w:jc w:val="center"/>
              <w:rPr>
                <w:szCs w:val="24"/>
              </w:rPr>
            </w:pPr>
            <w:r w:rsidRPr="00C656C9">
              <w:rPr>
                <w:szCs w:val="24"/>
              </w:rPr>
              <w:t>39</w:t>
            </w:r>
          </w:p>
        </w:tc>
      </w:tr>
      <w:tr w:rsidR="00E73FFE" w:rsidRPr="00C656C9" w:rsidTr="001F758E">
        <w:trPr>
          <w:cantSplit/>
        </w:trPr>
        <w:tc>
          <w:tcPr>
            <w:tcW w:w="0" w:type="auto"/>
            <w:tcBorders>
              <w:top w:val="single" w:sz="4" w:space="0" w:color="auto"/>
              <w:left w:val="double" w:sz="4" w:space="0" w:color="auto"/>
              <w:bottom w:val="single" w:sz="4" w:space="0" w:color="auto"/>
              <w:right w:val="nil"/>
            </w:tcBorders>
          </w:tcPr>
          <w:p w:rsidR="00E73FFE" w:rsidRPr="00C656C9" w:rsidRDefault="00E73FFE">
            <w:pPr>
              <w:spacing w:before="40" w:after="40"/>
              <w:rPr>
                <w:szCs w:val="24"/>
              </w:rPr>
            </w:pPr>
            <w:r w:rsidRPr="00C656C9">
              <w:rPr>
                <w:szCs w:val="24"/>
              </w:rPr>
              <w:t>NO</w:t>
            </w:r>
            <w:r w:rsidRPr="00C656C9">
              <w:rPr>
                <w:szCs w:val="24"/>
                <w:vertAlign w:val="subscript"/>
              </w:rPr>
              <w:t>x</w:t>
            </w:r>
          </w:p>
        </w:tc>
        <w:tc>
          <w:tcPr>
            <w:tcW w:w="0" w:type="auto"/>
            <w:tcBorders>
              <w:top w:val="single" w:sz="4" w:space="0" w:color="auto"/>
              <w:left w:val="single" w:sz="4" w:space="0" w:color="auto"/>
              <w:bottom w:val="single" w:sz="4" w:space="0" w:color="auto"/>
              <w:right w:val="single" w:sz="4" w:space="0" w:color="auto"/>
            </w:tcBorders>
          </w:tcPr>
          <w:p w:rsidR="00E73FFE" w:rsidRPr="00C656C9" w:rsidRDefault="00E73FFE" w:rsidP="003626F3">
            <w:pPr>
              <w:spacing w:before="40" w:after="40"/>
              <w:jc w:val="center"/>
              <w:rPr>
                <w:szCs w:val="24"/>
              </w:rPr>
            </w:pPr>
            <w:r w:rsidRPr="00C656C9">
              <w:rPr>
                <w:szCs w:val="24"/>
              </w:rPr>
              <w:t>0</w:t>
            </w:r>
          </w:p>
        </w:tc>
        <w:tc>
          <w:tcPr>
            <w:tcW w:w="0" w:type="auto"/>
            <w:tcBorders>
              <w:top w:val="single" w:sz="4" w:space="0" w:color="auto"/>
              <w:left w:val="nil"/>
              <w:bottom w:val="single" w:sz="4" w:space="0" w:color="auto"/>
            </w:tcBorders>
          </w:tcPr>
          <w:p w:rsidR="00E73FFE" w:rsidRPr="00C656C9" w:rsidRDefault="00E73FFE" w:rsidP="003626F3">
            <w:pPr>
              <w:spacing w:before="40" w:after="40"/>
              <w:jc w:val="center"/>
              <w:rPr>
                <w:szCs w:val="24"/>
              </w:rPr>
            </w:pPr>
            <w:r w:rsidRPr="00C656C9">
              <w:rPr>
                <w:szCs w:val="24"/>
              </w:rPr>
              <w:t>0</w:t>
            </w:r>
          </w:p>
        </w:tc>
        <w:tc>
          <w:tcPr>
            <w:tcW w:w="0" w:type="auto"/>
            <w:tcBorders>
              <w:top w:val="single" w:sz="4" w:space="0" w:color="auto"/>
              <w:bottom w:val="single" w:sz="4" w:space="0" w:color="auto"/>
              <w:right w:val="single" w:sz="4" w:space="0" w:color="auto"/>
            </w:tcBorders>
          </w:tcPr>
          <w:p w:rsidR="00E73FFE" w:rsidRPr="00C656C9" w:rsidRDefault="00E73FFE" w:rsidP="003626F3">
            <w:pPr>
              <w:spacing w:before="40" w:after="40"/>
              <w:jc w:val="center"/>
              <w:rPr>
                <w:szCs w:val="24"/>
              </w:rPr>
            </w:pPr>
            <w:r w:rsidRPr="00C656C9">
              <w:rPr>
                <w:szCs w:val="24"/>
              </w:rPr>
              <w:t>0</w:t>
            </w:r>
          </w:p>
        </w:tc>
        <w:tc>
          <w:tcPr>
            <w:tcW w:w="0" w:type="auto"/>
            <w:tcBorders>
              <w:top w:val="single" w:sz="4" w:space="0" w:color="auto"/>
              <w:left w:val="nil"/>
              <w:bottom w:val="single" w:sz="4" w:space="0" w:color="auto"/>
              <w:right w:val="nil"/>
            </w:tcBorders>
          </w:tcPr>
          <w:p w:rsidR="00E73FFE" w:rsidRPr="00C656C9" w:rsidRDefault="00E73FFE" w:rsidP="003626F3">
            <w:pPr>
              <w:spacing w:before="40" w:after="40"/>
              <w:jc w:val="center"/>
              <w:rPr>
                <w:szCs w:val="24"/>
              </w:rPr>
            </w:pPr>
            <w:r w:rsidRPr="00C656C9">
              <w:rPr>
                <w:szCs w:val="24"/>
              </w:rPr>
              <w:t>NA</w:t>
            </w:r>
          </w:p>
        </w:tc>
        <w:tc>
          <w:tcPr>
            <w:tcW w:w="0" w:type="auto"/>
            <w:tcBorders>
              <w:top w:val="single" w:sz="4" w:space="0" w:color="auto"/>
              <w:left w:val="single" w:sz="4" w:space="0" w:color="auto"/>
              <w:bottom w:val="single" w:sz="4" w:space="0" w:color="auto"/>
              <w:right w:val="single" w:sz="4" w:space="0" w:color="auto"/>
            </w:tcBorders>
          </w:tcPr>
          <w:p w:rsidR="00E73FFE" w:rsidRPr="00C656C9" w:rsidRDefault="00E73FFE" w:rsidP="003626F3">
            <w:pPr>
              <w:spacing w:before="40" w:after="40"/>
              <w:jc w:val="center"/>
              <w:rPr>
                <w:szCs w:val="24"/>
              </w:rPr>
            </w:pPr>
            <w:r w:rsidRPr="00C656C9">
              <w:rPr>
                <w:szCs w:val="24"/>
              </w:rPr>
              <w:t>39</w:t>
            </w:r>
          </w:p>
        </w:tc>
        <w:tc>
          <w:tcPr>
            <w:tcW w:w="0" w:type="auto"/>
            <w:tcBorders>
              <w:top w:val="single" w:sz="4" w:space="0" w:color="auto"/>
              <w:left w:val="nil"/>
              <w:bottom w:val="single" w:sz="4" w:space="0" w:color="auto"/>
              <w:right w:val="double" w:sz="6" w:space="0" w:color="auto"/>
            </w:tcBorders>
          </w:tcPr>
          <w:p w:rsidR="00E73FFE" w:rsidRPr="00C656C9" w:rsidRDefault="00E73FFE" w:rsidP="003626F3">
            <w:pPr>
              <w:spacing w:before="40" w:after="40"/>
              <w:jc w:val="center"/>
              <w:rPr>
                <w:szCs w:val="24"/>
              </w:rPr>
            </w:pPr>
            <w:r w:rsidRPr="00C656C9">
              <w:rPr>
                <w:szCs w:val="24"/>
              </w:rPr>
              <w:t>39</w:t>
            </w:r>
          </w:p>
        </w:tc>
      </w:tr>
      <w:tr w:rsidR="00E73FFE" w:rsidRPr="00C656C9" w:rsidTr="001F758E">
        <w:trPr>
          <w:cantSplit/>
        </w:trPr>
        <w:tc>
          <w:tcPr>
            <w:tcW w:w="0" w:type="auto"/>
            <w:tcBorders>
              <w:top w:val="nil"/>
              <w:left w:val="double" w:sz="4" w:space="0" w:color="auto"/>
              <w:bottom w:val="nil"/>
              <w:right w:val="nil"/>
            </w:tcBorders>
          </w:tcPr>
          <w:p w:rsidR="00E73FFE" w:rsidRPr="00C656C9" w:rsidRDefault="00E73FFE">
            <w:pPr>
              <w:spacing w:before="40" w:after="40"/>
              <w:rPr>
                <w:szCs w:val="24"/>
              </w:rPr>
            </w:pPr>
            <w:r w:rsidRPr="00C656C9">
              <w:rPr>
                <w:szCs w:val="24"/>
              </w:rPr>
              <w:t>CO</w:t>
            </w:r>
          </w:p>
        </w:tc>
        <w:tc>
          <w:tcPr>
            <w:tcW w:w="0" w:type="auto"/>
            <w:tcBorders>
              <w:top w:val="nil"/>
              <w:left w:val="single" w:sz="4" w:space="0" w:color="auto"/>
              <w:bottom w:val="nil"/>
              <w:right w:val="single" w:sz="4" w:space="0" w:color="auto"/>
            </w:tcBorders>
          </w:tcPr>
          <w:p w:rsidR="00E73FFE" w:rsidRPr="00C656C9" w:rsidRDefault="00E73FFE" w:rsidP="003626F3">
            <w:pPr>
              <w:spacing w:before="40" w:after="40"/>
              <w:jc w:val="center"/>
              <w:rPr>
                <w:szCs w:val="24"/>
              </w:rPr>
            </w:pPr>
            <w:r w:rsidRPr="00C656C9">
              <w:rPr>
                <w:szCs w:val="24"/>
              </w:rPr>
              <w:t>0</w:t>
            </w:r>
          </w:p>
        </w:tc>
        <w:tc>
          <w:tcPr>
            <w:tcW w:w="0" w:type="auto"/>
            <w:tcBorders>
              <w:top w:val="nil"/>
              <w:left w:val="nil"/>
              <w:bottom w:val="nil"/>
            </w:tcBorders>
          </w:tcPr>
          <w:p w:rsidR="00E73FFE" w:rsidRPr="00C656C9" w:rsidRDefault="00E73FFE" w:rsidP="003626F3">
            <w:pPr>
              <w:spacing w:before="40" w:after="40"/>
              <w:jc w:val="center"/>
              <w:rPr>
                <w:szCs w:val="24"/>
              </w:rPr>
            </w:pPr>
            <w:r w:rsidRPr="00C656C9">
              <w:rPr>
                <w:szCs w:val="24"/>
              </w:rPr>
              <w:t>0</w:t>
            </w:r>
          </w:p>
        </w:tc>
        <w:tc>
          <w:tcPr>
            <w:tcW w:w="0" w:type="auto"/>
            <w:tcBorders>
              <w:top w:val="nil"/>
              <w:bottom w:val="nil"/>
              <w:right w:val="single" w:sz="4" w:space="0" w:color="auto"/>
            </w:tcBorders>
          </w:tcPr>
          <w:p w:rsidR="00E73FFE" w:rsidRPr="00C656C9" w:rsidRDefault="00E73FFE" w:rsidP="003626F3">
            <w:pPr>
              <w:spacing w:before="40" w:after="40"/>
              <w:jc w:val="center"/>
              <w:rPr>
                <w:szCs w:val="24"/>
              </w:rPr>
            </w:pPr>
            <w:r w:rsidRPr="00C656C9">
              <w:rPr>
                <w:szCs w:val="24"/>
              </w:rPr>
              <w:t>0</w:t>
            </w:r>
          </w:p>
        </w:tc>
        <w:tc>
          <w:tcPr>
            <w:tcW w:w="0" w:type="auto"/>
            <w:tcBorders>
              <w:top w:val="nil"/>
              <w:left w:val="nil"/>
              <w:bottom w:val="nil"/>
              <w:right w:val="nil"/>
            </w:tcBorders>
          </w:tcPr>
          <w:p w:rsidR="00E73FFE" w:rsidRPr="00C656C9" w:rsidRDefault="00E73FFE" w:rsidP="003626F3">
            <w:pPr>
              <w:spacing w:before="40" w:after="40"/>
              <w:jc w:val="center"/>
              <w:rPr>
                <w:szCs w:val="24"/>
              </w:rPr>
            </w:pPr>
            <w:r w:rsidRPr="00C656C9">
              <w:rPr>
                <w:szCs w:val="24"/>
              </w:rPr>
              <w:t>NA</w:t>
            </w:r>
          </w:p>
        </w:tc>
        <w:tc>
          <w:tcPr>
            <w:tcW w:w="0" w:type="auto"/>
            <w:tcBorders>
              <w:top w:val="nil"/>
              <w:left w:val="single" w:sz="4" w:space="0" w:color="auto"/>
              <w:bottom w:val="nil"/>
              <w:right w:val="single" w:sz="4" w:space="0" w:color="auto"/>
            </w:tcBorders>
          </w:tcPr>
          <w:p w:rsidR="00E73FFE" w:rsidRPr="00C656C9" w:rsidRDefault="00E73FFE" w:rsidP="003626F3">
            <w:pPr>
              <w:spacing w:before="40" w:after="40"/>
              <w:jc w:val="center"/>
              <w:rPr>
                <w:szCs w:val="24"/>
              </w:rPr>
            </w:pPr>
            <w:r w:rsidRPr="00C656C9">
              <w:rPr>
                <w:szCs w:val="24"/>
              </w:rPr>
              <w:t>99</w:t>
            </w:r>
          </w:p>
        </w:tc>
        <w:tc>
          <w:tcPr>
            <w:tcW w:w="0" w:type="auto"/>
            <w:tcBorders>
              <w:top w:val="nil"/>
              <w:left w:val="nil"/>
              <w:bottom w:val="nil"/>
              <w:right w:val="double" w:sz="6" w:space="0" w:color="auto"/>
            </w:tcBorders>
          </w:tcPr>
          <w:p w:rsidR="00E73FFE" w:rsidRPr="00C656C9" w:rsidRDefault="00E73FFE" w:rsidP="003626F3">
            <w:pPr>
              <w:spacing w:before="40" w:after="40"/>
              <w:jc w:val="center"/>
              <w:rPr>
                <w:szCs w:val="24"/>
              </w:rPr>
            </w:pPr>
            <w:r w:rsidRPr="00C656C9">
              <w:rPr>
                <w:szCs w:val="24"/>
              </w:rPr>
              <w:t>99</w:t>
            </w:r>
          </w:p>
        </w:tc>
      </w:tr>
      <w:tr w:rsidR="00E73FFE" w:rsidRPr="00C656C9" w:rsidTr="001F758E">
        <w:trPr>
          <w:cantSplit/>
        </w:trPr>
        <w:tc>
          <w:tcPr>
            <w:tcW w:w="0" w:type="auto"/>
            <w:tcBorders>
              <w:top w:val="single" w:sz="4" w:space="0" w:color="auto"/>
              <w:left w:val="double" w:sz="4" w:space="0" w:color="auto"/>
              <w:bottom w:val="nil"/>
              <w:right w:val="nil"/>
            </w:tcBorders>
          </w:tcPr>
          <w:p w:rsidR="00E73FFE" w:rsidRPr="00C656C9" w:rsidRDefault="00E73FFE">
            <w:pPr>
              <w:spacing w:before="40" w:after="40"/>
              <w:rPr>
                <w:szCs w:val="24"/>
              </w:rPr>
            </w:pPr>
            <w:r w:rsidRPr="00C656C9">
              <w:rPr>
                <w:szCs w:val="24"/>
              </w:rPr>
              <w:t>VOC</w:t>
            </w:r>
          </w:p>
        </w:tc>
        <w:tc>
          <w:tcPr>
            <w:tcW w:w="0" w:type="auto"/>
            <w:tcBorders>
              <w:top w:val="single" w:sz="4" w:space="0" w:color="auto"/>
              <w:left w:val="single" w:sz="4" w:space="0" w:color="auto"/>
              <w:bottom w:val="nil"/>
              <w:right w:val="single" w:sz="4" w:space="0" w:color="auto"/>
            </w:tcBorders>
          </w:tcPr>
          <w:p w:rsidR="00E73FFE" w:rsidRPr="00C656C9" w:rsidRDefault="00E73FFE" w:rsidP="003626F3">
            <w:pPr>
              <w:spacing w:before="40" w:after="40"/>
              <w:jc w:val="center"/>
              <w:rPr>
                <w:szCs w:val="24"/>
              </w:rPr>
            </w:pPr>
            <w:r w:rsidRPr="00C656C9">
              <w:rPr>
                <w:szCs w:val="24"/>
              </w:rPr>
              <w:t>0</w:t>
            </w:r>
          </w:p>
        </w:tc>
        <w:tc>
          <w:tcPr>
            <w:tcW w:w="0" w:type="auto"/>
            <w:tcBorders>
              <w:top w:val="single" w:sz="4" w:space="0" w:color="auto"/>
              <w:left w:val="nil"/>
              <w:bottom w:val="nil"/>
            </w:tcBorders>
          </w:tcPr>
          <w:p w:rsidR="00E73FFE" w:rsidRPr="00C656C9" w:rsidRDefault="00E73FFE" w:rsidP="003626F3">
            <w:pPr>
              <w:spacing w:before="40" w:after="40"/>
              <w:jc w:val="center"/>
              <w:rPr>
                <w:szCs w:val="24"/>
              </w:rPr>
            </w:pPr>
            <w:r w:rsidRPr="00C656C9">
              <w:rPr>
                <w:szCs w:val="24"/>
              </w:rPr>
              <w:t>0</w:t>
            </w:r>
          </w:p>
        </w:tc>
        <w:tc>
          <w:tcPr>
            <w:tcW w:w="0" w:type="auto"/>
            <w:tcBorders>
              <w:top w:val="single" w:sz="4" w:space="0" w:color="auto"/>
              <w:bottom w:val="nil"/>
              <w:right w:val="single" w:sz="4" w:space="0" w:color="auto"/>
            </w:tcBorders>
          </w:tcPr>
          <w:p w:rsidR="00E73FFE" w:rsidRPr="00C656C9" w:rsidRDefault="00E73FFE" w:rsidP="003626F3">
            <w:pPr>
              <w:spacing w:before="40" w:after="40"/>
              <w:jc w:val="center"/>
              <w:rPr>
                <w:szCs w:val="24"/>
              </w:rPr>
            </w:pPr>
            <w:r w:rsidRPr="00C656C9">
              <w:rPr>
                <w:szCs w:val="24"/>
              </w:rPr>
              <w:t>0</w:t>
            </w:r>
          </w:p>
        </w:tc>
        <w:tc>
          <w:tcPr>
            <w:tcW w:w="0" w:type="auto"/>
            <w:tcBorders>
              <w:top w:val="single" w:sz="4" w:space="0" w:color="auto"/>
              <w:left w:val="nil"/>
              <w:bottom w:val="nil"/>
              <w:right w:val="nil"/>
            </w:tcBorders>
          </w:tcPr>
          <w:p w:rsidR="00E73FFE" w:rsidRPr="00C656C9" w:rsidRDefault="00E73FFE" w:rsidP="003626F3">
            <w:pPr>
              <w:spacing w:before="40" w:after="40"/>
              <w:jc w:val="center"/>
              <w:rPr>
                <w:szCs w:val="24"/>
              </w:rPr>
            </w:pPr>
            <w:r w:rsidRPr="00C656C9">
              <w:rPr>
                <w:szCs w:val="24"/>
              </w:rPr>
              <w:t>NA</w:t>
            </w:r>
          </w:p>
        </w:tc>
        <w:tc>
          <w:tcPr>
            <w:tcW w:w="0" w:type="auto"/>
            <w:tcBorders>
              <w:top w:val="single" w:sz="4" w:space="0" w:color="auto"/>
              <w:left w:val="single" w:sz="4" w:space="0" w:color="auto"/>
              <w:bottom w:val="nil"/>
              <w:right w:val="single" w:sz="4" w:space="0" w:color="auto"/>
            </w:tcBorders>
          </w:tcPr>
          <w:p w:rsidR="00E73FFE" w:rsidRPr="00C656C9" w:rsidRDefault="00E73FFE" w:rsidP="003626F3">
            <w:pPr>
              <w:spacing w:before="40" w:after="40"/>
              <w:jc w:val="center"/>
              <w:rPr>
                <w:szCs w:val="24"/>
              </w:rPr>
            </w:pPr>
            <w:r w:rsidRPr="00C656C9">
              <w:rPr>
                <w:szCs w:val="24"/>
              </w:rPr>
              <w:t>39</w:t>
            </w:r>
          </w:p>
        </w:tc>
        <w:tc>
          <w:tcPr>
            <w:tcW w:w="0" w:type="auto"/>
            <w:tcBorders>
              <w:top w:val="single" w:sz="4" w:space="0" w:color="auto"/>
              <w:left w:val="nil"/>
              <w:bottom w:val="nil"/>
              <w:right w:val="double" w:sz="6" w:space="0" w:color="auto"/>
            </w:tcBorders>
          </w:tcPr>
          <w:p w:rsidR="00E73FFE" w:rsidRPr="00C656C9" w:rsidRDefault="00E73FFE" w:rsidP="003626F3">
            <w:pPr>
              <w:spacing w:before="40" w:after="40"/>
              <w:jc w:val="center"/>
              <w:rPr>
                <w:szCs w:val="24"/>
              </w:rPr>
            </w:pPr>
            <w:r w:rsidRPr="00C656C9">
              <w:rPr>
                <w:szCs w:val="24"/>
              </w:rPr>
              <w:t>39</w:t>
            </w:r>
          </w:p>
        </w:tc>
      </w:tr>
      <w:tr w:rsidR="003626F3" w:rsidRPr="00C656C9" w:rsidTr="001F758E">
        <w:trPr>
          <w:cantSplit/>
        </w:trPr>
        <w:tc>
          <w:tcPr>
            <w:tcW w:w="0" w:type="auto"/>
            <w:tcBorders>
              <w:top w:val="single" w:sz="4" w:space="0" w:color="auto"/>
              <w:left w:val="double" w:sz="4" w:space="0" w:color="auto"/>
              <w:bottom w:val="nil"/>
              <w:right w:val="nil"/>
            </w:tcBorders>
          </w:tcPr>
          <w:p w:rsidR="003626F3" w:rsidRPr="00C656C9" w:rsidRDefault="003626F3">
            <w:pPr>
              <w:spacing w:before="40" w:after="40"/>
              <w:rPr>
                <w:szCs w:val="24"/>
              </w:rPr>
            </w:pPr>
            <w:r w:rsidRPr="00C656C9">
              <w:rPr>
                <w:szCs w:val="24"/>
              </w:rPr>
              <w:t>GHGs (CO2e)</w:t>
            </w:r>
          </w:p>
        </w:tc>
        <w:tc>
          <w:tcPr>
            <w:tcW w:w="0" w:type="auto"/>
            <w:tcBorders>
              <w:top w:val="single" w:sz="4" w:space="0" w:color="auto"/>
              <w:left w:val="single" w:sz="4" w:space="0" w:color="auto"/>
              <w:bottom w:val="nil"/>
              <w:right w:val="single" w:sz="4" w:space="0" w:color="auto"/>
            </w:tcBorders>
          </w:tcPr>
          <w:p w:rsidR="003626F3" w:rsidRPr="00C656C9" w:rsidRDefault="003626F3" w:rsidP="003626F3">
            <w:pPr>
              <w:spacing w:before="40" w:after="40"/>
              <w:jc w:val="center"/>
              <w:rPr>
                <w:szCs w:val="24"/>
              </w:rPr>
            </w:pPr>
            <w:r w:rsidRPr="00C656C9">
              <w:rPr>
                <w:szCs w:val="24"/>
              </w:rPr>
              <w:t>0</w:t>
            </w:r>
          </w:p>
        </w:tc>
        <w:tc>
          <w:tcPr>
            <w:tcW w:w="0" w:type="auto"/>
            <w:tcBorders>
              <w:top w:val="single" w:sz="4" w:space="0" w:color="auto"/>
              <w:left w:val="nil"/>
              <w:bottom w:val="nil"/>
            </w:tcBorders>
          </w:tcPr>
          <w:p w:rsidR="003626F3" w:rsidRPr="00C656C9" w:rsidRDefault="003626F3" w:rsidP="003626F3">
            <w:pPr>
              <w:spacing w:before="40" w:after="40"/>
              <w:jc w:val="center"/>
              <w:rPr>
                <w:szCs w:val="24"/>
              </w:rPr>
            </w:pPr>
            <w:r w:rsidRPr="00C656C9">
              <w:rPr>
                <w:szCs w:val="24"/>
              </w:rPr>
              <w:t>0</w:t>
            </w:r>
          </w:p>
        </w:tc>
        <w:tc>
          <w:tcPr>
            <w:tcW w:w="0" w:type="auto"/>
            <w:tcBorders>
              <w:top w:val="single" w:sz="4" w:space="0" w:color="auto"/>
              <w:bottom w:val="nil"/>
              <w:right w:val="single" w:sz="4" w:space="0" w:color="auto"/>
            </w:tcBorders>
          </w:tcPr>
          <w:p w:rsidR="003626F3" w:rsidRPr="00C656C9" w:rsidRDefault="003626F3" w:rsidP="003626F3">
            <w:pPr>
              <w:spacing w:before="40" w:after="40"/>
              <w:jc w:val="center"/>
              <w:rPr>
                <w:szCs w:val="24"/>
              </w:rPr>
            </w:pPr>
            <w:r w:rsidRPr="00C656C9">
              <w:rPr>
                <w:szCs w:val="24"/>
              </w:rPr>
              <w:t>0</w:t>
            </w:r>
          </w:p>
        </w:tc>
        <w:tc>
          <w:tcPr>
            <w:tcW w:w="0" w:type="auto"/>
            <w:tcBorders>
              <w:top w:val="single" w:sz="4" w:space="0" w:color="auto"/>
              <w:left w:val="nil"/>
              <w:bottom w:val="nil"/>
              <w:right w:val="nil"/>
            </w:tcBorders>
          </w:tcPr>
          <w:p w:rsidR="003626F3" w:rsidRPr="00C656C9" w:rsidRDefault="003626F3" w:rsidP="003626F3">
            <w:pPr>
              <w:spacing w:before="40" w:after="40"/>
              <w:jc w:val="center"/>
              <w:rPr>
                <w:szCs w:val="24"/>
              </w:rPr>
            </w:pPr>
            <w:r w:rsidRPr="00C656C9">
              <w:rPr>
                <w:szCs w:val="24"/>
              </w:rPr>
              <w:t>NA</w:t>
            </w:r>
          </w:p>
        </w:tc>
        <w:tc>
          <w:tcPr>
            <w:tcW w:w="0" w:type="auto"/>
            <w:tcBorders>
              <w:top w:val="single" w:sz="4" w:space="0" w:color="auto"/>
              <w:left w:val="single" w:sz="4" w:space="0" w:color="auto"/>
              <w:bottom w:val="nil"/>
              <w:right w:val="single" w:sz="4" w:space="0" w:color="auto"/>
            </w:tcBorders>
          </w:tcPr>
          <w:p w:rsidR="003626F3" w:rsidRPr="00C656C9" w:rsidRDefault="003626F3" w:rsidP="003626F3">
            <w:pPr>
              <w:spacing w:before="40" w:after="40"/>
              <w:jc w:val="center"/>
              <w:rPr>
                <w:szCs w:val="24"/>
              </w:rPr>
            </w:pPr>
            <w:r w:rsidRPr="00C656C9">
              <w:rPr>
                <w:szCs w:val="24"/>
              </w:rPr>
              <w:t>74,000</w:t>
            </w:r>
          </w:p>
        </w:tc>
        <w:tc>
          <w:tcPr>
            <w:tcW w:w="0" w:type="auto"/>
            <w:tcBorders>
              <w:top w:val="single" w:sz="4" w:space="0" w:color="auto"/>
              <w:left w:val="nil"/>
              <w:bottom w:val="nil"/>
              <w:right w:val="double" w:sz="6" w:space="0" w:color="auto"/>
            </w:tcBorders>
          </w:tcPr>
          <w:p w:rsidR="003626F3" w:rsidRPr="00C656C9" w:rsidRDefault="003626F3" w:rsidP="003626F3">
            <w:pPr>
              <w:spacing w:before="40" w:after="40"/>
              <w:jc w:val="center"/>
              <w:rPr>
                <w:szCs w:val="24"/>
              </w:rPr>
            </w:pPr>
            <w:r w:rsidRPr="00C656C9">
              <w:rPr>
                <w:szCs w:val="24"/>
              </w:rPr>
              <w:t>74,000</w:t>
            </w:r>
          </w:p>
        </w:tc>
      </w:tr>
      <w:tr w:rsidR="00E73FFE" w:rsidRPr="00C656C9" w:rsidTr="001F758E">
        <w:trPr>
          <w:cantSplit/>
        </w:trPr>
        <w:tc>
          <w:tcPr>
            <w:tcW w:w="0" w:type="auto"/>
            <w:tcBorders>
              <w:top w:val="single" w:sz="4" w:space="0" w:color="auto"/>
              <w:left w:val="double" w:sz="4" w:space="0" w:color="auto"/>
              <w:bottom w:val="nil"/>
              <w:right w:val="nil"/>
            </w:tcBorders>
          </w:tcPr>
          <w:p w:rsidR="00E73FFE" w:rsidRPr="00C656C9" w:rsidRDefault="00E73FFE">
            <w:pPr>
              <w:spacing w:before="40" w:after="40"/>
              <w:rPr>
                <w:szCs w:val="24"/>
              </w:rPr>
            </w:pPr>
            <w:r w:rsidRPr="00C656C9">
              <w:rPr>
                <w:szCs w:val="24"/>
              </w:rPr>
              <w:t>Single HAP</w:t>
            </w:r>
          </w:p>
        </w:tc>
        <w:tc>
          <w:tcPr>
            <w:tcW w:w="0" w:type="auto"/>
            <w:tcBorders>
              <w:top w:val="single" w:sz="4" w:space="0" w:color="auto"/>
              <w:left w:val="single" w:sz="4" w:space="0" w:color="auto"/>
              <w:bottom w:val="nil"/>
              <w:right w:val="single" w:sz="4" w:space="0" w:color="auto"/>
            </w:tcBorders>
          </w:tcPr>
          <w:p w:rsidR="00E73FFE" w:rsidRPr="00C656C9" w:rsidRDefault="00E73FFE" w:rsidP="003626F3">
            <w:pPr>
              <w:spacing w:before="40" w:after="40"/>
              <w:jc w:val="center"/>
              <w:rPr>
                <w:szCs w:val="24"/>
              </w:rPr>
            </w:pPr>
            <w:r w:rsidRPr="00C656C9">
              <w:rPr>
                <w:szCs w:val="24"/>
              </w:rPr>
              <w:t>0</w:t>
            </w:r>
          </w:p>
        </w:tc>
        <w:tc>
          <w:tcPr>
            <w:tcW w:w="0" w:type="auto"/>
            <w:tcBorders>
              <w:top w:val="single" w:sz="4" w:space="0" w:color="auto"/>
              <w:left w:val="nil"/>
              <w:bottom w:val="nil"/>
            </w:tcBorders>
          </w:tcPr>
          <w:p w:rsidR="00E73FFE" w:rsidRPr="00C656C9" w:rsidRDefault="00E73FFE" w:rsidP="003626F3">
            <w:pPr>
              <w:spacing w:before="40" w:after="40"/>
              <w:jc w:val="center"/>
              <w:rPr>
                <w:szCs w:val="24"/>
              </w:rPr>
            </w:pPr>
            <w:r w:rsidRPr="00C656C9">
              <w:rPr>
                <w:szCs w:val="24"/>
              </w:rPr>
              <w:t>0</w:t>
            </w:r>
          </w:p>
        </w:tc>
        <w:tc>
          <w:tcPr>
            <w:tcW w:w="0" w:type="auto"/>
            <w:tcBorders>
              <w:top w:val="single" w:sz="4" w:space="0" w:color="auto"/>
              <w:bottom w:val="nil"/>
              <w:right w:val="single" w:sz="4" w:space="0" w:color="auto"/>
            </w:tcBorders>
          </w:tcPr>
          <w:p w:rsidR="00E73FFE" w:rsidRPr="00C656C9" w:rsidRDefault="00E73FFE" w:rsidP="003626F3">
            <w:pPr>
              <w:spacing w:before="40" w:after="40"/>
              <w:jc w:val="center"/>
              <w:rPr>
                <w:szCs w:val="24"/>
              </w:rPr>
            </w:pPr>
            <w:r w:rsidRPr="00C656C9">
              <w:rPr>
                <w:szCs w:val="24"/>
              </w:rPr>
              <w:t>0</w:t>
            </w:r>
          </w:p>
        </w:tc>
        <w:tc>
          <w:tcPr>
            <w:tcW w:w="0" w:type="auto"/>
            <w:tcBorders>
              <w:top w:val="single" w:sz="4" w:space="0" w:color="auto"/>
              <w:left w:val="nil"/>
              <w:bottom w:val="nil"/>
              <w:right w:val="nil"/>
            </w:tcBorders>
          </w:tcPr>
          <w:p w:rsidR="00E73FFE" w:rsidRPr="00C656C9" w:rsidRDefault="00E73FFE" w:rsidP="003626F3">
            <w:pPr>
              <w:spacing w:before="40" w:after="40"/>
              <w:jc w:val="center"/>
              <w:rPr>
                <w:szCs w:val="24"/>
              </w:rPr>
            </w:pPr>
            <w:r w:rsidRPr="00C656C9">
              <w:rPr>
                <w:szCs w:val="24"/>
              </w:rPr>
              <w:t>NA</w:t>
            </w:r>
          </w:p>
        </w:tc>
        <w:tc>
          <w:tcPr>
            <w:tcW w:w="0" w:type="auto"/>
            <w:tcBorders>
              <w:top w:val="single" w:sz="4" w:space="0" w:color="auto"/>
              <w:left w:val="single" w:sz="4" w:space="0" w:color="auto"/>
              <w:bottom w:val="nil"/>
              <w:right w:val="single" w:sz="4" w:space="0" w:color="auto"/>
            </w:tcBorders>
          </w:tcPr>
          <w:p w:rsidR="00E73FFE" w:rsidRPr="00C656C9" w:rsidRDefault="00E73FFE" w:rsidP="003626F3">
            <w:pPr>
              <w:spacing w:before="40" w:after="40"/>
              <w:jc w:val="center"/>
              <w:rPr>
                <w:szCs w:val="24"/>
              </w:rPr>
            </w:pPr>
            <w:r w:rsidRPr="00C656C9">
              <w:rPr>
                <w:szCs w:val="24"/>
              </w:rPr>
              <w:t>9</w:t>
            </w:r>
          </w:p>
        </w:tc>
        <w:tc>
          <w:tcPr>
            <w:tcW w:w="0" w:type="auto"/>
            <w:tcBorders>
              <w:top w:val="single" w:sz="4" w:space="0" w:color="auto"/>
              <w:left w:val="nil"/>
              <w:bottom w:val="nil"/>
              <w:right w:val="double" w:sz="6" w:space="0" w:color="auto"/>
            </w:tcBorders>
          </w:tcPr>
          <w:p w:rsidR="00E73FFE" w:rsidRPr="00C656C9" w:rsidRDefault="00E73FFE" w:rsidP="003626F3">
            <w:pPr>
              <w:spacing w:before="40" w:after="40"/>
              <w:jc w:val="center"/>
              <w:rPr>
                <w:szCs w:val="24"/>
              </w:rPr>
            </w:pPr>
            <w:r w:rsidRPr="00C656C9">
              <w:rPr>
                <w:szCs w:val="24"/>
              </w:rPr>
              <w:t>9</w:t>
            </w:r>
          </w:p>
        </w:tc>
      </w:tr>
      <w:tr w:rsidR="00E73FFE" w:rsidRPr="00C656C9" w:rsidTr="001F758E">
        <w:trPr>
          <w:cantSplit/>
        </w:trPr>
        <w:tc>
          <w:tcPr>
            <w:tcW w:w="0" w:type="auto"/>
            <w:tcBorders>
              <w:top w:val="single" w:sz="4" w:space="0" w:color="auto"/>
              <w:left w:val="double" w:sz="4" w:space="0" w:color="auto"/>
              <w:bottom w:val="double" w:sz="6" w:space="0" w:color="auto"/>
              <w:right w:val="nil"/>
            </w:tcBorders>
          </w:tcPr>
          <w:p w:rsidR="00E73FFE" w:rsidRPr="00C656C9" w:rsidRDefault="00E73FFE">
            <w:pPr>
              <w:spacing w:before="40" w:after="40"/>
              <w:rPr>
                <w:szCs w:val="24"/>
              </w:rPr>
            </w:pPr>
            <w:r w:rsidRPr="00C656C9">
              <w:rPr>
                <w:szCs w:val="24"/>
              </w:rPr>
              <w:t>Combined HAPs</w:t>
            </w:r>
          </w:p>
        </w:tc>
        <w:tc>
          <w:tcPr>
            <w:tcW w:w="0" w:type="auto"/>
            <w:tcBorders>
              <w:top w:val="single" w:sz="4" w:space="0" w:color="auto"/>
              <w:left w:val="single" w:sz="4" w:space="0" w:color="auto"/>
              <w:bottom w:val="double" w:sz="6" w:space="0" w:color="auto"/>
              <w:right w:val="single" w:sz="4" w:space="0" w:color="auto"/>
            </w:tcBorders>
          </w:tcPr>
          <w:p w:rsidR="00E73FFE" w:rsidRPr="00C656C9" w:rsidRDefault="00E73FFE" w:rsidP="003626F3">
            <w:pPr>
              <w:spacing w:before="40" w:after="40"/>
              <w:jc w:val="center"/>
              <w:rPr>
                <w:szCs w:val="24"/>
              </w:rPr>
            </w:pPr>
            <w:r w:rsidRPr="00C656C9">
              <w:rPr>
                <w:szCs w:val="24"/>
              </w:rPr>
              <w:t>0</w:t>
            </w:r>
          </w:p>
        </w:tc>
        <w:tc>
          <w:tcPr>
            <w:tcW w:w="0" w:type="auto"/>
            <w:tcBorders>
              <w:top w:val="single" w:sz="4" w:space="0" w:color="auto"/>
              <w:left w:val="nil"/>
              <w:bottom w:val="double" w:sz="6" w:space="0" w:color="auto"/>
            </w:tcBorders>
          </w:tcPr>
          <w:p w:rsidR="00E73FFE" w:rsidRPr="00C656C9" w:rsidRDefault="00E73FFE" w:rsidP="003626F3">
            <w:pPr>
              <w:spacing w:before="40" w:after="40"/>
              <w:jc w:val="center"/>
              <w:rPr>
                <w:szCs w:val="24"/>
              </w:rPr>
            </w:pPr>
            <w:r w:rsidRPr="00C656C9">
              <w:rPr>
                <w:szCs w:val="24"/>
              </w:rPr>
              <w:t>0</w:t>
            </w:r>
          </w:p>
        </w:tc>
        <w:tc>
          <w:tcPr>
            <w:tcW w:w="0" w:type="auto"/>
            <w:tcBorders>
              <w:top w:val="single" w:sz="4" w:space="0" w:color="auto"/>
              <w:bottom w:val="double" w:sz="6" w:space="0" w:color="auto"/>
              <w:right w:val="single" w:sz="4" w:space="0" w:color="auto"/>
            </w:tcBorders>
          </w:tcPr>
          <w:p w:rsidR="00E73FFE" w:rsidRPr="00C656C9" w:rsidRDefault="00E73FFE" w:rsidP="003626F3">
            <w:pPr>
              <w:spacing w:before="40" w:after="40"/>
              <w:jc w:val="center"/>
              <w:rPr>
                <w:szCs w:val="24"/>
              </w:rPr>
            </w:pPr>
            <w:r w:rsidRPr="00C656C9">
              <w:rPr>
                <w:szCs w:val="24"/>
              </w:rPr>
              <w:t>0</w:t>
            </w:r>
          </w:p>
        </w:tc>
        <w:tc>
          <w:tcPr>
            <w:tcW w:w="0" w:type="auto"/>
            <w:tcBorders>
              <w:top w:val="single" w:sz="4" w:space="0" w:color="auto"/>
              <w:left w:val="nil"/>
              <w:bottom w:val="double" w:sz="6" w:space="0" w:color="auto"/>
              <w:right w:val="nil"/>
            </w:tcBorders>
          </w:tcPr>
          <w:p w:rsidR="00E73FFE" w:rsidRPr="00C656C9" w:rsidRDefault="00E73FFE" w:rsidP="003626F3">
            <w:pPr>
              <w:spacing w:before="40" w:after="40"/>
              <w:jc w:val="center"/>
              <w:rPr>
                <w:szCs w:val="24"/>
              </w:rPr>
            </w:pPr>
            <w:r w:rsidRPr="00C656C9">
              <w:rPr>
                <w:szCs w:val="24"/>
              </w:rPr>
              <w:t>NA</w:t>
            </w:r>
          </w:p>
        </w:tc>
        <w:tc>
          <w:tcPr>
            <w:tcW w:w="0" w:type="auto"/>
            <w:tcBorders>
              <w:top w:val="single" w:sz="4" w:space="0" w:color="auto"/>
              <w:left w:val="single" w:sz="4" w:space="0" w:color="auto"/>
              <w:bottom w:val="double" w:sz="6" w:space="0" w:color="auto"/>
              <w:right w:val="single" w:sz="4" w:space="0" w:color="auto"/>
            </w:tcBorders>
          </w:tcPr>
          <w:p w:rsidR="00E73FFE" w:rsidRPr="00C656C9" w:rsidRDefault="00E73FFE" w:rsidP="003626F3">
            <w:pPr>
              <w:spacing w:before="40" w:after="40"/>
              <w:jc w:val="center"/>
              <w:rPr>
                <w:szCs w:val="24"/>
              </w:rPr>
            </w:pPr>
            <w:r w:rsidRPr="00C656C9">
              <w:rPr>
                <w:szCs w:val="24"/>
              </w:rPr>
              <w:t>24</w:t>
            </w:r>
          </w:p>
        </w:tc>
        <w:tc>
          <w:tcPr>
            <w:tcW w:w="0" w:type="auto"/>
            <w:tcBorders>
              <w:top w:val="single" w:sz="4" w:space="0" w:color="auto"/>
              <w:left w:val="nil"/>
              <w:bottom w:val="double" w:sz="6" w:space="0" w:color="auto"/>
              <w:right w:val="double" w:sz="6" w:space="0" w:color="auto"/>
            </w:tcBorders>
          </w:tcPr>
          <w:p w:rsidR="00E73FFE" w:rsidRPr="00C656C9" w:rsidRDefault="00E73FFE" w:rsidP="003626F3">
            <w:pPr>
              <w:spacing w:before="40" w:after="40"/>
              <w:jc w:val="center"/>
              <w:rPr>
                <w:szCs w:val="24"/>
              </w:rPr>
            </w:pPr>
            <w:r w:rsidRPr="00C656C9">
              <w:rPr>
                <w:szCs w:val="24"/>
              </w:rPr>
              <w:t>24</w:t>
            </w:r>
          </w:p>
        </w:tc>
      </w:tr>
    </w:tbl>
    <w:p w:rsidR="00856C45" w:rsidRPr="00C656C9" w:rsidRDefault="00856C45">
      <w:pPr>
        <w:rPr>
          <w:caps/>
          <w:u w:val="single"/>
        </w:rPr>
      </w:pPr>
    </w:p>
    <w:p w:rsidR="00856C45" w:rsidRPr="00C656C9" w:rsidRDefault="00041287">
      <w:pPr>
        <w:pStyle w:val="Heading2"/>
      </w:pPr>
      <w:r w:rsidRPr="00C656C9">
        <w:t>The proposed PSELs for all pollutants are equal to the Generic PSEL in accordance with OAR 340-216-0064(4</w:t>
      </w:r>
      <w:proofErr w:type="gramStart"/>
      <w:r w:rsidRPr="00C656C9">
        <w:t>)(</w:t>
      </w:r>
      <w:proofErr w:type="gramEnd"/>
      <w:r w:rsidRPr="00C656C9">
        <w:t>b) and the netting basis is zero in accord</w:t>
      </w:r>
      <w:r w:rsidR="005B12A2" w:rsidRPr="00C656C9">
        <w:t>ance with OAR 340-222-0040(2).</w:t>
      </w:r>
    </w:p>
    <w:p w:rsidR="00F25DFC" w:rsidRPr="00C656C9" w:rsidRDefault="006472E9" w:rsidP="00F25DFC">
      <w:pPr>
        <w:pStyle w:val="Heading2"/>
      </w:pPr>
      <w:r w:rsidRPr="00C656C9">
        <w:t>Particulate matter generated by the permittee’s process is a residual product of the combustion process and is presumed to be PM</w:t>
      </w:r>
      <w:r w:rsidRPr="00C656C9">
        <w:rPr>
          <w:vertAlign w:val="subscript"/>
        </w:rPr>
        <w:t>10</w:t>
      </w:r>
      <w:r w:rsidRPr="00C656C9">
        <w:t xml:space="preserve"> or smaller.</w:t>
      </w:r>
      <w:r w:rsidR="00F25DFC" w:rsidRPr="00C656C9">
        <w:t xml:space="preserve">  </w:t>
      </w:r>
      <w:r w:rsidRPr="00C656C9">
        <w:t>The combined PM</w:t>
      </w:r>
      <w:r w:rsidRPr="00C656C9">
        <w:rPr>
          <w:vertAlign w:val="subscript"/>
        </w:rPr>
        <w:t>10</w:t>
      </w:r>
      <w:r w:rsidRPr="00C656C9">
        <w:t>/PM</w:t>
      </w:r>
      <w:r w:rsidRPr="00C656C9">
        <w:rPr>
          <w:vertAlign w:val="subscript"/>
        </w:rPr>
        <w:t>2.5</w:t>
      </w:r>
      <w:r w:rsidRPr="00C656C9">
        <w:t xml:space="preserve"> PSEL has been set at the PM</w:t>
      </w:r>
      <w:r w:rsidRPr="00C656C9">
        <w:rPr>
          <w:vertAlign w:val="subscript"/>
        </w:rPr>
        <w:t>2.5</w:t>
      </w:r>
      <w:r w:rsidRPr="00C656C9">
        <w:t xml:space="preserve"> </w:t>
      </w:r>
      <w:r w:rsidR="009A3642" w:rsidRPr="00C656C9">
        <w:t>G</w:t>
      </w:r>
      <w:r w:rsidRPr="00C656C9">
        <w:t>eneric PSEL</w:t>
      </w:r>
      <w:r w:rsidR="009A3642" w:rsidRPr="00C656C9">
        <w:t>.  The PM</w:t>
      </w:r>
      <w:r w:rsidR="009A3642" w:rsidRPr="00C656C9">
        <w:rPr>
          <w:vertAlign w:val="subscript"/>
        </w:rPr>
        <w:t>10</w:t>
      </w:r>
      <w:r w:rsidR="009A3642" w:rsidRPr="00C656C9">
        <w:t>/PM</w:t>
      </w:r>
      <w:r w:rsidR="009A3642" w:rsidRPr="00C656C9">
        <w:rPr>
          <w:vertAlign w:val="subscript"/>
        </w:rPr>
        <w:t>2.5</w:t>
      </w:r>
      <w:r w:rsidR="009A3642" w:rsidRPr="00C656C9">
        <w:t xml:space="preserve"> emission factor in the permit is based on EPA’s AP-42 factor for natural gas combustion (PRU burners) and a source test performed on a Bekaert pollution control device at the Agilyx Corporation</w:t>
      </w:r>
      <w:r w:rsidR="004B66E6" w:rsidRPr="00C656C9">
        <w:t xml:space="preserve"> on 07/15/2011.</w:t>
      </w:r>
      <w:r w:rsidR="0053277F">
        <w:t xml:space="preserve">  All PM is presumed to be PM</w:t>
      </w:r>
      <w:r w:rsidR="0053277F" w:rsidRPr="0053277F">
        <w:rPr>
          <w:vertAlign w:val="subscript"/>
        </w:rPr>
        <w:t>2.5</w:t>
      </w:r>
      <w:r w:rsidR="0053277F">
        <w:t xml:space="preserve"> unless the permittee performs testing that distinguishes particle size distributions.</w:t>
      </w:r>
    </w:p>
    <w:p w:rsidR="006D2FAC" w:rsidRPr="00C656C9" w:rsidRDefault="00673F09">
      <w:pPr>
        <w:pStyle w:val="Heading2"/>
      </w:pPr>
      <w:r w:rsidRPr="00C656C9">
        <w:t xml:space="preserve">The facility’s </w:t>
      </w:r>
      <w:r w:rsidR="0002358C" w:rsidRPr="00C656C9">
        <w:t xml:space="preserve">potential to emit </w:t>
      </w:r>
      <w:r w:rsidR="003F56F2" w:rsidRPr="00C656C9">
        <w:t xml:space="preserve">(PTE) </w:t>
      </w:r>
      <w:r w:rsidR="0002358C" w:rsidRPr="00C656C9">
        <w:t>criteria pollutants</w:t>
      </w:r>
      <w:r w:rsidRPr="00C656C9">
        <w:t xml:space="preserve"> based on </w:t>
      </w:r>
      <w:r w:rsidR="009D3D12" w:rsidRPr="00C656C9">
        <w:t xml:space="preserve">the </w:t>
      </w:r>
      <w:r w:rsidRPr="00C656C9">
        <w:t>design capacity</w:t>
      </w:r>
      <w:r w:rsidR="00A34508" w:rsidRPr="00C656C9">
        <w:t xml:space="preserve"> of</w:t>
      </w:r>
      <w:r w:rsidR="0002358C" w:rsidRPr="00C656C9">
        <w:t xml:space="preserve"> the facility (24/7/365 days/yr;</w:t>
      </w:r>
      <w:r w:rsidR="009D3D12" w:rsidRPr="00C656C9">
        <w:t xml:space="preserve"> 30,835,200</w:t>
      </w:r>
      <w:r w:rsidR="00E20259" w:rsidRPr="00C656C9">
        <w:t xml:space="preserve"> lbs of plastic feedstock</w:t>
      </w:r>
      <w:r w:rsidR="009D3D12" w:rsidRPr="00C656C9">
        <w:t xml:space="preserve"> processed</w:t>
      </w:r>
      <w:r w:rsidR="00E20259" w:rsidRPr="00C656C9">
        <w:t xml:space="preserve">, 89,702 </w:t>
      </w:r>
      <w:r w:rsidR="009D3D12" w:rsidRPr="00C656C9">
        <w:t>MMBtu natural gas used/yr</w:t>
      </w:r>
      <w:r w:rsidR="0002358C" w:rsidRPr="00C656C9">
        <w:t xml:space="preserve"> </w:t>
      </w:r>
      <w:r w:rsidR="009D3D12" w:rsidRPr="00C656C9">
        <w:t>[</w:t>
      </w:r>
      <w:r w:rsidR="00FA6006" w:rsidRPr="00C656C9">
        <w:t>5 hour PRU cycle time @ 640,000Btu/hr for total 28,032 cycles</w:t>
      </w:r>
      <w:r w:rsidR="009D3D12" w:rsidRPr="00C656C9">
        <w:t>]</w:t>
      </w:r>
      <w:r w:rsidRPr="00C656C9">
        <w:t>) is</w:t>
      </w:r>
      <w:r w:rsidR="006D2FAC" w:rsidRPr="00C656C9">
        <w:t>:</w:t>
      </w:r>
      <w:r w:rsidR="00E20259" w:rsidRPr="00C656C9">
        <w:t xml:space="preserve"> </w:t>
      </w:r>
      <w:r w:rsidR="00E61190" w:rsidRPr="00C656C9">
        <w:t>6</w:t>
      </w:r>
      <w:r w:rsidR="00E20259" w:rsidRPr="00C656C9">
        <w:t xml:space="preserve"> tons </w:t>
      </w:r>
      <w:r w:rsidR="00E20259" w:rsidRPr="00C656C9">
        <w:rPr>
          <w:szCs w:val="24"/>
        </w:rPr>
        <w:t>PM</w:t>
      </w:r>
      <w:r w:rsidR="00E20259" w:rsidRPr="00C656C9">
        <w:rPr>
          <w:szCs w:val="24"/>
          <w:vertAlign w:val="subscript"/>
        </w:rPr>
        <w:t>10</w:t>
      </w:r>
      <w:r w:rsidR="00E20259" w:rsidRPr="00C656C9">
        <w:rPr>
          <w:szCs w:val="24"/>
        </w:rPr>
        <w:t>/PM</w:t>
      </w:r>
      <w:r w:rsidR="00E20259" w:rsidRPr="00C656C9">
        <w:rPr>
          <w:szCs w:val="24"/>
          <w:vertAlign w:val="subscript"/>
        </w:rPr>
        <w:t>2.5</w:t>
      </w:r>
      <w:r w:rsidR="00E20259" w:rsidRPr="00C656C9">
        <w:t xml:space="preserve">/yr, </w:t>
      </w:r>
      <w:r w:rsidR="005C208D" w:rsidRPr="00C656C9">
        <w:t>5</w:t>
      </w:r>
      <w:r w:rsidR="00E20259" w:rsidRPr="00C656C9">
        <w:t xml:space="preserve"> tons </w:t>
      </w:r>
      <w:r w:rsidR="00E20259" w:rsidRPr="00C656C9">
        <w:rPr>
          <w:szCs w:val="24"/>
        </w:rPr>
        <w:t>SO</w:t>
      </w:r>
      <w:r w:rsidR="00E20259" w:rsidRPr="00C656C9">
        <w:rPr>
          <w:szCs w:val="24"/>
          <w:vertAlign w:val="subscript"/>
        </w:rPr>
        <w:t>2</w:t>
      </w:r>
      <w:r w:rsidR="00E20259" w:rsidRPr="00C656C9">
        <w:t>/yr,</w:t>
      </w:r>
      <w:r w:rsidRPr="00C656C9">
        <w:t xml:space="preserve"> </w:t>
      </w:r>
      <w:r w:rsidR="00E61190" w:rsidRPr="00C656C9">
        <w:t>2</w:t>
      </w:r>
      <w:r w:rsidR="005C208D" w:rsidRPr="00C656C9">
        <w:t>8</w:t>
      </w:r>
      <w:r w:rsidRPr="00C656C9">
        <w:t xml:space="preserve"> tons NO</w:t>
      </w:r>
      <w:r w:rsidRPr="00C656C9">
        <w:rPr>
          <w:vertAlign w:val="subscript"/>
        </w:rPr>
        <w:t>X</w:t>
      </w:r>
      <w:r w:rsidRPr="00C656C9">
        <w:t>/yr</w:t>
      </w:r>
      <w:r w:rsidR="00E20259" w:rsidRPr="00C656C9">
        <w:t>,</w:t>
      </w:r>
      <w:r w:rsidR="00A34508" w:rsidRPr="00C656C9">
        <w:t xml:space="preserve"> </w:t>
      </w:r>
      <w:r w:rsidR="00E61190" w:rsidRPr="00C656C9">
        <w:t>5</w:t>
      </w:r>
      <w:r w:rsidRPr="00C656C9">
        <w:t xml:space="preserve"> tons CO /yr</w:t>
      </w:r>
      <w:r w:rsidR="00E20259" w:rsidRPr="00C656C9">
        <w:t xml:space="preserve"> and</w:t>
      </w:r>
      <w:r w:rsidR="00E61190" w:rsidRPr="00C656C9">
        <w:t xml:space="preserve"> </w:t>
      </w:r>
      <w:r w:rsidR="005C208D" w:rsidRPr="00C656C9">
        <w:t>1</w:t>
      </w:r>
      <w:r w:rsidR="00E20259" w:rsidRPr="00C656C9">
        <w:t xml:space="preserve"> ton VOC /yr</w:t>
      </w:r>
      <w:r w:rsidR="00E61190" w:rsidRPr="00C656C9">
        <w:t xml:space="preserve"> (a</w:t>
      </w:r>
      <w:r w:rsidR="00A34508" w:rsidRPr="00C656C9">
        <w:t xml:space="preserve"> source test of a</w:t>
      </w:r>
      <w:r w:rsidR="006D2FAC" w:rsidRPr="00C656C9">
        <w:t xml:space="preserve"> similar</w:t>
      </w:r>
      <w:r w:rsidR="00A34508" w:rsidRPr="00C656C9">
        <w:t xml:space="preserve"> Bekaert thermal oxidizer </w:t>
      </w:r>
      <w:r w:rsidR="001B28B4" w:rsidRPr="00C656C9">
        <w:t>performed</w:t>
      </w:r>
      <w:r w:rsidR="003F56F2" w:rsidRPr="00C656C9">
        <w:t xml:space="preserve"> 01/11/2011</w:t>
      </w:r>
      <w:r w:rsidR="001B28B4" w:rsidRPr="00C656C9">
        <w:t xml:space="preserve"> </w:t>
      </w:r>
      <w:r w:rsidR="00A34508" w:rsidRPr="00C656C9">
        <w:t>demonstrated the unit to have a control efficiency of &gt;99%</w:t>
      </w:r>
      <w:r w:rsidR="00E61190" w:rsidRPr="00C656C9">
        <w:t>)</w:t>
      </w:r>
      <w:r w:rsidR="00A34508" w:rsidRPr="00C656C9">
        <w:t>.</w:t>
      </w:r>
    </w:p>
    <w:p w:rsidR="006D2FAC" w:rsidRPr="00C656C9" w:rsidRDefault="006D2FAC" w:rsidP="006D2FAC">
      <w:pPr>
        <w:pStyle w:val="Heading2"/>
        <w:numPr>
          <w:ilvl w:val="0"/>
          <w:numId w:val="0"/>
        </w:numPr>
        <w:ind w:left="1440"/>
      </w:pPr>
    </w:p>
    <w:p w:rsidR="005C208D" w:rsidRPr="00C656C9" w:rsidRDefault="006D2FAC" w:rsidP="006D2FAC">
      <w:pPr>
        <w:pStyle w:val="Heading2"/>
        <w:numPr>
          <w:ilvl w:val="0"/>
          <w:numId w:val="0"/>
        </w:numPr>
        <w:ind w:left="1440"/>
      </w:pPr>
      <w:r w:rsidRPr="00C656C9">
        <w:t xml:space="preserve">The facility’s maximum actual emissions of criteria pollutants based on the </w:t>
      </w:r>
      <w:r w:rsidR="00D93453" w:rsidRPr="00C656C9">
        <w:t xml:space="preserve">permittee’s </w:t>
      </w:r>
      <w:r w:rsidRPr="00C656C9">
        <w:t>intended operating schedule and the design capacity of the facility (</w:t>
      </w:r>
      <w:r w:rsidR="006B7CE8" w:rsidRPr="00C656C9">
        <w:t xml:space="preserve">24 hrs x 7 days/wk x 48 weeks/yr [8064 hours]; 28,449,000 pounds of plastic feedstock treated creating approximately 21,868,000 lbs finished product </w:t>
      </w:r>
      <w:r w:rsidR="005C208D" w:rsidRPr="00C656C9">
        <w:t>[</w:t>
      </w:r>
      <w:r w:rsidR="006B7CE8" w:rsidRPr="00C656C9">
        <w:t>~2,955,000 gallons</w:t>
      </w:r>
      <w:r w:rsidR="00D93453" w:rsidRPr="00C656C9">
        <w:t xml:space="preserve"> of oil</w:t>
      </w:r>
      <w:r w:rsidR="005C208D" w:rsidRPr="00C656C9">
        <w:t xml:space="preserve">]) is estimated to </w:t>
      </w:r>
      <w:r w:rsidR="00FD59A2" w:rsidRPr="00C656C9">
        <w:t>be</w:t>
      </w:r>
      <w:r w:rsidR="005C208D" w:rsidRPr="00C656C9">
        <w:t xml:space="preserve"> approximately:</w:t>
      </w:r>
      <w:r w:rsidR="00673F09" w:rsidRPr="00C656C9">
        <w:t xml:space="preserve"> </w:t>
      </w:r>
      <w:r w:rsidR="00752989" w:rsidRPr="00C656C9">
        <w:t>5</w:t>
      </w:r>
      <w:r w:rsidR="005C208D" w:rsidRPr="00C656C9">
        <w:t xml:space="preserve"> tons PM</w:t>
      </w:r>
      <w:r w:rsidR="005C208D" w:rsidRPr="00C656C9">
        <w:rPr>
          <w:vertAlign w:val="subscript"/>
        </w:rPr>
        <w:t>10</w:t>
      </w:r>
      <w:r w:rsidR="005C208D" w:rsidRPr="00C656C9">
        <w:t>/PM</w:t>
      </w:r>
      <w:r w:rsidR="005C208D" w:rsidRPr="00C656C9">
        <w:rPr>
          <w:vertAlign w:val="subscript"/>
        </w:rPr>
        <w:t>2.5</w:t>
      </w:r>
      <w:r w:rsidR="005C208D" w:rsidRPr="00C656C9">
        <w:t xml:space="preserve">/yr, </w:t>
      </w:r>
      <w:r w:rsidR="00752989" w:rsidRPr="00C656C9">
        <w:t>4</w:t>
      </w:r>
      <w:r w:rsidR="005C208D" w:rsidRPr="00C656C9">
        <w:t xml:space="preserve"> tons SO</w:t>
      </w:r>
      <w:r w:rsidR="005C208D" w:rsidRPr="00C656C9">
        <w:rPr>
          <w:vertAlign w:val="subscript"/>
        </w:rPr>
        <w:t>2</w:t>
      </w:r>
      <w:r w:rsidR="005C208D" w:rsidRPr="00C656C9">
        <w:t>/yr, 2</w:t>
      </w:r>
      <w:r w:rsidR="00752989" w:rsidRPr="00C656C9">
        <w:t>5</w:t>
      </w:r>
      <w:r w:rsidR="005C208D" w:rsidRPr="00C656C9">
        <w:t xml:space="preserve"> tons NO</w:t>
      </w:r>
      <w:r w:rsidR="005C208D" w:rsidRPr="00C656C9">
        <w:rPr>
          <w:vertAlign w:val="subscript"/>
        </w:rPr>
        <w:t>X</w:t>
      </w:r>
      <w:r w:rsidR="005C208D" w:rsidRPr="00C656C9">
        <w:t xml:space="preserve">/yr, </w:t>
      </w:r>
      <w:r w:rsidR="00752989" w:rsidRPr="00C656C9">
        <w:t>4</w:t>
      </w:r>
      <w:r w:rsidR="005C208D" w:rsidRPr="00C656C9">
        <w:t xml:space="preserve"> tons CO /yr and </w:t>
      </w:r>
      <w:r w:rsidR="00FD59A2" w:rsidRPr="00C656C9">
        <w:t xml:space="preserve">&lt; </w:t>
      </w:r>
      <w:r w:rsidR="005C208D" w:rsidRPr="00C656C9">
        <w:t>1 ton VOC /yr.</w:t>
      </w:r>
    </w:p>
    <w:p w:rsidR="005C208D" w:rsidRPr="00C656C9" w:rsidRDefault="005C208D" w:rsidP="006D2FAC">
      <w:pPr>
        <w:pStyle w:val="Heading2"/>
        <w:numPr>
          <w:ilvl w:val="0"/>
          <w:numId w:val="0"/>
        </w:numPr>
        <w:ind w:left="1440"/>
      </w:pPr>
    </w:p>
    <w:p w:rsidR="00856C45" w:rsidRPr="00C656C9" w:rsidRDefault="0043265A" w:rsidP="006D2FAC">
      <w:pPr>
        <w:pStyle w:val="Heading2"/>
        <w:numPr>
          <w:ilvl w:val="0"/>
          <w:numId w:val="0"/>
        </w:numPr>
        <w:ind w:left="1440"/>
      </w:pPr>
      <w:r w:rsidRPr="00C656C9">
        <w:t>The above emissions were estimated using emission factors from EPA’s AP-42 and test data derived from tests performed on a similar process and Bekaert pollution control device at the Agilyx Corporation.</w:t>
      </w:r>
    </w:p>
    <w:p w:rsidR="001678BF" w:rsidRPr="00C656C9" w:rsidRDefault="001678BF">
      <w:pPr>
        <w:pStyle w:val="Heading2"/>
      </w:pPr>
      <w:r w:rsidRPr="00C656C9">
        <w:t>The facility’s potential to emit greenhouse gases was estimated to be 9</w:t>
      </w:r>
      <w:r w:rsidR="00C13DC8">
        <w:t>,</w:t>
      </w:r>
      <w:r w:rsidRPr="00C656C9">
        <w:t>612 tons CO2e per year.  It will emit GHG</w:t>
      </w:r>
      <w:r w:rsidR="00D853BA" w:rsidRPr="00C656C9">
        <w:t>s</w:t>
      </w:r>
      <w:r w:rsidRPr="00C656C9">
        <w:t xml:space="preserve"> above the de minimis emission level of </w:t>
      </w:r>
      <w:r w:rsidR="00D853BA" w:rsidRPr="00C656C9">
        <w:rPr>
          <w:snapToGrid w:val="0"/>
        </w:rPr>
        <w:t xml:space="preserve">2,756 tons/year </w:t>
      </w:r>
      <w:proofErr w:type="gramStart"/>
      <w:r w:rsidR="00D853BA" w:rsidRPr="00C656C9">
        <w:rPr>
          <w:snapToGrid w:val="0"/>
        </w:rPr>
        <w:t>(2,500 metric tonnes/year)</w:t>
      </w:r>
      <w:proofErr w:type="gramEnd"/>
      <w:r w:rsidR="00D853BA" w:rsidRPr="00C656C9">
        <w:rPr>
          <w:snapToGrid w:val="0"/>
        </w:rPr>
        <w:t xml:space="preserve">, so the permit includes </w:t>
      </w:r>
      <w:r w:rsidR="00C571BF" w:rsidRPr="00C656C9">
        <w:rPr>
          <w:snapToGrid w:val="0"/>
        </w:rPr>
        <w:t>the Generic</w:t>
      </w:r>
      <w:r w:rsidR="00D853BA" w:rsidRPr="00C656C9">
        <w:rPr>
          <w:snapToGrid w:val="0"/>
        </w:rPr>
        <w:t xml:space="preserve"> PSEL for GHG.</w:t>
      </w:r>
    </w:p>
    <w:p w:rsidR="00856C45" w:rsidRPr="00C656C9" w:rsidRDefault="00041287">
      <w:pPr>
        <w:pStyle w:val="Heading2"/>
      </w:pPr>
      <w:r w:rsidRPr="00C656C9">
        <w:t>The PSEL is a federally enforceable limit on the potential to emit.</w:t>
      </w:r>
    </w:p>
    <w:p w:rsidR="00856C45" w:rsidRPr="00C656C9" w:rsidRDefault="00856C45">
      <w:pPr>
        <w:rPr>
          <w:u w:val="single"/>
        </w:rPr>
      </w:pPr>
    </w:p>
    <w:p w:rsidR="00856C45" w:rsidRPr="00C656C9" w:rsidRDefault="00856C45"/>
    <w:p w:rsidR="00856C45" w:rsidRPr="00C656C9" w:rsidRDefault="00041287">
      <w:pPr>
        <w:pStyle w:val="Sub-sectionheader"/>
      </w:pPr>
      <w:bookmarkStart w:id="18" w:name="_Toc452882790"/>
      <w:bookmarkStart w:id="19" w:name="_Toc452883745"/>
      <w:bookmarkStart w:id="20" w:name="_Toc452883936"/>
      <w:bookmarkStart w:id="21" w:name="_Toc463344856"/>
      <w:r w:rsidRPr="00C656C9">
        <w:t>significant emission rate analysis</w:t>
      </w:r>
      <w:bookmarkEnd w:id="18"/>
      <w:bookmarkEnd w:id="19"/>
      <w:bookmarkEnd w:id="20"/>
      <w:bookmarkEnd w:id="21"/>
    </w:p>
    <w:p w:rsidR="00856C45" w:rsidRPr="00C656C9" w:rsidRDefault="00856C45"/>
    <w:p w:rsidR="00856C45" w:rsidRPr="00C656C9" w:rsidRDefault="00041287">
      <w:pPr>
        <w:pStyle w:val="Heading1"/>
      </w:pPr>
      <w:r w:rsidRPr="00C656C9">
        <w:t>For each pollutant, the proposed Plant Site Emission Limit is less than the Netting Basis plus the significant emission rate, thus no further air quality analysis is required.</w:t>
      </w:r>
    </w:p>
    <w:p w:rsidR="00856C45" w:rsidRPr="00C656C9" w:rsidRDefault="00856C45"/>
    <w:p w:rsidR="00856C45" w:rsidRPr="00C656C9" w:rsidRDefault="00856C45"/>
    <w:p w:rsidR="00856C45" w:rsidRPr="00C656C9" w:rsidRDefault="00041287">
      <w:pPr>
        <w:pStyle w:val="SectionHeader"/>
      </w:pPr>
      <w:bookmarkStart w:id="22" w:name="_Toc452882791"/>
      <w:bookmarkStart w:id="23" w:name="_Toc452883746"/>
      <w:bookmarkStart w:id="24" w:name="_Toc452883937"/>
      <w:bookmarkStart w:id="25" w:name="_Toc463344857"/>
      <w:bookmarkStart w:id="26" w:name="_Toc310351182"/>
      <w:r w:rsidRPr="00C656C9">
        <w:t>major source applicability</w:t>
      </w:r>
      <w:bookmarkEnd w:id="22"/>
      <w:bookmarkEnd w:id="23"/>
      <w:bookmarkEnd w:id="24"/>
      <w:bookmarkEnd w:id="25"/>
      <w:bookmarkEnd w:id="26"/>
    </w:p>
    <w:p w:rsidR="00856C45" w:rsidRPr="00C656C9" w:rsidRDefault="00856C45"/>
    <w:p w:rsidR="00856C45" w:rsidRPr="00C656C9" w:rsidRDefault="00041287">
      <w:pPr>
        <w:pStyle w:val="Sub-sectionheader"/>
      </w:pPr>
      <w:r w:rsidRPr="00C656C9">
        <w:t>criteria pollutants</w:t>
      </w:r>
    </w:p>
    <w:p w:rsidR="00856C45" w:rsidRPr="00C656C9" w:rsidRDefault="00856C45"/>
    <w:p w:rsidR="00856C45" w:rsidRPr="00C656C9" w:rsidRDefault="00041287">
      <w:pPr>
        <w:pStyle w:val="Heading1"/>
      </w:pPr>
      <w:r w:rsidRPr="00C656C9">
        <w:t>A major source is a facility that has the potential to emit 100</w:t>
      </w:r>
      <w:r w:rsidR="002D23F7" w:rsidRPr="00C656C9">
        <w:t xml:space="preserve"> or more</w:t>
      </w:r>
      <w:r w:rsidRPr="00C656C9">
        <w:t xml:space="preserve"> tons per year of any criteria pol</w:t>
      </w:r>
      <w:r w:rsidR="009C5224" w:rsidRPr="00C656C9">
        <w:t xml:space="preserve">lutant. </w:t>
      </w:r>
      <w:r w:rsidR="002D23F7" w:rsidRPr="00C656C9">
        <w:t xml:space="preserve"> </w:t>
      </w:r>
      <w:r w:rsidRPr="00C656C9">
        <w:t xml:space="preserve">This facility </w:t>
      </w:r>
      <w:r w:rsidR="002D23F7" w:rsidRPr="00C656C9">
        <w:t>is not</w:t>
      </w:r>
      <w:r w:rsidR="0050784C" w:rsidRPr="00C656C9">
        <w:fldChar w:fldCharType="begin"/>
      </w:r>
      <w:bookmarkStart w:id="27" w:name="Dropdown7"/>
      <w:r w:rsidRPr="00C656C9">
        <w:instrText xml:space="preserve"> FORMDROPDOWN </w:instrText>
      </w:r>
      <w:r w:rsidR="0050784C" w:rsidRPr="00C656C9">
        <w:fldChar w:fldCharType="end"/>
      </w:r>
      <w:bookmarkEnd w:id="27"/>
      <w:r w:rsidRPr="00C656C9">
        <w:t xml:space="preserve"> a major source of criteria pollutant emissions.</w:t>
      </w:r>
    </w:p>
    <w:p w:rsidR="00856C45" w:rsidRPr="00C656C9" w:rsidRDefault="00856C45"/>
    <w:p w:rsidR="00856C45" w:rsidRPr="00C656C9" w:rsidRDefault="00041287">
      <w:pPr>
        <w:pStyle w:val="Sub-sectionheader"/>
      </w:pPr>
      <w:r w:rsidRPr="00C656C9">
        <w:t>Hazardous air pollutants</w:t>
      </w:r>
    </w:p>
    <w:p w:rsidR="00856C45" w:rsidRPr="00C656C9" w:rsidRDefault="00856C45"/>
    <w:p w:rsidR="00856C45" w:rsidRPr="00C656C9" w:rsidRDefault="00041287">
      <w:pPr>
        <w:pStyle w:val="Heading1"/>
      </w:pPr>
      <w:r w:rsidRPr="00C656C9">
        <w:t>A major source is a facility that has the potential to emit 10</w:t>
      </w:r>
      <w:r w:rsidR="00B67520" w:rsidRPr="00C656C9">
        <w:t xml:space="preserve"> or more tons per year</w:t>
      </w:r>
      <w:r w:rsidRPr="00C656C9">
        <w:t xml:space="preserve"> of any single HAP or 25 </w:t>
      </w:r>
      <w:r w:rsidR="00B67520" w:rsidRPr="00C656C9">
        <w:t>or more tons per year</w:t>
      </w:r>
      <w:r w:rsidR="009C5224" w:rsidRPr="00C656C9">
        <w:t xml:space="preserve"> of combined HAPs.</w:t>
      </w:r>
      <w:r w:rsidR="00B67520" w:rsidRPr="00C656C9">
        <w:t xml:space="preserve"> </w:t>
      </w:r>
      <w:r w:rsidR="009C5224" w:rsidRPr="00C656C9">
        <w:t xml:space="preserve"> </w:t>
      </w:r>
      <w:r w:rsidRPr="00C656C9">
        <w:t xml:space="preserve">This source </w:t>
      </w:r>
      <w:r w:rsidR="00B67520" w:rsidRPr="00C656C9">
        <w:t>is not</w:t>
      </w:r>
      <w:r w:rsidR="0050784C" w:rsidRPr="00C656C9">
        <w:fldChar w:fldCharType="begin"/>
      </w:r>
      <w:bookmarkStart w:id="28" w:name="Dropdown8"/>
      <w:r w:rsidRPr="00C656C9">
        <w:instrText xml:space="preserve"> FORMDROPDOWN </w:instrText>
      </w:r>
      <w:r w:rsidR="0050784C" w:rsidRPr="00C656C9">
        <w:fldChar w:fldCharType="end"/>
      </w:r>
      <w:bookmarkEnd w:id="28"/>
      <w:r w:rsidRPr="00C656C9">
        <w:t xml:space="preserve"> a major source of hazardous air pollutants.</w:t>
      </w:r>
    </w:p>
    <w:p w:rsidR="00856C45" w:rsidRPr="00C656C9" w:rsidRDefault="00856C45"/>
    <w:tbl>
      <w:tblPr>
        <w:tblW w:w="0" w:type="auto"/>
        <w:tblInd w:w="11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600"/>
        <w:gridCol w:w="3510"/>
      </w:tblGrid>
      <w:tr w:rsidR="00856C45" w:rsidRPr="00C656C9" w:rsidTr="000D392C">
        <w:tc>
          <w:tcPr>
            <w:tcW w:w="3600" w:type="dxa"/>
            <w:tcBorders>
              <w:top w:val="double" w:sz="4" w:space="0" w:color="auto"/>
              <w:left w:val="double" w:sz="4" w:space="0" w:color="auto"/>
              <w:bottom w:val="nil"/>
            </w:tcBorders>
          </w:tcPr>
          <w:p w:rsidR="00856C45" w:rsidRPr="00C656C9" w:rsidRDefault="00041287">
            <w:pPr>
              <w:spacing w:before="40" w:after="40"/>
              <w:rPr>
                <w:sz w:val="22"/>
              </w:rPr>
            </w:pPr>
            <w:r w:rsidRPr="00C656C9">
              <w:rPr>
                <w:sz w:val="22"/>
              </w:rPr>
              <w:t>Hazardous Air Pollutant</w:t>
            </w:r>
          </w:p>
        </w:tc>
        <w:tc>
          <w:tcPr>
            <w:tcW w:w="3510" w:type="dxa"/>
            <w:tcBorders>
              <w:top w:val="double" w:sz="4" w:space="0" w:color="auto"/>
              <w:bottom w:val="nil"/>
              <w:right w:val="double" w:sz="4" w:space="0" w:color="auto"/>
            </w:tcBorders>
          </w:tcPr>
          <w:p w:rsidR="00856C45" w:rsidRPr="00C656C9" w:rsidRDefault="00041287">
            <w:pPr>
              <w:spacing w:before="40" w:after="40"/>
              <w:rPr>
                <w:sz w:val="22"/>
              </w:rPr>
            </w:pPr>
            <w:r w:rsidRPr="00C656C9">
              <w:rPr>
                <w:sz w:val="22"/>
              </w:rPr>
              <w:t>Potential to Emit (tons/year)</w:t>
            </w:r>
          </w:p>
        </w:tc>
      </w:tr>
      <w:tr w:rsidR="00856C45" w:rsidRPr="00C656C9" w:rsidTr="000D392C">
        <w:tc>
          <w:tcPr>
            <w:tcW w:w="3600" w:type="dxa"/>
            <w:tcBorders>
              <w:top w:val="double" w:sz="4" w:space="0" w:color="auto"/>
              <w:left w:val="double" w:sz="4" w:space="0" w:color="auto"/>
              <w:bottom w:val="single" w:sz="4" w:space="0" w:color="auto"/>
            </w:tcBorders>
          </w:tcPr>
          <w:p w:rsidR="00856C45" w:rsidRPr="00C656C9" w:rsidRDefault="00BD0CE2">
            <w:pPr>
              <w:spacing w:before="40" w:after="40"/>
              <w:rPr>
                <w:sz w:val="22"/>
              </w:rPr>
            </w:pPr>
            <w:r w:rsidRPr="00C656C9">
              <w:rPr>
                <w:sz w:val="22"/>
              </w:rPr>
              <w:t>HCl</w:t>
            </w:r>
            <w:r w:rsidR="008E7754" w:rsidRPr="00C656C9">
              <w:rPr>
                <w:sz w:val="22"/>
              </w:rPr>
              <w:t>*</w:t>
            </w:r>
          </w:p>
        </w:tc>
        <w:tc>
          <w:tcPr>
            <w:tcW w:w="3510" w:type="dxa"/>
            <w:tcBorders>
              <w:top w:val="double" w:sz="4" w:space="0" w:color="auto"/>
              <w:bottom w:val="single" w:sz="4" w:space="0" w:color="auto"/>
              <w:right w:val="double" w:sz="4" w:space="0" w:color="auto"/>
            </w:tcBorders>
          </w:tcPr>
          <w:p w:rsidR="00856C45" w:rsidRPr="00C656C9" w:rsidRDefault="00BD0CE2">
            <w:pPr>
              <w:spacing w:before="40" w:after="40"/>
              <w:rPr>
                <w:sz w:val="22"/>
              </w:rPr>
            </w:pPr>
            <w:r w:rsidRPr="00C656C9">
              <w:rPr>
                <w:sz w:val="22"/>
              </w:rPr>
              <w:t>1.1</w:t>
            </w:r>
          </w:p>
        </w:tc>
      </w:tr>
      <w:tr w:rsidR="00856C45" w:rsidRPr="00C656C9" w:rsidTr="000D392C">
        <w:tc>
          <w:tcPr>
            <w:tcW w:w="3600" w:type="dxa"/>
            <w:tcBorders>
              <w:left w:val="double" w:sz="4" w:space="0" w:color="auto"/>
              <w:bottom w:val="double" w:sz="4" w:space="0" w:color="auto"/>
            </w:tcBorders>
          </w:tcPr>
          <w:p w:rsidR="00856C45" w:rsidRPr="00C656C9" w:rsidRDefault="00D116E2">
            <w:pPr>
              <w:spacing w:before="40" w:after="40"/>
              <w:rPr>
                <w:sz w:val="22"/>
              </w:rPr>
            </w:pPr>
            <w:r w:rsidRPr="00C656C9">
              <w:rPr>
                <w:sz w:val="22"/>
              </w:rPr>
              <w:t>All other HAPs</w:t>
            </w:r>
          </w:p>
        </w:tc>
        <w:tc>
          <w:tcPr>
            <w:tcW w:w="3510" w:type="dxa"/>
            <w:tcBorders>
              <w:bottom w:val="double" w:sz="4" w:space="0" w:color="auto"/>
              <w:right w:val="double" w:sz="4" w:space="0" w:color="auto"/>
            </w:tcBorders>
          </w:tcPr>
          <w:p w:rsidR="00856C45" w:rsidRPr="00C656C9" w:rsidRDefault="00D116E2">
            <w:pPr>
              <w:spacing w:before="40" w:after="40"/>
              <w:rPr>
                <w:sz w:val="22"/>
              </w:rPr>
            </w:pPr>
            <w:r w:rsidRPr="00C656C9">
              <w:rPr>
                <w:sz w:val="22"/>
              </w:rPr>
              <w:t>&lt; 1</w:t>
            </w:r>
          </w:p>
        </w:tc>
      </w:tr>
    </w:tbl>
    <w:p w:rsidR="00856C45" w:rsidRPr="00C656C9" w:rsidRDefault="00856C45"/>
    <w:p w:rsidR="000D392C" w:rsidRPr="00FB1C52" w:rsidRDefault="000D392C" w:rsidP="000D392C">
      <w:pPr>
        <w:ind w:left="720"/>
      </w:pPr>
      <w:r w:rsidRPr="00C656C9">
        <w:t>*</w:t>
      </w:r>
      <w:r w:rsidR="00DB3E2D" w:rsidRPr="00C656C9">
        <w:t xml:space="preserve"> </w:t>
      </w:r>
      <w:r w:rsidR="008E7754" w:rsidRPr="00C656C9">
        <w:t>EPA</w:t>
      </w:r>
      <w:r w:rsidR="00CB5791" w:rsidRPr="00C656C9">
        <w:t xml:space="preserve"> </w:t>
      </w:r>
      <w:r w:rsidR="008E7754" w:rsidRPr="00C656C9">
        <w:t>studies show that</w:t>
      </w:r>
      <w:r w:rsidR="00DB3E2D" w:rsidRPr="00C656C9">
        <w:t xml:space="preserve"> over the past five years,</w:t>
      </w:r>
      <w:r w:rsidR="008E7754" w:rsidRPr="00C656C9">
        <w:t xml:space="preserve"> polyvinyl chloride (PVC) content</w:t>
      </w:r>
      <w:r w:rsidR="00CB5791" w:rsidRPr="00C656C9">
        <w:t xml:space="preserve"> in</w:t>
      </w:r>
      <w:r w:rsidR="008E7754" w:rsidRPr="00C656C9">
        <w:t xml:space="preserve"> municipal</w:t>
      </w:r>
      <w:r w:rsidR="00CB5791" w:rsidRPr="00C656C9">
        <w:t xml:space="preserve"> solid waste</w:t>
      </w:r>
      <w:r w:rsidR="00E457FD" w:rsidRPr="00C656C9">
        <w:t xml:space="preserve"> </w:t>
      </w:r>
      <w:r w:rsidR="001C512C" w:rsidRPr="00C656C9">
        <w:t xml:space="preserve">has </w:t>
      </w:r>
      <w:r w:rsidR="00CC247F" w:rsidRPr="00C656C9">
        <w:t>ranged</w:t>
      </w:r>
      <w:r w:rsidR="00E457FD" w:rsidRPr="00C656C9">
        <w:t xml:space="preserve"> </w:t>
      </w:r>
      <w:r w:rsidR="00CB5791" w:rsidRPr="00C656C9">
        <w:t>between 3 and 5.5% of all plastic resin types received</w:t>
      </w:r>
      <w:r w:rsidR="00E457FD" w:rsidRPr="00C656C9">
        <w:t xml:space="preserve">. </w:t>
      </w:r>
      <w:r w:rsidR="008E7754" w:rsidRPr="00C656C9">
        <w:t xml:space="preserve"> </w:t>
      </w:r>
      <w:r w:rsidR="00466CFF" w:rsidRPr="00C656C9">
        <w:t xml:space="preserve">All </w:t>
      </w:r>
      <w:r w:rsidR="00466CFF">
        <w:t xml:space="preserve">mixed </w:t>
      </w:r>
      <w:r w:rsidR="00466CFF" w:rsidRPr="00C656C9">
        <w:t xml:space="preserve">feedstock </w:t>
      </w:r>
      <w:r w:rsidR="00466CFF">
        <w:t xml:space="preserve">material </w:t>
      </w:r>
      <w:r w:rsidR="00466CFF" w:rsidRPr="00C656C9">
        <w:t xml:space="preserve">received for use by the permittee </w:t>
      </w:r>
      <w:r w:rsidR="00466CFF">
        <w:t xml:space="preserve">will be </w:t>
      </w:r>
      <w:r w:rsidR="00466CFF" w:rsidRPr="006750CD">
        <w:t xml:space="preserve">pre-processed by a </w:t>
      </w:r>
      <w:r w:rsidR="00466CFF" w:rsidRPr="00FB1C52">
        <w:t>methodology designed to remove ≥ 90% of the PVC content.</w:t>
      </w:r>
      <w:r w:rsidR="001218DF" w:rsidRPr="00FB1C52">
        <w:t xml:space="preserve">  Non-mixed feed stock material accepted for processing by the permittee cannot have PVC content.</w:t>
      </w:r>
      <w:r w:rsidR="00CC247F" w:rsidRPr="00FB1C52">
        <w:t xml:space="preserve">  </w:t>
      </w:r>
      <w:r w:rsidR="009D60E7" w:rsidRPr="00FB1C52">
        <w:t>Removal of PVC</w:t>
      </w:r>
      <w:r w:rsidR="008E7754" w:rsidRPr="00FB1C52">
        <w:t xml:space="preserve"> reduces the facility’s potential to emit HCl.</w:t>
      </w:r>
      <w:r w:rsidR="0053277F" w:rsidRPr="00FB1C52">
        <w:t xml:space="preserve">  The HCl PTE was </w:t>
      </w:r>
      <w:r w:rsidR="00BF1E7B" w:rsidRPr="00FB1C52">
        <w:t>estimat</w:t>
      </w:r>
      <w:r w:rsidR="0053277F" w:rsidRPr="00FB1C52">
        <w:t xml:space="preserve">ed based on </w:t>
      </w:r>
      <w:r w:rsidR="00BF1E7B" w:rsidRPr="00FB1C52">
        <w:t>the design capacity of the facility (24/7/365 days/yr; 30,835,200 lbs [15,418 tons] of plastic feedstock processed) and the emission rate of 0.14 lb HCl</w:t>
      </w:r>
      <w:r w:rsidR="0078162B" w:rsidRPr="00FB1C52">
        <w:t>/</w:t>
      </w:r>
      <w:r w:rsidR="00BF1E7B" w:rsidRPr="00FB1C52">
        <w:t xml:space="preserve"> ton of product processed.  The emission factor was based on source test</w:t>
      </w:r>
      <w:r w:rsidR="0078162B" w:rsidRPr="00FB1C52">
        <w:t>ing</w:t>
      </w:r>
      <w:r w:rsidR="00BF1E7B" w:rsidRPr="00FB1C52">
        <w:t xml:space="preserve"> </w:t>
      </w:r>
      <w:r w:rsidR="0078162B" w:rsidRPr="00FB1C52">
        <w:t>performed on a similar process and Bekaert pollution control device at the Agilyx Corporation</w:t>
      </w:r>
      <w:r w:rsidR="003F7DDB" w:rsidRPr="00FB1C52">
        <w:t xml:space="preserve">.  Source testing </w:t>
      </w:r>
      <w:r w:rsidR="003F7DDB" w:rsidRPr="00FB1C52">
        <w:lastRenderedPageBreak/>
        <w:t>will be performed at the facility during the permit term to verify and improve the emission factor.</w:t>
      </w:r>
    </w:p>
    <w:p w:rsidR="000D392C" w:rsidRPr="00C656C9" w:rsidRDefault="000D392C"/>
    <w:p w:rsidR="00856C45" w:rsidRPr="00C656C9" w:rsidRDefault="00856C45"/>
    <w:p w:rsidR="00856C45" w:rsidRPr="00C656C9" w:rsidRDefault="00041287">
      <w:pPr>
        <w:pStyle w:val="SectionHeader"/>
      </w:pPr>
      <w:bookmarkStart w:id="29" w:name="_Toc452882792"/>
      <w:bookmarkStart w:id="30" w:name="_Toc452883747"/>
      <w:bookmarkStart w:id="31" w:name="_Toc452883938"/>
      <w:bookmarkStart w:id="32" w:name="_Toc463344858"/>
      <w:bookmarkStart w:id="33" w:name="_Toc310351183"/>
      <w:r w:rsidRPr="00C656C9">
        <w:t>additional requirements</w:t>
      </w:r>
      <w:bookmarkEnd w:id="29"/>
      <w:bookmarkEnd w:id="30"/>
      <w:bookmarkEnd w:id="31"/>
      <w:bookmarkEnd w:id="32"/>
      <w:bookmarkEnd w:id="33"/>
    </w:p>
    <w:p w:rsidR="00856C45" w:rsidRPr="00C656C9" w:rsidRDefault="00856C45"/>
    <w:p w:rsidR="00856C45" w:rsidRPr="00C656C9" w:rsidRDefault="00041287">
      <w:pPr>
        <w:pStyle w:val="Sub-sectionheader"/>
      </w:pPr>
      <w:r w:rsidRPr="00C656C9">
        <w:t>nsps applicability</w:t>
      </w:r>
    </w:p>
    <w:p w:rsidR="00856C45" w:rsidRPr="00C656C9" w:rsidRDefault="00856C45"/>
    <w:p w:rsidR="00856C45" w:rsidRPr="00C656C9" w:rsidRDefault="00194C06">
      <w:pPr>
        <w:pStyle w:val="Heading1"/>
      </w:pPr>
      <w:bookmarkStart w:id="34" w:name="_Ref250565126"/>
      <w:r w:rsidRPr="00C656C9">
        <w:t xml:space="preserve">The facility is a synthetic organic chemical manufacturer, however, it is exempt from the standards of 40 CFR §60.480a - Subpart </w:t>
      </w:r>
      <w:proofErr w:type="spellStart"/>
      <w:r w:rsidRPr="00C656C9">
        <w:t>VVa</w:t>
      </w:r>
      <w:proofErr w:type="spellEnd"/>
      <w:r w:rsidRPr="00C656C9">
        <w:t xml:space="preserve"> – “Standards of Performance for Equipment Leaks of VOC in the Synthetic Organic Chemicals Manufacturing Industry for Which Construction, Reconstruction, or Modification Commenced After November 7, 2006,” because the design capacity of each of its process units is below the applicability threshold of the federal rule (each process unit has a design capacity that is considerably less than 1,102 ton/yr of one of the designated regulated chemicals).</w:t>
      </w:r>
      <w:bookmarkEnd w:id="34"/>
    </w:p>
    <w:p w:rsidR="00856C45" w:rsidRPr="00C656C9" w:rsidRDefault="00856C45"/>
    <w:p w:rsidR="00856C45" w:rsidRPr="00C656C9" w:rsidRDefault="00041287">
      <w:pPr>
        <w:pStyle w:val="Sub-sectionheader"/>
      </w:pPr>
      <w:r w:rsidRPr="00C656C9">
        <w:t>neshaps/mact applicability</w:t>
      </w:r>
    </w:p>
    <w:p w:rsidR="00856C45" w:rsidRPr="00C656C9" w:rsidRDefault="00856C45"/>
    <w:p w:rsidR="00856C45" w:rsidRPr="00C656C9" w:rsidRDefault="00FD64DA">
      <w:pPr>
        <w:pStyle w:val="Heading1"/>
      </w:pPr>
      <w:r w:rsidRPr="00C656C9">
        <w:t xml:space="preserve">There are no sources at this facility for which NESHAPS/MACT standards are applicable.  On October 29, 2009, EPA finalized </w:t>
      </w:r>
      <w:r w:rsidR="00593068" w:rsidRPr="00C656C9">
        <w:t>Subpart VVVVVV -</w:t>
      </w:r>
      <w:r w:rsidRPr="00C656C9">
        <w:t xml:space="preserve"> National Emission Standards for Hazardous Air Pollutants for Chemical Manufacturing Area Sources.  The facility </w:t>
      </w:r>
      <w:r w:rsidR="006C1B9E" w:rsidRPr="00C656C9">
        <w:t>does</w:t>
      </w:r>
      <w:r w:rsidRPr="00C656C9">
        <w:t xml:space="preserve"> not meet the applicability criteria of the federal rule and as such is not subject.</w:t>
      </w:r>
    </w:p>
    <w:p w:rsidR="00856C45" w:rsidRPr="00C656C9" w:rsidRDefault="00856C45"/>
    <w:p w:rsidR="00856C45" w:rsidRPr="00C656C9" w:rsidRDefault="00041287">
      <w:pPr>
        <w:pStyle w:val="Sub-sectionheader"/>
      </w:pPr>
      <w:r w:rsidRPr="00C656C9">
        <w:t>RACT applicability</w:t>
      </w:r>
    </w:p>
    <w:p w:rsidR="00856C45" w:rsidRPr="00C656C9" w:rsidRDefault="00856C45"/>
    <w:p w:rsidR="00856C45" w:rsidRPr="00C656C9" w:rsidRDefault="00041287">
      <w:pPr>
        <w:pStyle w:val="Heading1"/>
      </w:pPr>
      <w:r w:rsidRPr="00C656C9">
        <w:t>The facility is located in the Portland AQMA, but it is not one of the listed source categories in OAR 340-232-0010, thus the RACT rules do not apply</w:t>
      </w:r>
    </w:p>
    <w:p w:rsidR="00856C45" w:rsidRPr="00C656C9" w:rsidRDefault="00856C45"/>
    <w:p w:rsidR="00856C45" w:rsidRPr="00C656C9" w:rsidRDefault="00041287">
      <w:pPr>
        <w:pStyle w:val="Sub-sectionheader"/>
      </w:pPr>
      <w:r w:rsidRPr="00C656C9">
        <w:t>tact applicability</w:t>
      </w:r>
    </w:p>
    <w:p w:rsidR="00856C45" w:rsidRPr="00C656C9" w:rsidRDefault="00856C45"/>
    <w:p w:rsidR="00FD64DA" w:rsidRPr="00C656C9" w:rsidRDefault="00FD64DA" w:rsidP="00FD64DA">
      <w:pPr>
        <w:pStyle w:val="Heading1"/>
      </w:pPr>
      <w:r w:rsidRPr="00C656C9">
        <w:t xml:space="preserve">The source </w:t>
      </w:r>
      <w:r w:rsidR="00C34B2C" w:rsidRPr="00C656C9">
        <w:t xml:space="preserve">will </w:t>
      </w:r>
      <w:r w:rsidRPr="00C656C9">
        <w:t>meet the State’s TACT/Highest and Best Rules by conducting the following activities:</w:t>
      </w:r>
    </w:p>
    <w:p w:rsidR="00FD64DA" w:rsidRPr="00C656C9" w:rsidRDefault="00FD64DA" w:rsidP="00FD64DA"/>
    <w:p w:rsidR="00856C45" w:rsidRPr="00C656C9" w:rsidRDefault="00FD64DA" w:rsidP="00FD64DA">
      <w:pPr>
        <w:pStyle w:val="Heading2"/>
      </w:pPr>
      <w:r w:rsidRPr="00C656C9">
        <w:t>The facility gasifies solid plastic waste material in sealed reclamation/gasification chambers in the absence of oxygen (combustion cannot occur).  The corresponding gases that are produced are evacuated to a condensing system to convert the gases into a liquid “crude oil-like” final product.  During this process, a fraction of the gasified product produced is noncondensable gaseous emissions.  These noncondensable gases are</w:t>
      </w:r>
      <w:r w:rsidR="00FB1430" w:rsidRPr="00C656C9">
        <w:t xml:space="preserve"> captured and</w:t>
      </w:r>
      <w:r w:rsidRPr="00C656C9">
        <w:t xml:space="preserve"> combusted in a</w:t>
      </w:r>
      <w:r w:rsidR="00FE788E" w:rsidRPr="00FE788E">
        <w:t xml:space="preserve"> </w:t>
      </w:r>
      <w:r w:rsidR="00FE788E">
        <w:t>VOC abatement unit</w:t>
      </w:r>
      <w:r w:rsidRPr="00C656C9">
        <w:t>.</w:t>
      </w:r>
    </w:p>
    <w:p w:rsidR="00FD64DA" w:rsidRPr="00C656C9" w:rsidRDefault="00FD64DA" w:rsidP="00FD64DA"/>
    <w:p w:rsidR="00FD64DA" w:rsidRPr="00C656C9" w:rsidRDefault="00DC2893" w:rsidP="00FD64DA">
      <w:pPr>
        <w:pStyle w:val="Heading2"/>
        <w:tabs>
          <w:tab w:val="clear" w:pos="1440"/>
        </w:tabs>
      </w:pPr>
      <w:r w:rsidRPr="00C656C9">
        <w:t xml:space="preserve">The facility’s condensed final product is stored in two 19,800 gallon liquid storage tanks.  </w:t>
      </w:r>
      <w:r w:rsidR="00222E2C" w:rsidRPr="00C656C9">
        <w:t>It</w:t>
      </w:r>
      <w:r w:rsidRPr="00C656C9">
        <w:t xml:space="preserve"> is periodically off-loaded into tank trucks for transport to </w:t>
      </w:r>
      <w:r w:rsidR="002939AC" w:rsidRPr="00C656C9">
        <w:t>custom</w:t>
      </w:r>
      <w:r w:rsidRPr="00C656C9">
        <w:t>ers.</w:t>
      </w:r>
      <w:r w:rsidR="002939AC" w:rsidRPr="00C656C9">
        <w:t xml:space="preserve">  Volatile organic compound storage tanks </w:t>
      </w:r>
      <w:r w:rsidR="00222E2C" w:rsidRPr="00C656C9">
        <w:t xml:space="preserve">normally </w:t>
      </w:r>
      <w:r w:rsidR="002939AC" w:rsidRPr="00C656C9">
        <w:t xml:space="preserve">have </w:t>
      </w:r>
      <w:r w:rsidR="00FB1430" w:rsidRPr="00C656C9">
        <w:t xml:space="preserve">associated </w:t>
      </w:r>
      <w:r w:rsidR="002939AC" w:rsidRPr="00C656C9">
        <w:lastRenderedPageBreak/>
        <w:t>VOC</w:t>
      </w:r>
      <w:r w:rsidR="00222E2C" w:rsidRPr="00C656C9">
        <w:t xml:space="preserve"> emissions that occur as a result of</w:t>
      </w:r>
      <w:r w:rsidR="00B37837" w:rsidRPr="00C656C9">
        <w:t xml:space="preserve"> tank</w:t>
      </w:r>
      <w:r w:rsidR="00222E2C" w:rsidRPr="00C656C9">
        <w:t xml:space="preserve"> loading (vapor space displacement)</w:t>
      </w:r>
      <w:r w:rsidR="00B37837" w:rsidRPr="00C656C9">
        <w:t xml:space="preserve"> and</w:t>
      </w:r>
      <w:r w:rsidR="00222E2C" w:rsidRPr="00C656C9">
        <w:t xml:space="preserve"> breathing</w:t>
      </w:r>
      <w:r w:rsidR="00B37837" w:rsidRPr="00C656C9">
        <w:t xml:space="preserve"> </w:t>
      </w:r>
      <w:r w:rsidR="00222E2C" w:rsidRPr="00C656C9">
        <w:t xml:space="preserve">(emissions that occur as a result of temperature </w:t>
      </w:r>
      <w:r w:rsidR="00C13DC8">
        <w:t>e</w:t>
      </w:r>
      <w:r w:rsidR="00222E2C" w:rsidRPr="00C656C9">
        <w:t>ffects)</w:t>
      </w:r>
      <w:r w:rsidR="00AD0A79" w:rsidRPr="00C656C9">
        <w:t>;</w:t>
      </w:r>
      <w:r w:rsidR="00222E2C" w:rsidRPr="00C656C9">
        <w:t xml:space="preserve"> </w:t>
      </w:r>
      <w:r w:rsidR="00B37837" w:rsidRPr="00C656C9">
        <w:t>emissions are also produced as a result of tank truck loading.</w:t>
      </w:r>
      <w:r w:rsidR="00AD0A79" w:rsidRPr="00C656C9">
        <w:t xml:space="preserve">  The truck loading process will be equipped with a vapor recovery system in which displaced vapors</w:t>
      </w:r>
      <w:r w:rsidR="000715C3" w:rsidRPr="00C656C9">
        <w:t xml:space="preserve"> from the trucks</w:t>
      </w:r>
      <w:r w:rsidR="00AD0A79" w:rsidRPr="00C656C9">
        <w:t xml:space="preserve"> are</w:t>
      </w:r>
      <w:r w:rsidR="000715C3" w:rsidRPr="00C656C9">
        <w:t xml:space="preserve"> captured and</w:t>
      </w:r>
      <w:r w:rsidR="00AD0A79" w:rsidRPr="00C656C9">
        <w:t xml:space="preserve"> returned to the storage tank</w:t>
      </w:r>
      <w:r w:rsidR="000715C3" w:rsidRPr="00C656C9">
        <w:t>s.</w:t>
      </w:r>
      <w:r w:rsidR="00B37837" w:rsidRPr="00C656C9">
        <w:t xml:space="preserve">  </w:t>
      </w:r>
      <w:r w:rsidR="008C6BAA" w:rsidRPr="00C656C9">
        <w:t xml:space="preserve">The </w:t>
      </w:r>
      <w:r w:rsidR="00786245" w:rsidRPr="00C656C9">
        <w:t xml:space="preserve">vapor space of the </w:t>
      </w:r>
      <w:r w:rsidR="008C6BAA" w:rsidRPr="00C656C9">
        <w:t xml:space="preserve">storage tanks </w:t>
      </w:r>
      <w:r w:rsidR="00786245" w:rsidRPr="00C656C9">
        <w:t>will be plumbed into the facility’s noncondensable gas handling system allowing the g</w:t>
      </w:r>
      <w:r w:rsidR="00B37837" w:rsidRPr="00C656C9">
        <w:t>aseous emissions from each storage tank</w:t>
      </w:r>
      <w:r w:rsidR="000D3596" w:rsidRPr="00C656C9">
        <w:t xml:space="preserve"> and truck loading operations</w:t>
      </w:r>
      <w:r w:rsidR="00B37837" w:rsidRPr="00C656C9">
        <w:t xml:space="preserve"> </w:t>
      </w:r>
      <w:r w:rsidR="00786245" w:rsidRPr="00C656C9">
        <w:t>to</w:t>
      </w:r>
      <w:r w:rsidR="000715C3" w:rsidRPr="00C656C9">
        <w:t xml:space="preserve"> </w:t>
      </w:r>
      <w:r w:rsidR="00B37837" w:rsidRPr="00C656C9">
        <w:t xml:space="preserve">be </w:t>
      </w:r>
      <w:r w:rsidR="009E1AC2" w:rsidRPr="00C656C9">
        <w:t>captured</w:t>
      </w:r>
      <w:r w:rsidR="00786245" w:rsidRPr="00C656C9">
        <w:t>,</w:t>
      </w:r>
      <w:r w:rsidR="009E1AC2" w:rsidRPr="00C656C9">
        <w:t xml:space="preserve"> combined with noncondensable gases </w:t>
      </w:r>
      <w:r w:rsidR="000715C3" w:rsidRPr="00C656C9">
        <w:t xml:space="preserve">from the production process </w:t>
      </w:r>
      <w:r w:rsidR="00786245" w:rsidRPr="00C656C9">
        <w:t>and then</w:t>
      </w:r>
      <w:r w:rsidR="009E1AC2" w:rsidRPr="00C656C9">
        <w:t xml:space="preserve"> combusted in </w:t>
      </w:r>
      <w:r w:rsidR="000715C3" w:rsidRPr="00C656C9">
        <w:t>the</w:t>
      </w:r>
      <w:r w:rsidR="00FE788E">
        <w:t xml:space="preserve"> VOC abatement unit</w:t>
      </w:r>
      <w:r w:rsidR="009E1AC2" w:rsidRPr="00C656C9">
        <w:t>.</w:t>
      </w:r>
    </w:p>
    <w:p w:rsidR="00C34B2C" w:rsidRPr="00C656C9" w:rsidRDefault="00C34B2C" w:rsidP="00C34B2C"/>
    <w:p w:rsidR="00C34B2C" w:rsidRPr="00C656C9" w:rsidRDefault="00C34B2C" w:rsidP="008C6BAA">
      <w:pPr>
        <w:pStyle w:val="Heading2"/>
        <w:numPr>
          <w:ilvl w:val="0"/>
          <w:numId w:val="0"/>
        </w:numPr>
        <w:ind w:left="720"/>
      </w:pPr>
      <w:r w:rsidRPr="00C656C9">
        <w:t xml:space="preserve">The high degree of emission capture (&gt;99%) and control </w:t>
      </w:r>
      <w:r w:rsidR="008C6BAA" w:rsidRPr="00C656C9">
        <w:t>described above</w:t>
      </w:r>
      <w:r w:rsidRPr="00C656C9">
        <w:t xml:space="preserve"> is considered to meet New Source TACT emission control requirements.</w:t>
      </w:r>
    </w:p>
    <w:p w:rsidR="00856C45" w:rsidRPr="00C656C9" w:rsidRDefault="00856C45"/>
    <w:p w:rsidR="00856C45" w:rsidRPr="00C656C9" w:rsidRDefault="00856C45"/>
    <w:p w:rsidR="00856C45" w:rsidRPr="00C656C9" w:rsidRDefault="00041287">
      <w:pPr>
        <w:pStyle w:val="SectionHeader"/>
      </w:pPr>
      <w:bookmarkStart w:id="35" w:name="_Toc452882793"/>
      <w:bookmarkStart w:id="36" w:name="_Toc452883748"/>
      <w:bookmarkStart w:id="37" w:name="_Toc452883939"/>
      <w:bookmarkStart w:id="38" w:name="_Toc463344859"/>
      <w:bookmarkStart w:id="39" w:name="_Toc310351184"/>
      <w:r w:rsidRPr="00C656C9">
        <w:t>source testing</w:t>
      </w:r>
      <w:bookmarkEnd w:id="35"/>
      <w:bookmarkEnd w:id="36"/>
      <w:bookmarkEnd w:id="37"/>
      <w:bookmarkEnd w:id="38"/>
      <w:bookmarkEnd w:id="39"/>
    </w:p>
    <w:p w:rsidR="00856C45" w:rsidRPr="00C656C9" w:rsidRDefault="00856C45"/>
    <w:p w:rsidR="00856C45" w:rsidRPr="00C656C9" w:rsidRDefault="00041287">
      <w:pPr>
        <w:pStyle w:val="Sub-sectionheader"/>
      </w:pPr>
      <w:r w:rsidRPr="00C656C9">
        <w:t>proposed testing</w:t>
      </w:r>
    </w:p>
    <w:p w:rsidR="00856C45" w:rsidRPr="00C656C9" w:rsidRDefault="00856C45"/>
    <w:p w:rsidR="00856C45" w:rsidRPr="00C656C9" w:rsidRDefault="007E4D95">
      <w:pPr>
        <w:pStyle w:val="Heading1"/>
      </w:pPr>
      <w:r w:rsidRPr="00C656C9">
        <w:t xml:space="preserve">The </w:t>
      </w:r>
      <w:r w:rsidR="00FE788E">
        <w:t>VOC abatement unit</w:t>
      </w:r>
      <w:r w:rsidRPr="00C656C9">
        <w:t xml:space="preserve"> exhaust will be tested </w:t>
      </w:r>
      <w:r w:rsidR="003C7CD5" w:rsidRPr="00C656C9">
        <w:t>multiple times</w:t>
      </w:r>
      <w:r w:rsidRPr="00C656C9">
        <w:t xml:space="preserve"> during the permit term to document</w:t>
      </w:r>
      <w:r w:rsidR="00C13DC8">
        <w:t xml:space="preserve"> PM/</w:t>
      </w:r>
      <w:r w:rsidRPr="00C656C9">
        <w:t xml:space="preserve"> CO, NO</w:t>
      </w:r>
      <w:r w:rsidRPr="001F7142">
        <w:rPr>
          <w:vertAlign w:val="subscript"/>
        </w:rPr>
        <w:t>X</w:t>
      </w:r>
      <w:r w:rsidRPr="00C656C9">
        <w:t xml:space="preserve">, VOC, HCl and metal HAP emission rates.  Refer to </w:t>
      </w:r>
      <w:r w:rsidR="00C13DC8">
        <w:t>C</w:t>
      </w:r>
      <w:r w:rsidRPr="00C656C9">
        <w:t>ondition</w:t>
      </w:r>
      <w:r w:rsidR="00C13DC8">
        <w:t xml:space="preserve"> 5.4.a</w:t>
      </w:r>
      <w:r w:rsidRPr="00C656C9">
        <w:t xml:space="preserve"> of the permit for source test</w:t>
      </w:r>
      <w:r w:rsidR="003C7CD5" w:rsidRPr="00C656C9">
        <w:t xml:space="preserve"> schedule,</w:t>
      </w:r>
      <w:r w:rsidRPr="00C656C9">
        <w:t xml:space="preserve"> methods and process/control device operating parameters that are to be followed and/or recorded during the test</w:t>
      </w:r>
      <w:r w:rsidR="003C7CD5" w:rsidRPr="00C656C9">
        <w:t>s</w:t>
      </w:r>
      <w:r w:rsidRPr="00C656C9">
        <w:t>.</w:t>
      </w:r>
    </w:p>
    <w:p w:rsidR="007E4D95" w:rsidRPr="00C656C9" w:rsidRDefault="007E4D95" w:rsidP="007E4D95"/>
    <w:p w:rsidR="00856C45" w:rsidRPr="00C656C9" w:rsidRDefault="00856C45"/>
    <w:p w:rsidR="00856C45" w:rsidRPr="00C656C9" w:rsidRDefault="00041287">
      <w:pPr>
        <w:pStyle w:val="SectionHeader"/>
      </w:pPr>
      <w:bookmarkStart w:id="40" w:name="_Toc452882794"/>
      <w:bookmarkStart w:id="41" w:name="_Toc452883749"/>
      <w:bookmarkStart w:id="42" w:name="_Toc452883940"/>
      <w:bookmarkStart w:id="43" w:name="_Toc463344860"/>
      <w:bookmarkStart w:id="44" w:name="_Toc310351185"/>
      <w:r w:rsidRPr="00C656C9">
        <w:t>public notice</w:t>
      </w:r>
      <w:bookmarkEnd w:id="40"/>
      <w:bookmarkEnd w:id="41"/>
      <w:bookmarkEnd w:id="42"/>
      <w:bookmarkEnd w:id="43"/>
      <w:bookmarkEnd w:id="44"/>
    </w:p>
    <w:p w:rsidR="00856C45" w:rsidRPr="00C656C9" w:rsidRDefault="00856C45"/>
    <w:p w:rsidR="00405F92" w:rsidRPr="00C656C9" w:rsidRDefault="00373894">
      <w:pPr>
        <w:pStyle w:val="Heading1"/>
        <w:rPr>
          <w:b/>
        </w:rPr>
      </w:pPr>
      <w:r w:rsidRPr="00C656C9">
        <w:t>Pursuant to OAR 340-216-0066(4</w:t>
      </w:r>
      <w:proofErr w:type="gramStart"/>
      <w:r w:rsidRPr="00C656C9">
        <w:t>)(</w:t>
      </w:r>
      <w:proofErr w:type="gramEnd"/>
      <w:r w:rsidRPr="00C656C9">
        <w:t xml:space="preserve">a)(A), “Issuance Procedures for Standard Air Contaminant Discharge Permits,” the Department is required to provide public notice in accordance with OAR 340-209-0030(3)(c) for this proposed permit action.  </w:t>
      </w:r>
      <w:r w:rsidR="00E34619" w:rsidRPr="00C656C9">
        <w:t>Accordingly</w:t>
      </w:r>
      <w:r w:rsidRPr="00C656C9">
        <w:t>, the Department must provide public notice of this proposed permit action sufficient to allow a minimum of 35 days for interested persons to submit written comments on the proposed permit action.</w:t>
      </w:r>
      <w:r w:rsidR="00440F66" w:rsidRPr="00C656C9">
        <w:t xml:space="preserve">  The public notice procedures</w:t>
      </w:r>
      <w:r w:rsidR="00E34619" w:rsidRPr="00C656C9">
        <w:t xml:space="preserve"> also</w:t>
      </w:r>
      <w:r w:rsidR="00440F66" w:rsidRPr="00C656C9">
        <w:t xml:space="preserve"> include criteria to allow interested persons to request a public hearing</w:t>
      </w:r>
      <w:r w:rsidR="00405F92" w:rsidRPr="00C656C9">
        <w:t xml:space="preserve"> in which</w:t>
      </w:r>
      <w:r w:rsidR="00E34619" w:rsidRPr="00C656C9">
        <w:t xml:space="preserve"> to submit oral or written comments</w:t>
      </w:r>
      <w:r w:rsidR="00440F66" w:rsidRPr="00C656C9">
        <w:t>.</w:t>
      </w:r>
      <w:r w:rsidR="00E34619" w:rsidRPr="00C656C9">
        <w:t xml:space="preserve">  In this instance the permittee has elected to proceed directly to a Public Hearing</w:t>
      </w:r>
      <w:r w:rsidR="00405F92" w:rsidRPr="00C656C9">
        <w:t>.</w:t>
      </w:r>
    </w:p>
    <w:p w:rsidR="00405F92" w:rsidRPr="00C656C9" w:rsidRDefault="00405F92" w:rsidP="00405F92">
      <w:pPr>
        <w:pStyle w:val="Heading1"/>
        <w:numPr>
          <w:ilvl w:val="0"/>
          <w:numId w:val="0"/>
        </w:numPr>
        <w:ind w:left="720"/>
      </w:pPr>
    </w:p>
    <w:p w:rsidR="00373894" w:rsidRPr="00CD7393" w:rsidRDefault="00373894" w:rsidP="00AA68FA">
      <w:pPr>
        <w:ind w:left="720"/>
        <w:rPr>
          <w:b/>
        </w:rPr>
      </w:pPr>
      <w:r w:rsidRPr="00AA68FA">
        <w:rPr>
          <w:b/>
        </w:rPr>
        <w:t xml:space="preserve">The public notice was mailed on </w:t>
      </w:r>
      <w:r w:rsidR="0050784C" w:rsidRPr="00AA68FA">
        <w:rPr>
          <w:b/>
        </w:rPr>
        <w:fldChar w:fldCharType="begin">
          <w:ffData>
            <w:name w:val="Text62"/>
            <w:enabled/>
            <w:calcOnExit w:val="0"/>
            <w:textInput>
              <w:default w:val="&lt;date&gt;"/>
            </w:textInput>
          </w:ffData>
        </w:fldChar>
      </w:r>
      <w:r w:rsidRPr="00AA68FA">
        <w:rPr>
          <w:b/>
        </w:rPr>
        <w:instrText xml:space="preserve"> FORMTEXT </w:instrText>
      </w:r>
      <w:r w:rsidR="0050784C" w:rsidRPr="00AA68FA">
        <w:rPr>
          <w:b/>
        </w:rPr>
      </w:r>
      <w:r w:rsidR="0050784C" w:rsidRPr="00AA68FA">
        <w:rPr>
          <w:b/>
        </w:rPr>
        <w:fldChar w:fldCharType="separate"/>
      </w:r>
      <w:r w:rsidRPr="00AA68FA">
        <w:rPr>
          <w:b/>
        </w:rPr>
        <w:t>&lt;date&gt;</w:t>
      </w:r>
      <w:r w:rsidR="0050784C" w:rsidRPr="00AA68FA">
        <w:rPr>
          <w:b/>
        </w:rPr>
        <w:fldChar w:fldCharType="end"/>
      </w:r>
      <w:r w:rsidRPr="00AA68FA">
        <w:rPr>
          <w:b/>
        </w:rPr>
        <w:t xml:space="preserve">, marking the beginning of the public comment period.  The Department will hold </w:t>
      </w:r>
      <w:r w:rsidR="00FB1C52" w:rsidRPr="00AA68FA">
        <w:rPr>
          <w:b/>
        </w:rPr>
        <w:t>a</w:t>
      </w:r>
      <w:r w:rsidRPr="00AA68FA">
        <w:rPr>
          <w:b/>
        </w:rPr>
        <w:t xml:space="preserve"> public hearing on </w:t>
      </w:r>
      <w:r w:rsidR="00AA68FA" w:rsidRPr="00AA68FA">
        <w:rPr>
          <w:b/>
        </w:rPr>
        <w:t>March 6</w:t>
      </w:r>
      <w:r w:rsidR="00C91DFE" w:rsidRPr="00C91DFE">
        <w:rPr>
          <w:b/>
          <w:vertAlign w:val="superscript"/>
        </w:rPr>
        <w:t>th</w:t>
      </w:r>
      <w:r w:rsidR="00C91DFE">
        <w:rPr>
          <w:b/>
        </w:rPr>
        <w:t>,</w:t>
      </w:r>
      <w:r w:rsidR="00AA68FA" w:rsidRPr="00AA68FA">
        <w:rPr>
          <w:b/>
        </w:rPr>
        <w:t xml:space="preserve"> 2012</w:t>
      </w:r>
      <w:r w:rsidRPr="00AA68FA">
        <w:rPr>
          <w:b/>
        </w:rPr>
        <w:t xml:space="preserve"> at </w:t>
      </w:r>
      <w:r w:rsidR="00AA68FA" w:rsidRPr="00AA68FA">
        <w:rPr>
          <w:b/>
        </w:rPr>
        <w:t>St. Johns Community Center, 8427 North Cen</w:t>
      </w:r>
      <w:r w:rsidR="00AA68FA" w:rsidRPr="00CD7393">
        <w:rPr>
          <w:b/>
        </w:rPr>
        <w:t>tral Street, in Portland</w:t>
      </w:r>
      <w:r w:rsidRPr="00CD7393">
        <w:rPr>
          <w:b/>
        </w:rPr>
        <w:t xml:space="preserve">.  Written comments may be submitted up to the end of the public comment period which ends at 5:00 pm on </w:t>
      </w:r>
      <w:r w:rsidR="00AA68FA" w:rsidRPr="00CD7393">
        <w:rPr>
          <w:b/>
        </w:rPr>
        <w:t>March 12</w:t>
      </w:r>
      <w:r w:rsidR="00C91DFE" w:rsidRPr="00CD7393">
        <w:rPr>
          <w:b/>
          <w:vertAlign w:val="superscript"/>
        </w:rPr>
        <w:t>th</w:t>
      </w:r>
      <w:r w:rsidR="00C91DFE" w:rsidRPr="00CD7393">
        <w:rPr>
          <w:b/>
        </w:rPr>
        <w:t>,</w:t>
      </w:r>
      <w:r w:rsidR="00AA68FA" w:rsidRPr="00CD7393">
        <w:rPr>
          <w:b/>
        </w:rPr>
        <w:t xml:space="preserve"> 2012</w:t>
      </w:r>
      <w:r w:rsidRPr="00CD7393">
        <w:rPr>
          <w:b/>
        </w:rPr>
        <w:t>.</w:t>
      </w:r>
    </w:p>
    <w:p w:rsidR="00405F92" w:rsidRDefault="00405F92"/>
    <w:p w:rsidR="00041CED" w:rsidRPr="00C656C9" w:rsidRDefault="00041CED"/>
    <w:p w:rsidR="00856C45" w:rsidRPr="00C656C9" w:rsidRDefault="0050784C">
      <w:fldSimple w:instr=" USERINITIALS  \* MERGEFORMAT ">
        <w:r w:rsidR="005A5B6F" w:rsidRPr="00C656C9">
          <w:rPr>
            <w:noProof/>
          </w:rPr>
          <w:t>GGG</w:t>
        </w:r>
      </w:fldSimple>
      <w:proofErr w:type="gramStart"/>
      <w:r w:rsidR="00041287" w:rsidRPr="00C656C9">
        <w:t>:</w:t>
      </w:r>
      <w:r w:rsidR="001357AF" w:rsidRPr="00C656C9">
        <w:t>DM</w:t>
      </w:r>
      <w:proofErr w:type="gramEnd"/>
    </w:p>
    <w:sectPr w:rsidR="00856C45" w:rsidRPr="00C656C9" w:rsidSect="00856C45">
      <w:pgSz w:w="12240" w:h="15840"/>
      <w:pgMar w:top="180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A68FA" w:rsidRDefault="00AA68FA">
      <w:r>
        <w:separator/>
      </w:r>
    </w:p>
  </w:endnote>
  <w:endnote w:type="continuationSeparator" w:id="0">
    <w:p w:rsidR="00AA68FA" w:rsidRDefault="00AA68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8FA" w:rsidRDefault="00AA68FA">
    <w:pPr>
      <w:pStyle w:val="Footer"/>
      <w:rPr>
        <w:i/>
        <w:sz w:val="16"/>
        <w:szCs w:val="16"/>
      </w:rPr>
    </w:pPr>
    <w:r>
      <w:rPr>
        <w:i/>
        <w:sz w:val="16"/>
        <w:szCs w:val="16"/>
      </w:rPr>
      <w:t>Revised 5/27/2011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A68FA" w:rsidRDefault="00AA68FA">
      <w:r>
        <w:separator/>
      </w:r>
    </w:p>
  </w:footnote>
  <w:footnote w:type="continuationSeparator" w:id="0">
    <w:p w:rsidR="00AA68FA" w:rsidRDefault="00AA68F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8FA" w:rsidRDefault="00AA68FA">
    <w:pPr>
      <w:pStyle w:val="Header"/>
      <w:tabs>
        <w:tab w:val="clear" w:pos="4320"/>
        <w:tab w:val="clear" w:pos="8640"/>
        <w:tab w:val="center" w:pos="-1800"/>
        <w:tab w:val="right" w:pos="9360"/>
      </w:tabs>
      <w:rPr>
        <w:b/>
      </w:rPr>
    </w:pPr>
    <w:r>
      <w:rPr>
        <w:b/>
        <w:noProof/>
      </w:rPr>
      <w:drawing>
        <wp:anchor distT="0" distB="0" distL="114300" distR="114300" simplePos="0" relativeHeight="251658240" behindDoc="0" locked="0" layoutInCell="1" allowOverlap="1">
          <wp:simplePos x="933450" y="457200"/>
          <wp:positionH relativeFrom="margin">
            <wp:align>left</wp:align>
          </wp:positionH>
          <wp:positionV relativeFrom="margin">
            <wp:align>top</wp:align>
          </wp:positionV>
          <wp:extent cx="533400" cy="1247775"/>
          <wp:effectExtent l="19050" t="0" r="0" b="0"/>
          <wp:wrapSquare wrapText="bothSides"/>
          <wp:docPr id="1" name="Picture 0" descr="DEQlogo.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EQlogo.tiff"/>
                  <pic:cNvPicPr/>
                </pic:nvPicPr>
                <pic:blipFill>
                  <a:blip r:embed="rId1"/>
                  <a:stretch>
                    <a:fillRect/>
                  </a:stretch>
                </pic:blipFill>
                <pic:spPr>
                  <a:xfrm>
                    <a:off x="0" y="0"/>
                    <a:ext cx="533400" cy="1247775"/>
                  </a:xfrm>
                  <a:prstGeom prst="rect">
                    <a:avLst/>
                  </a:prstGeom>
                </pic:spPr>
              </pic:pic>
            </a:graphicData>
          </a:graphic>
        </wp:anchor>
      </w:drawing>
    </w:r>
    <w:r>
      <w:rPr>
        <w:b/>
      </w:rPr>
      <w:t>Draft</w:t>
    </w:r>
    <w:r>
      <w:rPr>
        <w:b/>
      </w:rPr>
      <w:tab/>
    </w:r>
    <w:r>
      <w:t>Permit No.:  26-0170-ST-01</w:t>
    </w:r>
  </w:p>
  <w:p w:rsidR="00AA68FA" w:rsidRDefault="00AA68FA">
    <w:pPr>
      <w:pStyle w:val="Header"/>
      <w:tabs>
        <w:tab w:val="clear" w:pos="4320"/>
        <w:tab w:val="clear" w:pos="8640"/>
        <w:tab w:val="center" w:pos="-2790"/>
        <w:tab w:val="right" w:pos="9360"/>
      </w:tabs>
    </w:pPr>
    <w:r>
      <w:t>&lt;11/10/2011&gt;</w:t>
    </w:r>
    <w:r>
      <w:tab/>
      <w:t>Application No.:    026389</w:t>
    </w:r>
  </w:p>
  <w:p w:rsidR="00AA68FA" w:rsidRDefault="00AA68FA">
    <w:pPr>
      <w:pStyle w:val="Header"/>
      <w:tabs>
        <w:tab w:val="clear" w:pos="4320"/>
        <w:tab w:val="clear" w:pos="8640"/>
        <w:tab w:val="center" w:pos="-2790"/>
        <w:tab w:val="right" w:pos="9360"/>
      </w:tabs>
    </w:pPr>
    <w:r>
      <w:tab/>
      <w:t xml:space="preserve">Page </w:t>
    </w:r>
    <w:r w:rsidR="0050784C">
      <w:rPr>
        <w:rStyle w:val="PageNumber"/>
      </w:rPr>
      <w:fldChar w:fldCharType="begin"/>
    </w:r>
    <w:r>
      <w:rPr>
        <w:rStyle w:val="PageNumber"/>
      </w:rPr>
      <w:instrText xml:space="preserve"> PAGE </w:instrText>
    </w:r>
    <w:r w:rsidR="0050784C">
      <w:rPr>
        <w:rStyle w:val="PageNumber"/>
      </w:rPr>
      <w:fldChar w:fldCharType="separate"/>
    </w:r>
    <w:r w:rsidR="001F7142">
      <w:rPr>
        <w:rStyle w:val="PageNumber"/>
        <w:noProof/>
      </w:rPr>
      <w:t>1</w:t>
    </w:r>
    <w:r w:rsidR="0050784C">
      <w:rPr>
        <w:rStyle w:val="PageNumber"/>
      </w:rPr>
      <w:fldChar w:fldCharType="end"/>
    </w:r>
    <w:r>
      <w:rPr>
        <w:rStyle w:val="PageNumber"/>
      </w:rPr>
      <w:t xml:space="preserve"> of </w:t>
    </w:r>
    <w:r w:rsidR="0050784C">
      <w:rPr>
        <w:rStyle w:val="PageNumber"/>
      </w:rPr>
      <w:fldChar w:fldCharType="begin"/>
    </w:r>
    <w:r>
      <w:rPr>
        <w:rStyle w:val="PageNumber"/>
      </w:rPr>
      <w:instrText xml:space="preserve"> NUMPAGES </w:instrText>
    </w:r>
    <w:r w:rsidR="0050784C">
      <w:rPr>
        <w:rStyle w:val="PageNumber"/>
      </w:rPr>
      <w:fldChar w:fldCharType="separate"/>
    </w:r>
    <w:r w:rsidR="001F7142">
      <w:rPr>
        <w:rStyle w:val="PageNumber"/>
        <w:noProof/>
      </w:rPr>
      <w:t>9</w:t>
    </w:r>
    <w:r w:rsidR="0050784C">
      <w:rPr>
        <w:rStyle w:val="PageNumber"/>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A68FA" w:rsidRDefault="00AA68FA" w:rsidP="00D520DF">
    <w:pPr>
      <w:pStyle w:val="Header"/>
      <w:tabs>
        <w:tab w:val="clear" w:pos="4320"/>
        <w:tab w:val="clear" w:pos="8640"/>
        <w:tab w:val="center" w:pos="-1800"/>
        <w:tab w:val="right" w:pos="9360"/>
      </w:tabs>
      <w:rPr>
        <w:b/>
      </w:rPr>
    </w:pPr>
    <w:r>
      <w:rPr>
        <w:b/>
      </w:rPr>
      <w:t>Draft</w:t>
    </w:r>
    <w:r>
      <w:rPr>
        <w:b/>
      </w:rPr>
      <w:tab/>
    </w:r>
    <w:r>
      <w:t>Permit No.:  26-0170-ST-01</w:t>
    </w:r>
  </w:p>
  <w:p w:rsidR="00AA68FA" w:rsidRDefault="00AA68FA" w:rsidP="00D520DF">
    <w:pPr>
      <w:pStyle w:val="Header"/>
      <w:tabs>
        <w:tab w:val="clear" w:pos="4320"/>
        <w:tab w:val="clear" w:pos="8640"/>
        <w:tab w:val="center" w:pos="-1800"/>
        <w:tab w:val="right" w:pos="9360"/>
      </w:tabs>
    </w:pPr>
    <w:r>
      <w:t>&lt;1/5/2012&gt;</w:t>
    </w:r>
    <w:r>
      <w:tab/>
      <w:t>Application No.:    026389</w:t>
    </w:r>
  </w:p>
  <w:p w:rsidR="00AA68FA" w:rsidRDefault="00AA68FA">
    <w:pPr>
      <w:pStyle w:val="Header"/>
      <w:jc w:val="right"/>
    </w:pPr>
    <w:r>
      <w:t xml:space="preserve">Page </w:t>
    </w:r>
    <w:r w:rsidR="0050784C">
      <w:rPr>
        <w:rStyle w:val="PageNumber"/>
      </w:rPr>
      <w:fldChar w:fldCharType="begin"/>
    </w:r>
    <w:r>
      <w:rPr>
        <w:rStyle w:val="PageNumber"/>
      </w:rPr>
      <w:instrText xml:space="preserve"> PAGE </w:instrText>
    </w:r>
    <w:r w:rsidR="0050784C">
      <w:rPr>
        <w:rStyle w:val="PageNumber"/>
      </w:rPr>
      <w:fldChar w:fldCharType="separate"/>
    </w:r>
    <w:r w:rsidR="001F7142">
      <w:rPr>
        <w:rStyle w:val="PageNumber"/>
        <w:noProof/>
      </w:rPr>
      <w:t>9</w:t>
    </w:r>
    <w:r w:rsidR="0050784C">
      <w:rPr>
        <w:rStyle w:val="PageNumber"/>
      </w:rPr>
      <w:fldChar w:fldCharType="end"/>
    </w:r>
    <w:r>
      <w:rPr>
        <w:rStyle w:val="PageNumber"/>
      </w:rPr>
      <w:t xml:space="preserve"> of </w:t>
    </w:r>
    <w:r w:rsidR="0050784C">
      <w:rPr>
        <w:rStyle w:val="PageNumber"/>
      </w:rPr>
      <w:fldChar w:fldCharType="begin"/>
    </w:r>
    <w:r>
      <w:rPr>
        <w:rStyle w:val="PageNumber"/>
      </w:rPr>
      <w:instrText xml:space="preserve"> NUMPAGES </w:instrText>
    </w:r>
    <w:r w:rsidR="0050784C">
      <w:rPr>
        <w:rStyle w:val="PageNumber"/>
      </w:rPr>
      <w:fldChar w:fldCharType="separate"/>
    </w:r>
    <w:r w:rsidR="001F7142">
      <w:rPr>
        <w:rStyle w:val="PageNumber"/>
        <w:noProof/>
      </w:rPr>
      <w:t>9</w:t>
    </w:r>
    <w:r w:rsidR="0050784C">
      <w:rPr>
        <w:rStyle w:val="PageNumber"/>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66AE9"/>
    <w:multiLevelType w:val="multilevel"/>
    <w:tmpl w:val="AA306F5E"/>
    <w:lvl w:ilvl="0">
      <w:start w:val="1"/>
      <w:numFmt w:val="decimal"/>
      <w:lvlText w:val="%1."/>
      <w:lvlJc w:val="left"/>
      <w:pPr>
        <w:tabs>
          <w:tab w:val="num" w:pos="720"/>
        </w:tabs>
        <w:ind w:left="720" w:hanging="720"/>
      </w:pPr>
      <w:rPr>
        <w:rFonts w:ascii="Times New Roman" w:hAnsi="Times New Roman" w:hint="default"/>
        <w:b w:val="0"/>
        <w:i w:val="0"/>
        <w:sz w:val="24"/>
      </w:rPr>
    </w:lvl>
    <w:lvl w:ilvl="1">
      <w:start w:val="1"/>
      <w:numFmt w:val="lowerLetter"/>
      <w:lvlText w:val="%2."/>
      <w:lvlJc w:val="left"/>
      <w:pPr>
        <w:tabs>
          <w:tab w:val="num" w:pos="1440"/>
        </w:tabs>
        <w:ind w:left="1440" w:hanging="720"/>
      </w:pPr>
      <w:rPr>
        <w:rFonts w:ascii="Times New Roman" w:hAnsi="Times New Roman" w:hint="default"/>
        <w:b w:val="0"/>
        <w:i w:val="0"/>
        <w:sz w:val="24"/>
      </w:rPr>
    </w:lvl>
    <w:lvl w:ilvl="2">
      <w:start w:val="1"/>
      <w:numFmt w:val="lowerRoman"/>
      <w:lvlText w:val="%3."/>
      <w:lvlJc w:val="left"/>
      <w:pPr>
        <w:tabs>
          <w:tab w:val="num" w:pos="2160"/>
        </w:tabs>
        <w:ind w:left="2160" w:hanging="72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0C6C3C08"/>
    <w:multiLevelType w:val="multilevel"/>
    <w:tmpl w:val="BFF23FB4"/>
    <w:lvl w:ilvl="0">
      <w:start w:val="1"/>
      <w:numFmt w:val="decimal"/>
      <w:lvlText w:val="%1."/>
      <w:lvlJc w:val="left"/>
      <w:pPr>
        <w:tabs>
          <w:tab w:val="num" w:pos="720"/>
        </w:tabs>
        <w:ind w:left="720" w:hanging="720"/>
      </w:pPr>
      <w:rPr>
        <w:rFonts w:ascii="Times New Roman" w:hAnsi="Times New Roman" w:hint="default"/>
        <w:b w:val="0"/>
        <w:i w:val="0"/>
        <w:sz w:val="24"/>
      </w:rPr>
    </w:lvl>
    <w:lvl w:ilvl="1">
      <w:start w:val="1"/>
      <w:numFmt w:val="lowerLetter"/>
      <w:lvlText w:val="%2."/>
      <w:lvlJc w:val="left"/>
      <w:pPr>
        <w:tabs>
          <w:tab w:val="num" w:pos="1440"/>
        </w:tabs>
        <w:ind w:left="1440" w:hanging="720"/>
      </w:pPr>
      <w:rPr>
        <w:rFonts w:ascii="Times New Roman" w:hAnsi="Times New Roman" w:hint="default"/>
        <w:b w:val="0"/>
        <w:i w:val="0"/>
        <w:sz w:val="24"/>
      </w:rPr>
    </w:lvl>
    <w:lvl w:ilvl="2">
      <w:start w:val="1"/>
      <w:numFmt w:val="lowerRoman"/>
      <w:lvlText w:val="%3."/>
      <w:lvlJc w:val="left"/>
      <w:pPr>
        <w:tabs>
          <w:tab w:val="num" w:pos="2160"/>
        </w:tabs>
        <w:ind w:left="2160" w:hanging="72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0ED4114A"/>
    <w:multiLevelType w:val="singleLevel"/>
    <w:tmpl w:val="0409000F"/>
    <w:lvl w:ilvl="0">
      <w:start w:val="1"/>
      <w:numFmt w:val="decimal"/>
      <w:lvlText w:val="%1."/>
      <w:lvlJc w:val="left"/>
      <w:pPr>
        <w:tabs>
          <w:tab w:val="num" w:pos="360"/>
        </w:tabs>
        <w:ind w:left="360" w:hanging="360"/>
      </w:pPr>
    </w:lvl>
  </w:abstractNum>
  <w:abstractNum w:abstractNumId="3">
    <w:nsid w:val="19E1014C"/>
    <w:multiLevelType w:val="multilevel"/>
    <w:tmpl w:val="CCD20970"/>
    <w:lvl w:ilvl="0">
      <w:start w:val="1"/>
      <w:numFmt w:val="decimal"/>
      <w:pStyle w:val="Heading1"/>
      <w:lvlText w:val="%1."/>
      <w:lvlJc w:val="left"/>
      <w:pPr>
        <w:tabs>
          <w:tab w:val="num" w:pos="720"/>
        </w:tabs>
        <w:ind w:left="720" w:hanging="720"/>
      </w:pPr>
      <w:rPr>
        <w:rFonts w:ascii="Times New Roman" w:hAnsi="Times New Roman" w:hint="default"/>
        <w:b w:val="0"/>
        <w:i w:val="0"/>
        <w:sz w:val="24"/>
      </w:rPr>
    </w:lvl>
    <w:lvl w:ilvl="1">
      <w:start w:val="1"/>
      <w:numFmt w:val="lowerLetter"/>
      <w:pStyle w:val="Heading2"/>
      <w:lvlText w:val="%2."/>
      <w:lvlJc w:val="left"/>
      <w:pPr>
        <w:tabs>
          <w:tab w:val="num" w:pos="1440"/>
        </w:tabs>
        <w:ind w:left="1440" w:hanging="720"/>
      </w:pPr>
      <w:rPr>
        <w:rFonts w:ascii="Times New Roman" w:hAnsi="Times New Roman" w:hint="default"/>
        <w:b w:val="0"/>
        <w:i w:val="0"/>
        <w:sz w:val="24"/>
      </w:rPr>
    </w:lvl>
    <w:lvl w:ilvl="2">
      <w:start w:val="1"/>
      <w:numFmt w:val="lowerRoman"/>
      <w:pStyle w:val="Heading3"/>
      <w:lvlText w:val="%3."/>
      <w:lvlJc w:val="left"/>
      <w:pPr>
        <w:tabs>
          <w:tab w:val="num" w:pos="2160"/>
        </w:tabs>
        <w:ind w:left="2160" w:hanging="720"/>
      </w:pPr>
      <w:rPr>
        <w:rFonts w:ascii="Times New Roman" w:hAnsi="Times New Roman" w:hint="default"/>
        <w:b w:val="0"/>
        <w:i w:val="0"/>
        <w:sz w:val="24"/>
      </w:rPr>
    </w:lvl>
    <w:lvl w:ilvl="3">
      <w:start w:val="1"/>
      <w:numFmt w:val="upperLetter"/>
      <w:pStyle w:val="Heading4"/>
      <w:lvlText w:val="%4."/>
      <w:lvlJc w:val="left"/>
      <w:pPr>
        <w:tabs>
          <w:tab w:val="num" w:pos="2880"/>
        </w:tabs>
        <w:ind w:left="2880" w:hanging="720"/>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4">
    <w:nsid w:val="1F5239F0"/>
    <w:multiLevelType w:val="multilevel"/>
    <w:tmpl w:val="AA306F5E"/>
    <w:lvl w:ilvl="0">
      <w:start w:val="1"/>
      <w:numFmt w:val="decimal"/>
      <w:lvlText w:val="%1."/>
      <w:lvlJc w:val="left"/>
      <w:pPr>
        <w:tabs>
          <w:tab w:val="num" w:pos="720"/>
        </w:tabs>
        <w:ind w:left="720" w:hanging="720"/>
      </w:pPr>
      <w:rPr>
        <w:rFonts w:ascii="Times New Roman" w:hAnsi="Times New Roman" w:hint="default"/>
        <w:b w:val="0"/>
        <w:i w:val="0"/>
        <w:sz w:val="24"/>
      </w:rPr>
    </w:lvl>
    <w:lvl w:ilvl="1">
      <w:start w:val="1"/>
      <w:numFmt w:val="lowerLetter"/>
      <w:lvlText w:val="%2."/>
      <w:lvlJc w:val="left"/>
      <w:pPr>
        <w:tabs>
          <w:tab w:val="num" w:pos="1440"/>
        </w:tabs>
        <w:ind w:left="1440" w:hanging="720"/>
      </w:pPr>
      <w:rPr>
        <w:rFonts w:ascii="Times New Roman" w:hAnsi="Times New Roman" w:hint="default"/>
        <w:b w:val="0"/>
        <w:i w:val="0"/>
        <w:sz w:val="24"/>
      </w:rPr>
    </w:lvl>
    <w:lvl w:ilvl="2">
      <w:start w:val="1"/>
      <w:numFmt w:val="lowerRoman"/>
      <w:lvlText w:val="%3."/>
      <w:lvlJc w:val="left"/>
      <w:pPr>
        <w:tabs>
          <w:tab w:val="num" w:pos="2160"/>
        </w:tabs>
        <w:ind w:left="2160" w:hanging="72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2A815DA3"/>
    <w:multiLevelType w:val="multilevel"/>
    <w:tmpl w:val="0A02526E"/>
    <w:lvl w:ilvl="0">
      <w:start w:val="1"/>
      <w:numFmt w:val="decimal"/>
      <w:lvlText w:val="%1."/>
      <w:lvlJc w:val="left"/>
      <w:pPr>
        <w:tabs>
          <w:tab w:val="num" w:pos="720"/>
        </w:tabs>
        <w:ind w:left="720" w:hanging="720"/>
      </w:pPr>
      <w:rPr>
        <w:rFonts w:ascii="Times New Roman" w:hAnsi="Times New Roman" w:hint="default"/>
        <w:b w:val="0"/>
        <w:i w:val="0"/>
        <w:sz w:val="24"/>
      </w:rPr>
    </w:lvl>
    <w:lvl w:ilvl="1">
      <w:start w:val="1"/>
      <w:numFmt w:val="lowerLetter"/>
      <w:lvlText w:val="%2."/>
      <w:lvlJc w:val="left"/>
      <w:pPr>
        <w:tabs>
          <w:tab w:val="num" w:pos="1440"/>
        </w:tabs>
        <w:ind w:left="1440" w:hanging="720"/>
      </w:pPr>
      <w:rPr>
        <w:rFonts w:ascii="Times New Roman" w:hAnsi="Times New Roman" w:hint="default"/>
        <w:b w:val="0"/>
        <w:i w:val="0"/>
        <w:sz w:val="24"/>
      </w:rPr>
    </w:lvl>
    <w:lvl w:ilvl="2">
      <w:start w:val="1"/>
      <w:numFmt w:val="lowerRoman"/>
      <w:lvlText w:val="%3."/>
      <w:lvlJc w:val="left"/>
      <w:pPr>
        <w:tabs>
          <w:tab w:val="num" w:pos="2160"/>
        </w:tabs>
        <w:ind w:left="2160" w:hanging="720"/>
      </w:pPr>
      <w:rPr>
        <w:rFonts w:ascii="Times New Roman" w:hAnsi="Times New Roman" w:hint="default"/>
        <w:b w:val="0"/>
        <w:i w:val="0"/>
        <w:sz w:val="24"/>
      </w:rPr>
    </w:lvl>
    <w:lvl w:ilvl="3">
      <w:start w:val="1"/>
      <w:numFmt w:val="upperLetter"/>
      <w:lvlText w:val="%4."/>
      <w:lvlJc w:val="left"/>
      <w:pPr>
        <w:tabs>
          <w:tab w:val="num" w:pos="2880"/>
        </w:tabs>
        <w:ind w:left="2880" w:hanging="72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nsid w:val="386E22ED"/>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7">
    <w:nsid w:val="3E562687"/>
    <w:multiLevelType w:val="multilevel"/>
    <w:tmpl w:val="BFF23FB4"/>
    <w:lvl w:ilvl="0">
      <w:start w:val="1"/>
      <w:numFmt w:val="decimal"/>
      <w:lvlText w:val="%1."/>
      <w:lvlJc w:val="left"/>
      <w:pPr>
        <w:tabs>
          <w:tab w:val="num" w:pos="720"/>
        </w:tabs>
        <w:ind w:left="720" w:hanging="720"/>
      </w:pPr>
      <w:rPr>
        <w:rFonts w:ascii="Times New Roman" w:hAnsi="Times New Roman" w:hint="default"/>
        <w:b w:val="0"/>
        <w:i w:val="0"/>
        <w:sz w:val="24"/>
      </w:rPr>
    </w:lvl>
    <w:lvl w:ilvl="1">
      <w:start w:val="1"/>
      <w:numFmt w:val="lowerLetter"/>
      <w:lvlText w:val="%2."/>
      <w:lvlJc w:val="left"/>
      <w:pPr>
        <w:tabs>
          <w:tab w:val="num" w:pos="1440"/>
        </w:tabs>
        <w:ind w:left="1440" w:hanging="720"/>
      </w:pPr>
      <w:rPr>
        <w:rFonts w:ascii="Times New Roman" w:hAnsi="Times New Roman" w:hint="default"/>
        <w:b w:val="0"/>
        <w:i w:val="0"/>
        <w:sz w:val="24"/>
      </w:rPr>
    </w:lvl>
    <w:lvl w:ilvl="2">
      <w:start w:val="1"/>
      <w:numFmt w:val="lowerRoman"/>
      <w:lvlText w:val="%3."/>
      <w:lvlJc w:val="left"/>
      <w:pPr>
        <w:tabs>
          <w:tab w:val="num" w:pos="2160"/>
        </w:tabs>
        <w:ind w:left="2160" w:hanging="72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nsid w:val="41E23ADD"/>
    <w:multiLevelType w:val="singleLevel"/>
    <w:tmpl w:val="04090001"/>
    <w:lvl w:ilvl="0">
      <w:numFmt w:val="bullet"/>
      <w:lvlText w:val=""/>
      <w:lvlJc w:val="left"/>
      <w:pPr>
        <w:tabs>
          <w:tab w:val="num" w:pos="360"/>
        </w:tabs>
        <w:ind w:left="360" w:hanging="360"/>
      </w:pPr>
      <w:rPr>
        <w:rFonts w:ascii="Symbol" w:hAnsi="Symbol" w:hint="default"/>
      </w:rPr>
    </w:lvl>
  </w:abstractNum>
  <w:abstractNum w:abstractNumId="9">
    <w:nsid w:val="474D1A2D"/>
    <w:multiLevelType w:val="singleLevel"/>
    <w:tmpl w:val="0409000F"/>
    <w:lvl w:ilvl="0">
      <w:start w:val="1"/>
      <w:numFmt w:val="decimal"/>
      <w:lvlText w:val="%1."/>
      <w:lvlJc w:val="left"/>
      <w:pPr>
        <w:tabs>
          <w:tab w:val="num" w:pos="360"/>
        </w:tabs>
        <w:ind w:left="360" w:hanging="360"/>
      </w:pPr>
    </w:lvl>
  </w:abstractNum>
  <w:abstractNum w:abstractNumId="10">
    <w:nsid w:val="530B138D"/>
    <w:multiLevelType w:val="multilevel"/>
    <w:tmpl w:val="EF24D180"/>
    <w:lvl w:ilvl="0">
      <w:start w:val="1"/>
      <w:numFmt w:val="decimal"/>
      <w:lvlText w:val="%1."/>
      <w:lvlJc w:val="left"/>
      <w:pPr>
        <w:tabs>
          <w:tab w:val="num" w:pos="720"/>
        </w:tabs>
        <w:ind w:left="720" w:hanging="720"/>
      </w:pPr>
      <w:rPr>
        <w:rFonts w:ascii="Times New Roman" w:hAnsi="Times New Roman" w:hint="default"/>
        <w:b w:val="0"/>
        <w:i w:val="0"/>
        <w:sz w:val="24"/>
      </w:rPr>
    </w:lvl>
    <w:lvl w:ilvl="1">
      <w:start w:val="1"/>
      <w:numFmt w:val="lowerLetter"/>
      <w:lvlText w:val="%2."/>
      <w:lvlJc w:val="left"/>
      <w:pPr>
        <w:tabs>
          <w:tab w:val="num" w:pos="1440"/>
        </w:tabs>
        <w:ind w:left="1440" w:hanging="720"/>
      </w:pPr>
      <w:rPr>
        <w:rFonts w:ascii="Times New Roman" w:hAnsi="Times New Roman" w:hint="default"/>
        <w:b w:val="0"/>
        <w:i w:val="0"/>
        <w:sz w:val="24"/>
      </w:rPr>
    </w:lvl>
    <w:lvl w:ilvl="2">
      <w:start w:val="1"/>
      <w:numFmt w:val="lowerRoman"/>
      <w:lvlText w:val="%3."/>
      <w:lvlJc w:val="left"/>
      <w:pPr>
        <w:tabs>
          <w:tab w:val="num" w:pos="2160"/>
        </w:tabs>
        <w:ind w:left="2160" w:hanging="720"/>
      </w:pPr>
      <w:rPr>
        <w:rFonts w:ascii="Times New Roman" w:hAnsi="Times New Roman" w:hint="default"/>
        <w:b w:val="0"/>
        <w:i w:val="0"/>
        <w:sz w:val="24"/>
      </w:rPr>
    </w:lvl>
    <w:lvl w:ilvl="3">
      <w:start w:val="1"/>
      <w:numFmt w:val="upperLetter"/>
      <w:lvlText w:val="%4."/>
      <w:lvlJc w:val="left"/>
      <w:pPr>
        <w:tabs>
          <w:tab w:val="num" w:pos="2880"/>
        </w:tabs>
        <w:ind w:left="2880" w:hanging="72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nsid w:val="56DA404C"/>
    <w:multiLevelType w:val="multilevel"/>
    <w:tmpl w:val="C290948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5AED03ED"/>
    <w:multiLevelType w:val="singleLevel"/>
    <w:tmpl w:val="0409000F"/>
    <w:lvl w:ilvl="0">
      <w:start w:val="1"/>
      <w:numFmt w:val="decimal"/>
      <w:lvlText w:val="%1."/>
      <w:lvlJc w:val="left"/>
      <w:pPr>
        <w:tabs>
          <w:tab w:val="num" w:pos="360"/>
        </w:tabs>
        <w:ind w:left="360" w:hanging="360"/>
      </w:pPr>
    </w:lvl>
  </w:abstractNum>
  <w:abstractNum w:abstractNumId="13">
    <w:nsid w:val="65B93C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6BA32CD7"/>
    <w:multiLevelType w:val="multilevel"/>
    <w:tmpl w:val="BFF23FB4"/>
    <w:lvl w:ilvl="0">
      <w:start w:val="1"/>
      <w:numFmt w:val="decimal"/>
      <w:lvlText w:val="%1."/>
      <w:lvlJc w:val="left"/>
      <w:pPr>
        <w:tabs>
          <w:tab w:val="num" w:pos="720"/>
        </w:tabs>
        <w:ind w:left="720" w:hanging="720"/>
      </w:pPr>
      <w:rPr>
        <w:rFonts w:ascii="Times New Roman" w:hAnsi="Times New Roman" w:hint="default"/>
        <w:b w:val="0"/>
        <w:i w:val="0"/>
        <w:sz w:val="24"/>
      </w:rPr>
    </w:lvl>
    <w:lvl w:ilvl="1">
      <w:start w:val="1"/>
      <w:numFmt w:val="lowerLetter"/>
      <w:lvlText w:val="%2."/>
      <w:lvlJc w:val="left"/>
      <w:pPr>
        <w:tabs>
          <w:tab w:val="num" w:pos="1440"/>
        </w:tabs>
        <w:ind w:left="1440" w:hanging="720"/>
      </w:pPr>
      <w:rPr>
        <w:rFonts w:ascii="Times New Roman" w:hAnsi="Times New Roman" w:hint="default"/>
        <w:b w:val="0"/>
        <w:i w:val="0"/>
        <w:sz w:val="24"/>
      </w:rPr>
    </w:lvl>
    <w:lvl w:ilvl="2">
      <w:start w:val="1"/>
      <w:numFmt w:val="lowerRoman"/>
      <w:lvlText w:val="%3."/>
      <w:lvlJc w:val="left"/>
      <w:pPr>
        <w:tabs>
          <w:tab w:val="num" w:pos="2160"/>
        </w:tabs>
        <w:ind w:left="2160" w:hanging="72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738C11EF"/>
    <w:multiLevelType w:val="multilevel"/>
    <w:tmpl w:val="BFF23FB4"/>
    <w:lvl w:ilvl="0">
      <w:start w:val="1"/>
      <w:numFmt w:val="decimal"/>
      <w:lvlText w:val="%1."/>
      <w:lvlJc w:val="left"/>
      <w:pPr>
        <w:tabs>
          <w:tab w:val="num" w:pos="720"/>
        </w:tabs>
        <w:ind w:left="720" w:hanging="720"/>
      </w:pPr>
      <w:rPr>
        <w:rFonts w:ascii="Times New Roman" w:hAnsi="Times New Roman" w:hint="default"/>
        <w:b w:val="0"/>
        <w:i w:val="0"/>
        <w:sz w:val="24"/>
      </w:rPr>
    </w:lvl>
    <w:lvl w:ilvl="1">
      <w:start w:val="1"/>
      <w:numFmt w:val="lowerLetter"/>
      <w:lvlText w:val="%2."/>
      <w:lvlJc w:val="left"/>
      <w:pPr>
        <w:tabs>
          <w:tab w:val="num" w:pos="1440"/>
        </w:tabs>
        <w:ind w:left="1440" w:hanging="720"/>
      </w:pPr>
      <w:rPr>
        <w:rFonts w:ascii="Times New Roman" w:hAnsi="Times New Roman" w:hint="default"/>
        <w:b w:val="0"/>
        <w:i w:val="0"/>
        <w:sz w:val="24"/>
      </w:rPr>
    </w:lvl>
    <w:lvl w:ilvl="2">
      <w:start w:val="1"/>
      <w:numFmt w:val="lowerRoman"/>
      <w:lvlText w:val="%3."/>
      <w:lvlJc w:val="left"/>
      <w:pPr>
        <w:tabs>
          <w:tab w:val="num" w:pos="2160"/>
        </w:tabs>
        <w:ind w:left="2160" w:hanging="72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nsid w:val="74F70AB1"/>
    <w:multiLevelType w:val="multilevel"/>
    <w:tmpl w:val="C290948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75DE109A"/>
    <w:multiLevelType w:val="multilevel"/>
    <w:tmpl w:val="FD625198"/>
    <w:lvl w:ilvl="0">
      <w:start w:val="1"/>
      <w:numFmt w:val="decimal"/>
      <w:lvlText w:val="%1."/>
      <w:lvlJc w:val="left"/>
      <w:pPr>
        <w:tabs>
          <w:tab w:val="num" w:pos="720"/>
        </w:tabs>
        <w:ind w:left="720" w:hanging="720"/>
      </w:pPr>
      <w:rPr>
        <w:rFonts w:ascii="Times New Roman" w:hAnsi="Times New Roman" w:hint="default"/>
        <w:b w:val="0"/>
        <w:i w:val="0"/>
        <w:sz w:val="24"/>
      </w:rPr>
    </w:lvl>
    <w:lvl w:ilvl="1">
      <w:start w:val="1"/>
      <w:numFmt w:val="lowerLetter"/>
      <w:lvlText w:val="%2."/>
      <w:lvlJc w:val="left"/>
      <w:pPr>
        <w:tabs>
          <w:tab w:val="num" w:pos="1440"/>
        </w:tabs>
        <w:ind w:left="1440" w:hanging="720"/>
      </w:pPr>
      <w:rPr>
        <w:rFonts w:ascii="Times New Roman" w:hAnsi="Times New Roman" w:hint="default"/>
        <w:b w:val="0"/>
        <w:i w:val="0"/>
        <w:sz w:val="24"/>
      </w:rPr>
    </w:lvl>
    <w:lvl w:ilvl="2">
      <w:start w:val="1"/>
      <w:numFmt w:val="lowerRoman"/>
      <w:lvlText w:val="%3."/>
      <w:lvlJc w:val="left"/>
      <w:pPr>
        <w:tabs>
          <w:tab w:val="num" w:pos="2160"/>
        </w:tabs>
        <w:ind w:left="2160" w:hanging="720"/>
      </w:pPr>
      <w:rPr>
        <w:rFonts w:ascii="Times New Roman" w:hAnsi="Times New Roman" w:hint="default"/>
        <w:b w:val="0"/>
        <w:i w:val="0"/>
        <w:sz w:val="24"/>
      </w:rPr>
    </w:lvl>
    <w:lvl w:ilvl="3">
      <w:start w:val="1"/>
      <w:numFmt w:val="upperLetter"/>
      <w:lvlText w:val="%1.%2.%3.%4."/>
      <w:lvlJc w:val="left"/>
      <w:pPr>
        <w:tabs>
          <w:tab w:val="num" w:pos="2880"/>
        </w:tabs>
        <w:ind w:left="2880" w:hanging="720"/>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
    <w:nsid w:val="75FB78CF"/>
    <w:multiLevelType w:val="singleLevel"/>
    <w:tmpl w:val="0409000F"/>
    <w:lvl w:ilvl="0">
      <w:start w:val="1"/>
      <w:numFmt w:val="decimal"/>
      <w:lvlText w:val="%1."/>
      <w:lvlJc w:val="left"/>
      <w:pPr>
        <w:tabs>
          <w:tab w:val="num" w:pos="360"/>
        </w:tabs>
        <w:ind w:left="360" w:hanging="360"/>
      </w:pPr>
    </w:lvl>
  </w:abstractNum>
  <w:abstractNum w:abstractNumId="19">
    <w:nsid w:val="7B9545F5"/>
    <w:multiLevelType w:val="multilevel"/>
    <w:tmpl w:val="BFF23FB4"/>
    <w:lvl w:ilvl="0">
      <w:start w:val="1"/>
      <w:numFmt w:val="decimal"/>
      <w:lvlText w:val="%1."/>
      <w:lvlJc w:val="left"/>
      <w:pPr>
        <w:tabs>
          <w:tab w:val="num" w:pos="720"/>
        </w:tabs>
        <w:ind w:left="720" w:hanging="720"/>
      </w:pPr>
      <w:rPr>
        <w:rFonts w:ascii="Times New Roman" w:hAnsi="Times New Roman" w:hint="default"/>
        <w:b w:val="0"/>
        <w:i w:val="0"/>
        <w:sz w:val="24"/>
      </w:rPr>
    </w:lvl>
    <w:lvl w:ilvl="1">
      <w:start w:val="1"/>
      <w:numFmt w:val="lowerLetter"/>
      <w:lvlText w:val="%2."/>
      <w:lvlJc w:val="left"/>
      <w:pPr>
        <w:tabs>
          <w:tab w:val="num" w:pos="1440"/>
        </w:tabs>
        <w:ind w:left="1440" w:hanging="720"/>
      </w:pPr>
      <w:rPr>
        <w:rFonts w:ascii="Times New Roman" w:hAnsi="Times New Roman" w:hint="default"/>
        <w:b w:val="0"/>
        <w:i w:val="0"/>
        <w:sz w:val="24"/>
      </w:rPr>
    </w:lvl>
    <w:lvl w:ilvl="2">
      <w:start w:val="1"/>
      <w:numFmt w:val="lowerRoman"/>
      <w:lvlText w:val="%3."/>
      <w:lvlJc w:val="left"/>
      <w:pPr>
        <w:tabs>
          <w:tab w:val="num" w:pos="2160"/>
        </w:tabs>
        <w:ind w:left="2160" w:hanging="72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7CA10A53"/>
    <w:multiLevelType w:val="multilevel"/>
    <w:tmpl w:val="AA306F5E"/>
    <w:lvl w:ilvl="0">
      <w:start w:val="1"/>
      <w:numFmt w:val="decimal"/>
      <w:lvlText w:val="%1."/>
      <w:lvlJc w:val="left"/>
      <w:pPr>
        <w:tabs>
          <w:tab w:val="num" w:pos="720"/>
        </w:tabs>
        <w:ind w:left="720" w:hanging="720"/>
      </w:pPr>
      <w:rPr>
        <w:rFonts w:ascii="Times New Roman" w:hAnsi="Times New Roman" w:hint="default"/>
        <w:b w:val="0"/>
        <w:i w:val="0"/>
        <w:sz w:val="24"/>
      </w:rPr>
    </w:lvl>
    <w:lvl w:ilvl="1">
      <w:start w:val="1"/>
      <w:numFmt w:val="lowerLetter"/>
      <w:lvlText w:val="%2."/>
      <w:lvlJc w:val="left"/>
      <w:pPr>
        <w:tabs>
          <w:tab w:val="num" w:pos="1440"/>
        </w:tabs>
        <w:ind w:left="1440" w:hanging="720"/>
      </w:pPr>
      <w:rPr>
        <w:rFonts w:ascii="Times New Roman" w:hAnsi="Times New Roman" w:hint="default"/>
        <w:b w:val="0"/>
        <w:i w:val="0"/>
        <w:sz w:val="24"/>
      </w:rPr>
    </w:lvl>
    <w:lvl w:ilvl="2">
      <w:start w:val="1"/>
      <w:numFmt w:val="lowerRoman"/>
      <w:lvlText w:val="%3."/>
      <w:lvlJc w:val="left"/>
      <w:pPr>
        <w:tabs>
          <w:tab w:val="num" w:pos="2160"/>
        </w:tabs>
        <w:ind w:left="2160" w:hanging="72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7E083B47"/>
    <w:multiLevelType w:val="singleLevel"/>
    <w:tmpl w:val="0409000F"/>
    <w:lvl w:ilvl="0">
      <w:start w:val="1"/>
      <w:numFmt w:val="decimal"/>
      <w:lvlText w:val="%1."/>
      <w:lvlJc w:val="left"/>
      <w:pPr>
        <w:tabs>
          <w:tab w:val="num" w:pos="360"/>
        </w:tabs>
        <w:ind w:left="360" w:hanging="360"/>
      </w:pPr>
    </w:lvl>
  </w:abstractNum>
  <w:num w:numId="1">
    <w:abstractNumId w:val="4"/>
  </w:num>
  <w:num w:numId="2">
    <w:abstractNumId w:val="4"/>
  </w:num>
  <w:num w:numId="3">
    <w:abstractNumId w:val="4"/>
  </w:num>
  <w:num w:numId="4">
    <w:abstractNumId w:val="4"/>
  </w:num>
  <w:num w:numId="5">
    <w:abstractNumId w:val="2"/>
  </w:num>
  <w:num w:numId="6">
    <w:abstractNumId w:val="16"/>
  </w:num>
  <w:num w:numId="7">
    <w:abstractNumId w:val="11"/>
  </w:num>
  <w:num w:numId="8">
    <w:abstractNumId w:val="4"/>
  </w:num>
  <w:num w:numId="9">
    <w:abstractNumId w:val="4"/>
  </w:num>
  <w:num w:numId="10">
    <w:abstractNumId w:val="4"/>
  </w:num>
  <w:num w:numId="11">
    <w:abstractNumId w:val="8"/>
  </w:num>
  <w:num w:numId="12">
    <w:abstractNumId w:val="4"/>
  </w:num>
  <w:num w:numId="13">
    <w:abstractNumId w:val="17"/>
  </w:num>
  <w:num w:numId="14">
    <w:abstractNumId w:val="18"/>
  </w:num>
  <w:num w:numId="15">
    <w:abstractNumId w:val="21"/>
  </w:num>
  <w:num w:numId="16">
    <w:abstractNumId w:val="9"/>
  </w:num>
  <w:num w:numId="17">
    <w:abstractNumId w:val="12"/>
  </w:num>
  <w:num w:numId="18">
    <w:abstractNumId w:val="6"/>
  </w:num>
  <w:num w:numId="19">
    <w:abstractNumId w:val="3"/>
  </w:num>
  <w:num w:numId="20">
    <w:abstractNumId w:val="5"/>
  </w:num>
  <w:num w:numId="21">
    <w:abstractNumId w:val="13"/>
  </w:num>
  <w:num w:numId="22">
    <w:abstractNumId w:val="3"/>
  </w:num>
  <w:num w:numId="23">
    <w:abstractNumId w:val="3"/>
  </w:num>
  <w:num w:numId="24">
    <w:abstractNumId w:val="3"/>
  </w:num>
  <w:num w:numId="25">
    <w:abstractNumId w:val="10"/>
  </w:num>
  <w:num w:numId="26">
    <w:abstractNumId w:val="3"/>
  </w:num>
  <w:num w:numId="27">
    <w:abstractNumId w:val="3"/>
  </w:num>
  <w:num w:numId="2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embedSystemFonts/>
  <w:proofState w:spelling="clean" w:grammar="clean"/>
  <w:stylePaneFormatFilter w:val="3F01"/>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7649"/>
  </w:hdrShapeDefaults>
  <w:footnotePr>
    <w:footnote w:id="-1"/>
    <w:footnote w:id="0"/>
  </w:footnotePr>
  <w:endnotePr>
    <w:endnote w:id="-1"/>
    <w:endnote w:id="0"/>
  </w:endnotePr>
  <w:compat/>
  <w:rsids>
    <w:rsidRoot w:val="004B16A1"/>
    <w:rsid w:val="0002358C"/>
    <w:rsid w:val="00033E5C"/>
    <w:rsid w:val="00040818"/>
    <w:rsid w:val="00041287"/>
    <w:rsid w:val="00041CED"/>
    <w:rsid w:val="000471B1"/>
    <w:rsid w:val="00047DBE"/>
    <w:rsid w:val="00051148"/>
    <w:rsid w:val="000715C3"/>
    <w:rsid w:val="00090712"/>
    <w:rsid w:val="000B5D79"/>
    <w:rsid w:val="000B607B"/>
    <w:rsid w:val="000C29B5"/>
    <w:rsid w:val="000C7228"/>
    <w:rsid w:val="000D2EC8"/>
    <w:rsid w:val="000D3596"/>
    <w:rsid w:val="000D392C"/>
    <w:rsid w:val="000D76A4"/>
    <w:rsid w:val="000E17B5"/>
    <w:rsid w:val="00110968"/>
    <w:rsid w:val="001161F0"/>
    <w:rsid w:val="001218DF"/>
    <w:rsid w:val="001357AF"/>
    <w:rsid w:val="001469F8"/>
    <w:rsid w:val="0015106C"/>
    <w:rsid w:val="0015685C"/>
    <w:rsid w:val="00156BC3"/>
    <w:rsid w:val="001678BF"/>
    <w:rsid w:val="0018178E"/>
    <w:rsid w:val="00183CF9"/>
    <w:rsid w:val="00185BB6"/>
    <w:rsid w:val="00187A4C"/>
    <w:rsid w:val="00194C06"/>
    <w:rsid w:val="001B28B4"/>
    <w:rsid w:val="001C512C"/>
    <w:rsid w:val="001C7A25"/>
    <w:rsid w:val="001F5213"/>
    <w:rsid w:val="001F7142"/>
    <w:rsid w:val="001F758E"/>
    <w:rsid w:val="002008FF"/>
    <w:rsid w:val="00222E2C"/>
    <w:rsid w:val="00223463"/>
    <w:rsid w:val="00230600"/>
    <w:rsid w:val="002445B1"/>
    <w:rsid w:val="002552B1"/>
    <w:rsid w:val="0026041D"/>
    <w:rsid w:val="00271C91"/>
    <w:rsid w:val="00280343"/>
    <w:rsid w:val="002939AC"/>
    <w:rsid w:val="002C2246"/>
    <w:rsid w:val="002D0592"/>
    <w:rsid w:val="002D23F7"/>
    <w:rsid w:val="002E18BE"/>
    <w:rsid w:val="002F2461"/>
    <w:rsid w:val="00300B29"/>
    <w:rsid w:val="00300D53"/>
    <w:rsid w:val="00330A6E"/>
    <w:rsid w:val="00350516"/>
    <w:rsid w:val="003626F3"/>
    <w:rsid w:val="00373894"/>
    <w:rsid w:val="003914A6"/>
    <w:rsid w:val="0039533E"/>
    <w:rsid w:val="00395FCC"/>
    <w:rsid w:val="003A0B86"/>
    <w:rsid w:val="003B54E4"/>
    <w:rsid w:val="003C2D08"/>
    <w:rsid w:val="003C7CD5"/>
    <w:rsid w:val="003D2A1A"/>
    <w:rsid w:val="003E7BFF"/>
    <w:rsid w:val="003F56F2"/>
    <w:rsid w:val="003F6FA5"/>
    <w:rsid w:val="003F7DDB"/>
    <w:rsid w:val="00405449"/>
    <w:rsid w:val="00405F92"/>
    <w:rsid w:val="00417892"/>
    <w:rsid w:val="0043265A"/>
    <w:rsid w:val="00432C35"/>
    <w:rsid w:val="004406B4"/>
    <w:rsid w:val="00440F66"/>
    <w:rsid w:val="00443F27"/>
    <w:rsid w:val="004523A6"/>
    <w:rsid w:val="00461F8C"/>
    <w:rsid w:val="0046355D"/>
    <w:rsid w:val="00466CFF"/>
    <w:rsid w:val="00475CCF"/>
    <w:rsid w:val="0048094E"/>
    <w:rsid w:val="0048374D"/>
    <w:rsid w:val="00496BB6"/>
    <w:rsid w:val="004B1069"/>
    <w:rsid w:val="004B16A1"/>
    <w:rsid w:val="004B66E6"/>
    <w:rsid w:val="004E5F83"/>
    <w:rsid w:val="00505EC1"/>
    <w:rsid w:val="0050784C"/>
    <w:rsid w:val="00524DB8"/>
    <w:rsid w:val="00531C41"/>
    <w:rsid w:val="0053277F"/>
    <w:rsid w:val="00534226"/>
    <w:rsid w:val="00543798"/>
    <w:rsid w:val="00554B11"/>
    <w:rsid w:val="00562B62"/>
    <w:rsid w:val="005922CC"/>
    <w:rsid w:val="00593068"/>
    <w:rsid w:val="005A3CDC"/>
    <w:rsid w:val="005A5B6F"/>
    <w:rsid w:val="005B12A2"/>
    <w:rsid w:val="005C208D"/>
    <w:rsid w:val="005C6B2C"/>
    <w:rsid w:val="005D05C7"/>
    <w:rsid w:val="005E6AD2"/>
    <w:rsid w:val="005F4887"/>
    <w:rsid w:val="006103F0"/>
    <w:rsid w:val="006472E9"/>
    <w:rsid w:val="006509F3"/>
    <w:rsid w:val="00673F09"/>
    <w:rsid w:val="006811A5"/>
    <w:rsid w:val="006979FE"/>
    <w:rsid w:val="006A5FF9"/>
    <w:rsid w:val="006B7A19"/>
    <w:rsid w:val="006B7CE8"/>
    <w:rsid w:val="006C1B9E"/>
    <w:rsid w:val="006C3148"/>
    <w:rsid w:val="006D2FAC"/>
    <w:rsid w:val="006D5D52"/>
    <w:rsid w:val="006D5E51"/>
    <w:rsid w:val="0073779B"/>
    <w:rsid w:val="00744B0F"/>
    <w:rsid w:val="00750C85"/>
    <w:rsid w:val="00752989"/>
    <w:rsid w:val="007530C6"/>
    <w:rsid w:val="007646A3"/>
    <w:rsid w:val="00772B27"/>
    <w:rsid w:val="0078162B"/>
    <w:rsid w:val="00786245"/>
    <w:rsid w:val="007B3650"/>
    <w:rsid w:val="007D2143"/>
    <w:rsid w:val="007D743B"/>
    <w:rsid w:val="007E4D95"/>
    <w:rsid w:val="007F4631"/>
    <w:rsid w:val="007F510B"/>
    <w:rsid w:val="00806D72"/>
    <w:rsid w:val="00810489"/>
    <w:rsid w:val="00832A9F"/>
    <w:rsid w:val="00847FC8"/>
    <w:rsid w:val="00856C45"/>
    <w:rsid w:val="00864686"/>
    <w:rsid w:val="00877B69"/>
    <w:rsid w:val="00881B17"/>
    <w:rsid w:val="00894BF1"/>
    <w:rsid w:val="008A0699"/>
    <w:rsid w:val="008A60A2"/>
    <w:rsid w:val="008C001B"/>
    <w:rsid w:val="008C6BAA"/>
    <w:rsid w:val="008E7754"/>
    <w:rsid w:val="008F7C31"/>
    <w:rsid w:val="009007F5"/>
    <w:rsid w:val="0091533B"/>
    <w:rsid w:val="00920A50"/>
    <w:rsid w:val="009266AD"/>
    <w:rsid w:val="00940161"/>
    <w:rsid w:val="0094331A"/>
    <w:rsid w:val="009435AA"/>
    <w:rsid w:val="0094381D"/>
    <w:rsid w:val="00971A52"/>
    <w:rsid w:val="0099722B"/>
    <w:rsid w:val="009A3642"/>
    <w:rsid w:val="009C0FBC"/>
    <w:rsid w:val="009C37DC"/>
    <w:rsid w:val="009C5224"/>
    <w:rsid w:val="009C5A32"/>
    <w:rsid w:val="009D3D12"/>
    <w:rsid w:val="009D5DEA"/>
    <w:rsid w:val="009D60E7"/>
    <w:rsid w:val="009D7A6D"/>
    <w:rsid w:val="009E1AC2"/>
    <w:rsid w:val="009E3F69"/>
    <w:rsid w:val="009E7822"/>
    <w:rsid w:val="009F0145"/>
    <w:rsid w:val="009F7CA7"/>
    <w:rsid w:val="00A23F48"/>
    <w:rsid w:val="00A34508"/>
    <w:rsid w:val="00A35943"/>
    <w:rsid w:val="00A36221"/>
    <w:rsid w:val="00A43EBD"/>
    <w:rsid w:val="00A474E0"/>
    <w:rsid w:val="00A729F8"/>
    <w:rsid w:val="00A759DF"/>
    <w:rsid w:val="00A95A62"/>
    <w:rsid w:val="00AA68FA"/>
    <w:rsid w:val="00AA6DD1"/>
    <w:rsid w:val="00AC4B16"/>
    <w:rsid w:val="00AC5995"/>
    <w:rsid w:val="00AD0A79"/>
    <w:rsid w:val="00AD3FF8"/>
    <w:rsid w:val="00AE6B85"/>
    <w:rsid w:val="00AF5B59"/>
    <w:rsid w:val="00B20618"/>
    <w:rsid w:val="00B37837"/>
    <w:rsid w:val="00B37F9D"/>
    <w:rsid w:val="00B55613"/>
    <w:rsid w:val="00B56E2D"/>
    <w:rsid w:val="00B67520"/>
    <w:rsid w:val="00BA0C55"/>
    <w:rsid w:val="00BA7EDA"/>
    <w:rsid w:val="00BC1EC6"/>
    <w:rsid w:val="00BC4286"/>
    <w:rsid w:val="00BD0CE2"/>
    <w:rsid w:val="00BF1E7B"/>
    <w:rsid w:val="00C07CA7"/>
    <w:rsid w:val="00C13838"/>
    <w:rsid w:val="00C13DC8"/>
    <w:rsid w:val="00C30620"/>
    <w:rsid w:val="00C34B2C"/>
    <w:rsid w:val="00C35AE3"/>
    <w:rsid w:val="00C411EF"/>
    <w:rsid w:val="00C44FB0"/>
    <w:rsid w:val="00C45859"/>
    <w:rsid w:val="00C508A3"/>
    <w:rsid w:val="00C51073"/>
    <w:rsid w:val="00C51975"/>
    <w:rsid w:val="00C545BB"/>
    <w:rsid w:val="00C571BF"/>
    <w:rsid w:val="00C63905"/>
    <w:rsid w:val="00C656C9"/>
    <w:rsid w:val="00C6764A"/>
    <w:rsid w:val="00C7466C"/>
    <w:rsid w:val="00C91DFE"/>
    <w:rsid w:val="00C95E7A"/>
    <w:rsid w:val="00C96FD3"/>
    <w:rsid w:val="00CA603D"/>
    <w:rsid w:val="00CB0C95"/>
    <w:rsid w:val="00CB5791"/>
    <w:rsid w:val="00CC247F"/>
    <w:rsid w:val="00CC5253"/>
    <w:rsid w:val="00CD635C"/>
    <w:rsid w:val="00CD7393"/>
    <w:rsid w:val="00CE7FD2"/>
    <w:rsid w:val="00D04377"/>
    <w:rsid w:val="00D116E2"/>
    <w:rsid w:val="00D4419A"/>
    <w:rsid w:val="00D47223"/>
    <w:rsid w:val="00D520DF"/>
    <w:rsid w:val="00D617B9"/>
    <w:rsid w:val="00D77EA0"/>
    <w:rsid w:val="00D853BA"/>
    <w:rsid w:val="00D93453"/>
    <w:rsid w:val="00DA17F8"/>
    <w:rsid w:val="00DB1931"/>
    <w:rsid w:val="00DB3E2D"/>
    <w:rsid w:val="00DC2893"/>
    <w:rsid w:val="00DC4531"/>
    <w:rsid w:val="00DE4EE3"/>
    <w:rsid w:val="00E20259"/>
    <w:rsid w:val="00E222EB"/>
    <w:rsid w:val="00E34619"/>
    <w:rsid w:val="00E34C04"/>
    <w:rsid w:val="00E35E4F"/>
    <w:rsid w:val="00E457FD"/>
    <w:rsid w:val="00E61190"/>
    <w:rsid w:val="00E62F8A"/>
    <w:rsid w:val="00E71B0D"/>
    <w:rsid w:val="00E73FFE"/>
    <w:rsid w:val="00E777C9"/>
    <w:rsid w:val="00E813B9"/>
    <w:rsid w:val="00E96613"/>
    <w:rsid w:val="00ED1524"/>
    <w:rsid w:val="00F10B59"/>
    <w:rsid w:val="00F10F8E"/>
    <w:rsid w:val="00F20673"/>
    <w:rsid w:val="00F21CC8"/>
    <w:rsid w:val="00F221EC"/>
    <w:rsid w:val="00F25DFC"/>
    <w:rsid w:val="00F316CB"/>
    <w:rsid w:val="00F42309"/>
    <w:rsid w:val="00F42B13"/>
    <w:rsid w:val="00F8186F"/>
    <w:rsid w:val="00F908F6"/>
    <w:rsid w:val="00FA6006"/>
    <w:rsid w:val="00FB1430"/>
    <w:rsid w:val="00FB1A4B"/>
    <w:rsid w:val="00FB1C52"/>
    <w:rsid w:val="00FD59A2"/>
    <w:rsid w:val="00FD64DA"/>
    <w:rsid w:val="00FE2692"/>
    <w:rsid w:val="00FE788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6C45"/>
    <w:rPr>
      <w:sz w:val="24"/>
    </w:rPr>
  </w:style>
  <w:style w:type="paragraph" w:styleId="Heading1">
    <w:name w:val="heading 1"/>
    <w:basedOn w:val="Normal"/>
    <w:next w:val="Normal"/>
    <w:qFormat/>
    <w:rsid w:val="00856C45"/>
    <w:pPr>
      <w:widowControl w:val="0"/>
      <w:numPr>
        <w:numId w:val="19"/>
      </w:numPr>
      <w:outlineLvl w:val="0"/>
    </w:pPr>
  </w:style>
  <w:style w:type="paragraph" w:styleId="Heading2">
    <w:name w:val="heading 2"/>
    <w:basedOn w:val="Normal"/>
    <w:next w:val="Normal"/>
    <w:qFormat/>
    <w:rsid w:val="00856C45"/>
    <w:pPr>
      <w:widowControl w:val="0"/>
      <w:numPr>
        <w:ilvl w:val="1"/>
        <w:numId w:val="19"/>
      </w:numPr>
      <w:outlineLvl w:val="1"/>
    </w:pPr>
  </w:style>
  <w:style w:type="paragraph" w:styleId="Heading3">
    <w:name w:val="heading 3"/>
    <w:basedOn w:val="Normal"/>
    <w:next w:val="Normal"/>
    <w:qFormat/>
    <w:rsid w:val="00856C45"/>
    <w:pPr>
      <w:keepNext/>
      <w:numPr>
        <w:ilvl w:val="2"/>
        <w:numId w:val="19"/>
      </w:numPr>
      <w:outlineLvl w:val="2"/>
    </w:pPr>
    <w:rPr>
      <w:b/>
      <w:u w:val="single"/>
    </w:rPr>
  </w:style>
  <w:style w:type="paragraph" w:styleId="Heading4">
    <w:name w:val="heading 4"/>
    <w:basedOn w:val="Normal"/>
    <w:next w:val="Normal"/>
    <w:qFormat/>
    <w:rsid w:val="00856C45"/>
    <w:pPr>
      <w:keepNext/>
      <w:numPr>
        <w:ilvl w:val="3"/>
        <w:numId w:val="19"/>
      </w:numPr>
      <w:outlineLvl w:val="3"/>
    </w:pPr>
    <w:rPr>
      <w:b/>
      <w:u w:val="single"/>
    </w:rPr>
  </w:style>
  <w:style w:type="paragraph" w:styleId="Heading5">
    <w:name w:val="heading 5"/>
    <w:basedOn w:val="Normal"/>
    <w:next w:val="Normal"/>
    <w:qFormat/>
    <w:rsid w:val="00856C45"/>
    <w:pPr>
      <w:keepNext/>
      <w:numPr>
        <w:ilvl w:val="4"/>
        <w:numId w:val="19"/>
      </w:numPr>
      <w:outlineLvl w:val="4"/>
    </w:pPr>
    <w:rPr>
      <w:b/>
      <w:sz w:val="22"/>
    </w:rPr>
  </w:style>
  <w:style w:type="paragraph" w:styleId="Heading6">
    <w:name w:val="heading 6"/>
    <w:basedOn w:val="Normal"/>
    <w:next w:val="Normal"/>
    <w:qFormat/>
    <w:rsid w:val="00856C45"/>
    <w:pPr>
      <w:keepNext/>
      <w:numPr>
        <w:ilvl w:val="5"/>
        <w:numId w:val="19"/>
      </w:numPr>
      <w:jc w:val="center"/>
      <w:outlineLvl w:val="5"/>
    </w:pPr>
    <w:rPr>
      <w:b/>
      <w:sz w:val="22"/>
    </w:rPr>
  </w:style>
  <w:style w:type="paragraph" w:styleId="Heading7">
    <w:name w:val="heading 7"/>
    <w:basedOn w:val="Normal"/>
    <w:next w:val="Normal"/>
    <w:qFormat/>
    <w:rsid w:val="00856C45"/>
    <w:pPr>
      <w:keepNext/>
      <w:numPr>
        <w:ilvl w:val="6"/>
        <w:numId w:val="19"/>
      </w:numPr>
      <w:jc w:val="center"/>
      <w:outlineLvl w:val="6"/>
    </w:pPr>
    <w:rPr>
      <w:rFonts w:ascii="Arial Black" w:hAnsi="Arial Black"/>
      <w:sz w:val="28"/>
    </w:rPr>
  </w:style>
  <w:style w:type="paragraph" w:styleId="Heading8">
    <w:name w:val="heading 8"/>
    <w:basedOn w:val="Normal"/>
    <w:next w:val="Normal"/>
    <w:qFormat/>
    <w:rsid w:val="00856C45"/>
    <w:pPr>
      <w:numPr>
        <w:ilvl w:val="7"/>
        <w:numId w:val="19"/>
      </w:numPr>
      <w:outlineLvl w:val="7"/>
    </w:pPr>
  </w:style>
  <w:style w:type="paragraph" w:styleId="Heading9">
    <w:name w:val="heading 9"/>
    <w:basedOn w:val="Normal"/>
    <w:next w:val="Normal"/>
    <w:qFormat/>
    <w:rsid w:val="00856C45"/>
    <w:pPr>
      <w:keepNext/>
      <w:numPr>
        <w:ilvl w:val="8"/>
        <w:numId w:val="19"/>
      </w:numPr>
      <w:tabs>
        <w:tab w:val="left" w:pos="-720"/>
      </w:tabs>
      <w:suppressAutoHyphens/>
      <w:jc w:val="cente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856C45"/>
    <w:pPr>
      <w:tabs>
        <w:tab w:val="center" w:pos="4320"/>
        <w:tab w:val="right" w:pos="8640"/>
      </w:tabs>
    </w:pPr>
  </w:style>
  <w:style w:type="paragraph" w:styleId="Footer">
    <w:name w:val="footer"/>
    <w:basedOn w:val="Normal"/>
    <w:rsid w:val="00856C45"/>
    <w:pPr>
      <w:tabs>
        <w:tab w:val="center" w:pos="4320"/>
        <w:tab w:val="right" w:pos="8640"/>
      </w:tabs>
    </w:pPr>
  </w:style>
  <w:style w:type="paragraph" w:customStyle="1" w:styleId="Sub-sectionheader">
    <w:name w:val="Sub-section header"/>
    <w:basedOn w:val="Normal"/>
    <w:next w:val="Normal"/>
    <w:rsid w:val="00856C45"/>
    <w:rPr>
      <w:caps/>
      <w:u w:val="single"/>
    </w:rPr>
  </w:style>
  <w:style w:type="paragraph" w:styleId="Title">
    <w:name w:val="Title"/>
    <w:basedOn w:val="Normal"/>
    <w:qFormat/>
    <w:rsid w:val="00856C45"/>
    <w:pPr>
      <w:jc w:val="center"/>
      <w:outlineLvl w:val="0"/>
    </w:pPr>
    <w:rPr>
      <w:rFonts w:ascii="Arial Black" w:hAnsi="Arial Black"/>
      <w:caps/>
      <w:kern w:val="28"/>
      <w:sz w:val="28"/>
    </w:rPr>
  </w:style>
  <w:style w:type="character" w:styleId="CommentReference">
    <w:name w:val="annotation reference"/>
    <w:basedOn w:val="DefaultParagraphFont"/>
    <w:semiHidden/>
    <w:rsid w:val="00856C45"/>
    <w:rPr>
      <w:sz w:val="16"/>
    </w:rPr>
  </w:style>
  <w:style w:type="paragraph" w:styleId="CommentText">
    <w:name w:val="annotation text"/>
    <w:basedOn w:val="Normal"/>
    <w:semiHidden/>
    <w:rsid w:val="00856C45"/>
    <w:rPr>
      <w:sz w:val="20"/>
    </w:rPr>
  </w:style>
  <w:style w:type="paragraph" w:customStyle="1" w:styleId="SectionHeader">
    <w:name w:val="Section Header"/>
    <w:basedOn w:val="Normal"/>
    <w:next w:val="Normal"/>
    <w:rsid w:val="00856C45"/>
    <w:pPr>
      <w:widowControl w:val="0"/>
    </w:pPr>
    <w:rPr>
      <w:rFonts w:ascii="Arial Black" w:hAnsi="Arial Black"/>
      <w:caps/>
      <w:sz w:val="28"/>
    </w:rPr>
  </w:style>
  <w:style w:type="paragraph" w:styleId="TOC1">
    <w:name w:val="toc 1"/>
    <w:basedOn w:val="Normal"/>
    <w:next w:val="Normal"/>
    <w:autoRedefine/>
    <w:uiPriority w:val="39"/>
    <w:rsid w:val="00856C45"/>
    <w:pPr>
      <w:widowControl w:val="0"/>
      <w:tabs>
        <w:tab w:val="right" w:leader="dot" w:pos="9360"/>
      </w:tabs>
      <w:spacing w:line="360" w:lineRule="auto"/>
    </w:pPr>
    <w:rPr>
      <w:caps/>
      <w:noProof/>
    </w:rPr>
  </w:style>
  <w:style w:type="character" w:styleId="PageNumber">
    <w:name w:val="page number"/>
    <w:basedOn w:val="DefaultParagraphFont"/>
    <w:rsid w:val="00856C45"/>
  </w:style>
  <w:style w:type="table" w:styleId="TableGrid">
    <w:name w:val="Table Grid"/>
    <w:basedOn w:val="TableNormal"/>
    <w:rsid w:val="00856C4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semiHidden/>
    <w:rsid w:val="00856C45"/>
    <w:rPr>
      <w:rFonts w:ascii="Tahoma" w:hAnsi="Tahoma" w:cs="Tahoma"/>
      <w:sz w:val="16"/>
      <w:szCs w:val="16"/>
    </w:rPr>
  </w:style>
  <w:style w:type="paragraph" w:styleId="CommentSubject">
    <w:name w:val="annotation subject"/>
    <w:basedOn w:val="CommentText"/>
    <w:next w:val="CommentText"/>
    <w:semiHidden/>
    <w:rsid w:val="00856C45"/>
    <w:rPr>
      <w:b/>
      <w:bCs/>
    </w:rPr>
  </w:style>
  <w:style w:type="paragraph" w:styleId="Revision">
    <w:name w:val="Revision"/>
    <w:hidden/>
    <w:uiPriority w:val="99"/>
    <w:semiHidden/>
    <w:rsid w:val="00881B17"/>
    <w:rPr>
      <w:sz w:val="24"/>
    </w:rPr>
  </w:style>
  <w:style w:type="paragraph" w:styleId="DocumentMap">
    <w:name w:val="Document Map"/>
    <w:basedOn w:val="Normal"/>
    <w:link w:val="DocumentMapChar"/>
    <w:uiPriority w:val="99"/>
    <w:semiHidden/>
    <w:unhideWhenUsed/>
    <w:rsid w:val="00FE2692"/>
    <w:rPr>
      <w:rFonts w:ascii="Tahoma" w:hAnsi="Tahoma"/>
      <w:sz w:val="16"/>
      <w:szCs w:val="16"/>
    </w:rPr>
  </w:style>
  <w:style w:type="character" w:customStyle="1" w:styleId="DocumentMapChar">
    <w:name w:val="Document Map Char"/>
    <w:basedOn w:val="DefaultParagraphFont"/>
    <w:link w:val="DocumentMap"/>
    <w:uiPriority w:val="99"/>
    <w:semiHidden/>
    <w:rsid w:val="00FE2692"/>
    <w:rPr>
      <w:rFonts w:ascii="Tahoma" w:hAnsi="Tahoma"/>
      <w:sz w:val="16"/>
      <w:szCs w:val="16"/>
    </w:rPr>
  </w:style>
  <w:style w:type="character" w:customStyle="1" w:styleId="FontStyle19">
    <w:name w:val="Font Style19"/>
    <w:basedOn w:val="DefaultParagraphFont"/>
    <w:uiPriority w:val="99"/>
    <w:rsid w:val="00300B29"/>
    <w:rPr>
      <w:rFonts w:ascii="Times New Roman" w:hAnsi="Times New Roman" w:cs="Times New Roman"/>
      <w:color w:val="000000"/>
      <w:sz w:val="20"/>
      <w:szCs w:val="20"/>
    </w:rPr>
  </w:style>
  <w:style w:type="character" w:customStyle="1" w:styleId="HeaderChar">
    <w:name w:val="Header Char"/>
    <w:basedOn w:val="DefaultParagraphFont"/>
    <w:link w:val="Header"/>
    <w:rsid w:val="0015106C"/>
    <w:rPr>
      <w:sz w:val="24"/>
    </w:rPr>
  </w:style>
  <w:style w:type="paragraph" w:styleId="EndnoteText">
    <w:name w:val="endnote text"/>
    <w:basedOn w:val="Normal"/>
    <w:link w:val="EndnoteTextChar"/>
    <w:semiHidden/>
    <w:rsid w:val="000D2EC8"/>
  </w:style>
  <w:style w:type="character" w:customStyle="1" w:styleId="EndnoteTextChar">
    <w:name w:val="Endnote Text Char"/>
    <w:basedOn w:val="DefaultParagraphFont"/>
    <w:link w:val="EndnoteText"/>
    <w:semiHidden/>
    <w:rsid w:val="000D2EC8"/>
    <w:rPr>
      <w:sz w:val="24"/>
    </w:rPr>
  </w:style>
  <w:style w:type="paragraph" w:customStyle="1" w:styleId="Default">
    <w:name w:val="Default"/>
    <w:rsid w:val="00F25DFC"/>
    <w:pPr>
      <w:autoSpaceDE w:val="0"/>
      <w:autoSpaceDN w:val="0"/>
      <w:adjustRightInd w:val="0"/>
    </w:pPr>
    <w:rPr>
      <w:color w:val="000000"/>
      <w:sz w:val="24"/>
      <w:szCs w:val="24"/>
    </w:rPr>
  </w:style>
  <w:style w:type="paragraph" w:customStyle="1" w:styleId="DEQTEXTforFACTSHEET">
    <w:name w:val="(DEQ)TEXT for FACT SHEET"/>
    <w:basedOn w:val="Normal"/>
    <w:link w:val="DEQTEXTforFACTSHEETChar"/>
    <w:rsid w:val="00AA68FA"/>
    <w:rPr>
      <w:rFonts w:eastAsia="Times"/>
      <w:sz w:val="20"/>
    </w:rPr>
  </w:style>
  <w:style w:type="character" w:customStyle="1" w:styleId="DEQTEXTforFACTSHEETChar">
    <w:name w:val="(DEQ)TEXT for FACT SHEET Char"/>
    <w:basedOn w:val="DefaultParagraphFont"/>
    <w:link w:val="DEQTEXTforFACTSHEET"/>
    <w:rsid w:val="00AA68FA"/>
    <w:rPr>
      <w:rFonts w:eastAsia="Time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2628</Words>
  <Characters>14632</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2012-01-19T19:32:00Z</dcterms:created>
  <dcterms:modified xsi:type="dcterms:W3CDTF">2012-01-24T17:14:00Z</dcterms:modified>
</cp:coreProperties>
</file>