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039" w:rsidRPr="007F2849" w:rsidRDefault="00A91039" w:rsidP="006E5B24">
      <w:pPr>
        <w:pStyle w:val="Heading2"/>
        <w:widowControl w:val="0"/>
      </w:pPr>
      <w:r w:rsidRPr="007F2849">
        <w:t>Start Rulemaking Proposal</w:t>
      </w:r>
      <w:r w:rsidR="00843105" w:rsidRPr="007F2849">
        <w:t xml:space="preserve"> (SRP)</w:t>
      </w:r>
    </w:p>
    <w:p w:rsidR="00A91039" w:rsidRPr="007F2849" w:rsidRDefault="00A91039" w:rsidP="006E5B24">
      <w:pPr>
        <w:widowControl w:val="0"/>
        <w:rPr>
          <w:i/>
        </w:rPr>
      </w:pPr>
      <w:r w:rsidRPr="007F2849">
        <w:rPr>
          <w:b/>
        </w:rPr>
        <w:t xml:space="preserve">Date: </w:t>
      </w:r>
      <w:r w:rsidR="008815C0" w:rsidRPr="008815C0">
        <w:t>April 5, 2012</w:t>
      </w:r>
    </w:p>
    <w:p w:rsidR="00A91039" w:rsidRPr="007F2849" w:rsidRDefault="00A91039" w:rsidP="006E5B24">
      <w:pPr>
        <w:widowControl w:val="0"/>
      </w:pPr>
      <w:r w:rsidRPr="007F2849">
        <w:rPr>
          <w:b/>
        </w:rPr>
        <w:t>Contact Person/phone:</w:t>
      </w:r>
      <w:r w:rsidR="00AF06DB" w:rsidRPr="00AF06DB">
        <w:t xml:space="preserve"> </w:t>
      </w:r>
      <w:r w:rsidR="00AF06DB">
        <w:t>Jerry Ebersole (503) 229-6974</w:t>
      </w:r>
    </w:p>
    <w:p w:rsidR="00A91039" w:rsidRPr="00346539" w:rsidRDefault="00A91039" w:rsidP="006E5B24">
      <w:pPr>
        <w:pStyle w:val="BlockLine"/>
        <w:widowControl w:val="0"/>
        <w:ind w:left="0"/>
        <w:rPr>
          <w:b/>
          <w:i/>
          <w:sz w:val="20"/>
        </w:rPr>
      </w:pPr>
    </w:p>
    <w:p w:rsidR="006E5B24" w:rsidRPr="006E5B24" w:rsidRDefault="00A91039" w:rsidP="006E5B24">
      <w:pPr>
        <w:pStyle w:val="Heading4"/>
        <w:widowControl w:val="0"/>
        <w:spacing w:after="120"/>
      </w:pPr>
      <w:r w:rsidRPr="007F2849">
        <w:t>Rulemaking Proposal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430"/>
        <w:gridCol w:w="1890"/>
        <w:gridCol w:w="180"/>
        <w:gridCol w:w="1620"/>
        <w:gridCol w:w="2070"/>
      </w:tblGrid>
      <w:tr w:rsidR="00A91039" w:rsidRPr="00AA7DC6" w:rsidTr="006E5B24">
        <w:tc>
          <w:tcPr>
            <w:tcW w:w="1728" w:type="dxa"/>
            <w:shd w:val="clear" w:color="auto" w:fill="auto"/>
          </w:tcPr>
          <w:p w:rsidR="00A91039" w:rsidRPr="00AA7DC6" w:rsidRDefault="00A91039" w:rsidP="006E5B24">
            <w:pPr>
              <w:pStyle w:val="Heading5"/>
              <w:widowControl w:val="0"/>
              <w:rPr>
                <w:szCs w:val="22"/>
              </w:rPr>
            </w:pPr>
            <w:r w:rsidRPr="00AA7DC6">
              <w:rPr>
                <w:szCs w:val="22"/>
              </w:rPr>
              <w:t>Rule Number and Title</w:t>
            </w:r>
          </w:p>
        </w:tc>
        <w:tc>
          <w:tcPr>
            <w:tcW w:w="8190" w:type="dxa"/>
            <w:gridSpan w:val="5"/>
            <w:shd w:val="clear" w:color="auto" w:fill="auto"/>
          </w:tcPr>
          <w:p w:rsidR="00AF06DB" w:rsidRPr="00AA7DC6" w:rsidRDefault="00AF06DB" w:rsidP="006E5B24">
            <w:pPr>
              <w:pStyle w:val="BlockText"/>
              <w:widowControl w:val="0"/>
              <w:rPr>
                <w:sz w:val="22"/>
                <w:szCs w:val="22"/>
              </w:rPr>
            </w:pPr>
            <w:r w:rsidRPr="00AA7DC6">
              <w:rPr>
                <w:sz w:val="22"/>
                <w:szCs w:val="22"/>
              </w:rPr>
              <w:t>Adoption of Federal Air Quality Regulations</w:t>
            </w:r>
          </w:p>
          <w:p w:rsidR="009C1204" w:rsidRPr="00AA7DC6" w:rsidRDefault="009C1204" w:rsidP="006E5B24">
            <w:pPr>
              <w:pStyle w:val="BlockText"/>
              <w:widowControl w:val="0"/>
              <w:rPr>
                <w:sz w:val="22"/>
                <w:szCs w:val="22"/>
                <w:u w:val="single"/>
              </w:rPr>
            </w:pPr>
          </w:p>
          <w:p w:rsidR="00AF06DB" w:rsidRPr="00AA7DC6" w:rsidRDefault="00AF06DB" w:rsidP="006E5B24">
            <w:pPr>
              <w:pStyle w:val="BlockText"/>
              <w:widowControl w:val="0"/>
              <w:rPr>
                <w:sz w:val="22"/>
                <w:szCs w:val="22"/>
              </w:rPr>
            </w:pPr>
            <w:r w:rsidRPr="00AA7DC6">
              <w:rPr>
                <w:sz w:val="22"/>
                <w:szCs w:val="22"/>
                <w:u w:val="single"/>
              </w:rPr>
              <w:t>Amended OARs</w:t>
            </w:r>
            <w:r w:rsidRPr="00AA7DC6">
              <w:rPr>
                <w:sz w:val="22"/>
                <w:szCs w:val="22"/>
              </w:rPr>
              <w:t>:</w:t>
            </w:r>
          </w:p>
          <w:p w:rsidR="009C402D" w:rsidRPr="00AA7DC6" w:rsidRDefault="009C402D" w:rsidP="006E5B24">
            <w:pPr>
              <w:pStyle w:val="BlockText"/>
              <w:widowControl w:val="0"/>
              <w:rPr>
                <w:b/>
                <w:sz w:val="22"/>
                <w:szCs w:val="22"/>
              </w:rPr>
            </w:pPr>
            <w:r w:rsidRPr="00AA7DC6">
              <w:rPr>
                <w:sz w:val="22"/>
                <w:szCs w:val="22"/>
              </w:rPr>
              <w:t xml:space="preserve">340-200-0020, </w:t>
            </w:r>
            <w:r w:rsidRPr="00AA7DC6">
              <w:rPr>
                <w:b/>
                <w:sz w:val="22"/>
                <w:szCs w:val="22"/>
              </w:rPr>
              <w:t>General Air Quality Definitions</w:t>
            </w:r>
          </w:p>
          <w:p w:rsidR="00AF06DB" w:rsidRPr="00AA7DC6" w:rsidRDefault="00AF06DB" w:rsidP="006E5B24">
            <w:pPr>
              <w:pStyle w:val="BlockText"/>
              <w:widowControl w:val="0"/>
              <w:rPr>
                <w:b/>
                <w:sz w:val="22"/>
                <w:szCs w:val="22"/>
              </w:rPr>
            </w:pPr>
            <w:r w:rsidRPr="00AA7DC6">
              <w:rPr>
                <w:sz w:val="22"/>
                <w:szCs w:val="22"/>
              </w:rPr>
              <w:t xml:space="preserve">340-200-0040, </w:t>
            </w:r>
            <w:r w:rsidRPr="00AA7DC6">
              <w:rPr>
                <w:b/>
                <w:sz w:val="22"/>
                <w:szCs w:val="22"/>
              </w:rPr>
              <w:t>State of Oregon Clean Air Act Implementation Plan</w:t>
            </w:r>
          </w:p>
          <w:p w:rsidR="00AF06DB" w:rsidRPr="00AA7DC6" w:rsidRDefault="00AF06DB" w:rsidP="006E5B24">
            <w:pPr>
              <w:pStyle w:val="BlockText"/>
              <w:widowControl w:val="0"/>
              <w:rPr>
                <w:b/>
                <w:sz w:val="22"/>
                <w:szCs w:val="22"/>
              </w:rPr>
            </w:pPr>
            <w:r w:rsidRPr="00AA7DC6">
              <w:rPr>
                <w:sz w:val="22"/>
                <w:szCs w:val="22"/>
              </w:rPr>
              <w:t xml:space="preserve">340-216-0020, </w:t>
            </w:r>
            <w:r w:rsidRPr="00AA7DC6">
              <w:rPr>
                <w:b/>
                <w:sz w:val="22"/>
                <w:szCs w:val="22"/>
              </w:rPr>
              <w:t>Applicability</w:t>
            </w:r>
          </w:p>
          <w:p w:rsidR="001C2085" w:rsidRPr="00AA7DC6" w:rsidRDefault="001C2085" w:rsidP="006E5B24">
            <w:pPr>
              <w:pStyle w:val="BlockText"/>
              <w:widowControl w:val="0"/>
              <w:rPr>
                <w:b/>
                <w:sz w:val="22"/>
                <w:szCs w:val="22"/>
              </w:rPr>
            </w:pPr>
            <w:r w:rsidRPr="00AA7DC6">
              <w:rPr>
                <w:sz w:val="22"/>
                <w:szCs w:val="22"/>
              </w:rPr>
              <w:t>340-216</w:t>
            </w:r>
            <w:r w:rsidR="00C24D35" w:rsidRPr="00AA7DC6">
              <w:rPr>
                <w:sz w:val="22"/>
                <w:szCs w:val="22"/>
              </w:rPr>
              <w:t>-0020</w:t>
            </w:r>
            <w:r w:rsidRPr="00AA7DC6">
              <w:rPr>
                <w:sz w:val="22"/>
                <w:szCs w:val="22"/>
              </w:rPr>
              <w:t xml:space="preserve">, </w:t>
            </w:r>
            <w:r w:rsidRPr="00AA7DC6">
              <w:rPr>
                <w:b/>
                <w:sz w:val="22"/>
                <w:szCs w:val="22"/>
              </w:rPr>
              <w:t>Table 1</w:t>
            </w:r>
          </w:p>
          <w:p w:rsidR="00AF06DB" w:rsidRPr="00AA7DC6" w:rsidRDefault="00AF06DB" w:rsidP="006E5B24">
            <w:pPr>
              <w:pStyle w:val="BlockText"/>
              <w:widowControl w:val="0"/>
              <w:rPr>
                <w:b/>
                <w:sz w:val="22"/>
                <w:szCs w:val="22"/>
              </w:rPr>
            </w:pPr>
            <w:r w:rsidRPr="00AA7DC6">
              <w:rPr>
                <w:sz w:val="22"/>
                <w:szCs w:val="22"/>
              </w:rPr>
              <w:t xml:space="preserve">340-216-0060, </w:t>
            </w:r>
            <w:r w:rsidRPr="00AA7DC6">
              <w:rPr>
                <w:b/>
                <w:sz w:val="22"/>
                <w:szCs w:val="22"/>
              </w:rPr>
              <w:t>General Air Contaminant Discharge Permits</w:t>
            </w:r>
          </w:p>
          <w:p w:rsidR="00AF06DB" w:rsidRPr="00AA7DC6" w:rsidRDefault="00AF06DB" w:rsidP="006E5B24">
            <w:pPr>
              <w:pStyle w:val="BlockText"/>
              <w:widowControl w:val="0"/>
              <w:rPr>
                <w:sz w:val="22"/>
                <w:szCs w:val="22"/>
              </w:rPr>
            </w:pPr>
            <w:r w:rsidRPr="00AA7DC6">
              <w:rPr>
                <w:sz w:val="22"/>
                <w:szCs w:val="22"/>
              </w:rPr>
              <w:t xml:space="preserve">340-216-0064, </w:t>
            </w:r>
            <w:r w:rsidRPr="00AA7DC6">
              <w:rPr>
                <w:b/>
                <w:sz w:val="22"/>
                <w:szCs w:val="22"/>
              </w:rPr>
              <w:t>Simple ACDP</w:t>
            </w:r>
          </w:p>
          <w:p w:rsidR="00032BDC" w:rsidRDefault="00032BDC" w:rsidP="006E5B24">
            <w:pPr>
              <w:pStyle w:val="BlockText"/>
              <w:widowControl w:val="0"/>
              <w:rPr>
                <w:sz w:val="22"/>
                <w:szCs w:val="22"/>
              </w:rPr>
            </w:pPr>
            <w:r>
              <w:rPr>
                <w:sz w:val="22"/>
                <w:szCs w:val="22"/>
              </w:rPr>
              <w:t xml:space="preserve">340-230-0020, </w:t>
            </w:r>
            <w:r w:rsidRPr="00032BDC">
              <w:rPr>
                <w:b/>
                <w:sz w:val="22"/>
                <w:szCs w:val="22"/>
              </w:rPr>
              <w:t>Applicability</w:t>
            </w:r>
          </w:p>
          <w:p w:rsidR="00134F4C" w:rsidRPr="00AA7DC6" w:rsidRDefault="00134F4C" w:rsidP="006E5B24">
            <w:pPr>
              <w:pStyle w:val="BlockText"/>
              <w:widowControl w:val="0"/>
              <w:rPr>
                <w:b/>
                <w:sz w:val="22"/>
                <w:szCs w:val="22"/>
              </w:rPr>
            </w:pPr>
            <w:r w:rsidRPr="00AA7DC6">
              <w:rPr>
                <w:sz w:val="22"/>
                <w:szCs w:val="22"/>
              </w:rPr>
              <w:t xml:space="preserve">340-230-0030, </w:t>
            </w:r>
            <w:r w:rsidRPr="00AA7DC6">
              <w:rPr>
                <w:b/>
                <w:sz w:val="22"/>
                <w:szCs w:val="22"/>
              </w:rPr>
              <w:t>Definitions</w:t>
            </w:r>
          </w:p>
          <w:p w:rsidR="006E5B24" w:rsidRDefault="006E5B24" w:rsidP="006E5B24">
            <w:pPr>
              <w:pStyle w:val="BlockText"/>
              <w:widowControl w:val="0"/>
              <w:rPr>
                <w:sz w:val="22"/>
                <w:szCs w:val="22"/>
              </w:rPr>
            </w:pPr>
            <w:r>
              <w:rPr>
                <w:sz w:val="22"/>
                <w:szCs w:val="22"/>
              </w:rPr>
              <w:t xml:space="preserve">340-232-0085, </w:t>
            </w:r>
            <w:r w:rsidRPr="006E5B24">
              <w:rPr>
                <w:b/>
                <w:sz w:val="22"/>
                <w:szCs w:val="22"/>
              </w:rPr>
              <w:t>Gasoline Delivery Vessel(s)</w:t>
            </w:r>
          </w:p>
          <w:p w:rsidR="00AF06DB" w:rsidRDefault="00AF06DB" w:rsidP="006E5B24">
            <w:pPr>
              <w:pStyle w:val="BlockText"/>
              <w:widowControl w:val="0"/>
              <w:rPr>
                <w:b/>
                <w:sz w:val="22"/>
                <w:szCs w:val="22"/>
              </w:rPr>
            </w:pPr>
            <w:r w:rsidRPr="00AA7DC6">
              <w:rPr>
                <w:sz w:val="22"/>
                <w:szCs w:val="22"/>
              </w:rPr>
              <w:t xml:space="preserve">340-238-0040, </w:t>
            </w:r>
            <w:r w:rsidRPr="00AA7DC6">
              <w:rPr>
                <w:b/>
                <w:sz w:val="22"/>
                <w:szCs w:val="22"/>
              </w:rPr>
              <w:t>Definitions</w:t>
            </w:r>
          </w:p>
          <w:p w:rsidR="00AF36D3" w:rsidRPr="00AF36D3" w:rsidRDefault="00AF36D3" w:rsidP="006E5B24">
            <w:pPr>
              <w:pStyle w:val="BlockText"/>
              <w:widowControl w:val="0"/>
              <w:rPr>
                <w:b/>
                <w:sz w:val="22"/>
                <w:szCs w:val="22"/>
              </w:rPr>
            </w:pPr>
            <w:r>
              <w:rPr>
                <w:sz w:val="22"/>
                <w:szCs w:val="22"/>
              </w:rPr>
              <w:t xml:space="preserve">340-238-0060, </w:t>
            </w:r>
            <w:r>
              <w:rPr>
                <w:b/>
                <w:sz w:val="22"/>
                <w:szCs w:val="22"/>
              </w:rPr>
              <w:t>Federal Regulations Adopted by Reference</w:t>
            </w:r>
          </w:p>
          <w:p w:rsidR="00AF06DB" w:rsidRPr="00AA7DC6" w:rsidRDefault="00AF06DB" w:rsidP="006E5B24">
            <w:pPr>
              <w:pStyle w:val="BlockText"/>
              <w:widowControl w:val="0"/>
              <w:rPr>
                <w:b/>
                <w:sz w:val="22"/>
                <w:szCs w:val="22"/>
              </w:rPr>
            </w:pPr>
            <w:r w:rsidRPr="00AA7DC6">
              <w:rPr>
                <w:sz w:val="22"/>
                <w:szCs w:val="22"/>
              </w:rPr>
              <w:t xml:space="preserve">340-244-0030, </w:t>
            </w:r>
            <w:r w:rsidRPr="00AA7DC6">
              <w:rPr>
                <w:b/>
                <w:sz w:val="22"/>
                <w:szCs w:val="22"/>
              </w:rPr>
              <w:t>Definitions</w:t>
            </w:r>
          </w:p>
          <w:p w:rsidR="007D10D0" w:rsidRPr="00AA7DC6" w:rsidRDefault="007D10D0" w:rsidP="006E5B24">
            <w:pPr>
              <w:pStyle w:val="BlockText"/>
              <w:widowControl w:val="0"/>
              <w:rPr>
                <w:b/>
                <w:sz w:val="22"/>
                <w:szCs w:val="22"/>
              </w:rPr>
            </w:pPr>
            <w:r w:rsidRPr="00AA7DC6">
              <w:rPr>
                <w:sz w:val="22"/>
                <w:szCs w:val="22"/>
              </w:rPr>
              <w:t xml:space="preserve">340-244-0210, </w:t>
            </w:r>
            <w:r w:rsidRPr="00AA7DC6">
              <w:rPr>
                <w:b/>
                <w:sz w:val="22"/>
                <w:szCs w:val="22"/>
              </w:rPr>
              <w:t>Emissions Limitation for Existing Sources</w:t>
            </w:r>
          </w:p>
          <w:p w:rsidR="00AF06DB" w:rsidRPr="00AA7DC6" w:rsidRDefault="00AF06DB" w:rsidP="006E5B24">
            <w:pPr>
              <w:pStyle w:val="BlockText"/>
              <w:widowControl w:val="0"/>
              <w:rPr>
                <w:sz w:val="22"/>
                <w:szCs w:val="22"/>
              </w:rPr>
            </w:pPr>
            <w:r w:rsidRPr="00AA7DC6">
              <w:rPr>
                <w:sz w:val="22"/>
                <w:szCs w:val="22"/>
              </w:rPr>
              <w:t xml:space="preserve">340-244-0220, </w:t>
            </w:r>
            <w:r w:rsidRPr="00AA7DC6">
              <w:rPr>
                <w:b/>
                <w:sz w:val="22"/>
                <w:szCs w:val="22"/>
              </w:rPr>
              <w:t>Federal Regulations Adopted by Reference</w:t>
            </w:r>
          </w:p>
          <w:p w:rsidR="00AF06DB" w:rsidRPr="00AA7DC6" w:rsidRDefault="00AF06DB" w:rsidP="006E5B24">
            <w:pPr>
              <w:pStyle w:val="BlockText"/>
              <w:widowControl w:val="0"/>
              <w:rPr>
                <w:b/>
                <w:sz w:val="22"/>
                <w:szCs w:val="22"/>
              </w:rPr>
            </w:pPr>
            <w:r w:rsidRPr="00AA7DC6">
              <w:rPr>
                <w:sz w:val="22"/>
                <w:szCs w:val="22"/>
              </w:rPr>
              <w:t xml:space="preserve">340-244-0234, </w:t>
            </w:r>
            <w:r w:rsidRPr="00AA7DC6">
              <w:rPr>
                <w:b/>
                <w:sz w:val="22"/>
                <w:szCs w:val="22"/>
              </w:rPr>
              <w:t>Affected Sources</w:t>
            </w:r>
          </w:p>
          <w:p w:rsidR="008730DE" w:rsidRPr="00AA7DC6" w:rsidRDefault="008730DE" w:rsidP="006E5B24">
            <w:pPr>
              <w:pStyle w:val="BlockText"/>
              <w:widowControl w:val="0"/>
              <w:rPr>
                <w:b/>
                <w:sz w:val="22"/>
                <w:szCs w:val="22"/>
              </w:rPr>
            </w:pPr>
            <w:r w:rsidRPr="00AA7DC6">
              <w:rPr>
                <w:sz w:val="22"/>
                <w:szCs w:val="22"/>
              </w:rPr>
              <w:t xml:space="preserve">340-244-0238, </w:t>
            </w:r>
            <w:r w:rsidRPr="00AA7DC6">
              <w:rPr>
                <w:b/>
                <w:sz w:val="22"/>
                <w:szCs w:val="22"/>
              </w:rPr>
              <w:t>Compliance Dates</w:t>
            </w:r>
          </w:p>
          <w:p w:rsidR="00907447" w:rsidRPr="00AA7DC6" w:rsidRDefault="00907447" w:rsidP="006E5B24">
            <w:pPr>
              <w:pStyle w:val="BlockText"/>
              <w:widowControl w:val="0"/>
              <w:rPr>
                <w:b/>
                <w:sz w:val="22"/>
                <w:szCs w:val="22"/>
              </w:rPr>
            </w:pPr>
            <w:r w:rsidRPr="00AA7DC6">
              <w:rPr>
                <w:sz w:val="22"/>
                <w:szCs w:val="22"/>
              </w:rPr>
              <w:t xml:space="preserve">340-244-0240, </w:t>
            </w:r>
            <w:r w:rsidRPr="00AA7DC6">
              <w:rPr>
                <w:b/>
                <w:bCs/>
                <w:sz w:val="22"/>
                <w:szCs w:val="22"/>
              </w:rPr>
              <w:t>Work Practice and Submerged Fill Requirements</w:t>
            </w:r>
          </w:p>
          <w:p w:rsidR="00F718D4" w:rsidRPr="00AA7DC6" w:rsidRDefault="00F718D4" w:rsidP="006E5B24">
            <w:pPr>
              <w:pStyle w:val="BlockText"/>
              <w:widowControl w:val="0"/>
              <w:rPr>
                <w:b/>
                <w:sz w:val="22"/>
                <w:szCs w:val="22"/>
              </w:rPr>
            </w:pPr>
            <w:r w:rsidRPr="00AA7DC6">
              <w:rPr>
                <w:sz w:val="22"/>
                <w:szCs w:val="22"/>
              </w:rPr>
              <w:t>340-244-0244,</w:t>
            </w:r>
            <w:r w:rsidRPr="00AA7DC6">
              <w:rPr>
                <w:b/>
                <w:sz w:val="22"/>
                <w:szCs w:val="22"/>
              </w:rPr>
              <w:t xml:space="preserve"> Testing and Monitoring Requirements</w:t>
            </w:r>
          </w:p>
          <w:p w:rsidR="008F4F01" w:rsidRPr="00AA7DC6" w:rsidRDefault="008F4F01" w:rsidP="006E5B24">
            <w:pPr>
              <w:pStyle w:val="BlockText"/>
              <w:widowControl w:val="0"/>
              <w:rPr>
                <w:b/>
                <w:sz w:val="22"/>
                <w:szCs w:val="22"/>
              </w:rPr>
            </w:pPr>
            <w:r w:rsidRPr="00AA7DC6">
              <w:rPr>
                <w:sz w:val="22"/>
                <w:szCs w:val="22"/>
              </w:rPr>
              <w:t xml:space="preserve">340-244-0246, </w:t>
            </w:r>
            <w:r w:rsidRPr="00AA7DC6">
              <w:rPr>
                <w:b/>
                <w:sz w:val="22"/>
                <w:szCs w:val="22"/>
              </w:rPr>
              <w:t>Notifications</w:t>
            </w:r>
          </w:p>
          <w:p w:rsidR="00F718D4" w:rsidRPr="00AA7DC6" w:rsidRDefault="00F718D4" w:rsidP="006E5B24">
            <w:pPr>
              <w:pStyle w:val="BlockText"/>
              <w:widowControl w:val="0"/>
              <w:rPr>
                <w:b/>
                <w:sz w:val="22"/>
                <w:szCs w:val="22"/>
              </w:rPr>
            </w:pPr>
            <w:r w:rsidRPr="00AA7DC6">
              <w:rPr>
                <w:sz w:val="22"/>
                <w:szCs w:val="22"/>
              </w:rPr>
              <w:t xml:space="preserve">340-244-0248, </w:t>
            </w:r>
            <w:r w:rsidRPr="00AA7DC6">
              <w:rPr>
                <w:b/>
                <w:sz w:val="22"/>
                <w:szCs w:val="22"/>
              </w:rPr>
              <w:t>Recordkeeping Requirements</w:t>
            </w:r>
          </w:p>
          <w:p w:rsidR="007D10D0" w:rsidRPr="00AA7DC6" w:rsidRDefault="007D10D0" w:rsidP="006E5B24">
            <w:pPr>
              <w:pStyle w:val="BlockText"/>
              <w:widowControl w:val="0"/>
              <w:rPr>
                <w:b/>
                <w:sz w:val="22"/>
                <w:szCs w:val="22"/>
              </w:rPr>
            </w:pPr>
            <w:r w:rsidRPr="00AA7DC6">
              <w:rPr>
                <w:sz w:val="22"/>
                <w:szCs w:val="22"/>
              </w:rPr>
              <w:t xml:space="preserve">340-244-0250, </w:t>
            </w:r>
            <w:r w:rsidRPr="00AA7DC6">
              <w:rPr>
                <w:b/>
                <w:sz w:val="22"/>
                <w:szCs w:val="22"/>
              </w:rPr>
              <w:t>Reporting Requirements</w:t>
            </w:r>
          </w:p>
          <w:p w:rsidR="009C1204" w:rsidRPr="00AA7DC6" w:rsidRDefault="009C1204" w:rsidP="006E5B24">
            <w:pPr>
              <w:pStyle w:val="BlockText"/>
              <w:widowControl w:val="0"/>
              <w:rPr>
                <w:b/>
                <w:sz w:val="22"/>
                <w:szCs w:val="22"/>
              </w:rPr>
            </w:pPr>
          </w:p>
          <w:p w:rsidR="00A91039" w:rsidRPr="00AA7DC6" w:rsidRDefault="00CC54F4" w:rsidP="006E5B24">
            <w:pPr>
              <w:pStyle w:val="BlockText"/>
              <w:widowControl w:val="0"/>
              <w:rPr>
                <w:i/>
                <w:sz w:val="22"/>
                <w:szCs w:val="22"/>
              </w:rPr>
            </w:pPr>
            <w:r>
              <w:rPr>
                <w:sz w:val="22"/>
                <w:szCs w:val="22"/>
                <w:u w:val="single"/>
              </w:rPr>
              <w:t>Adopted</w:t>
            </w:r>
            <w:r w:rsidR="009C1204" w:rsidRPr="00AA7DC6">
              <w:rPr>
                <w:sz w:val="22"/>
                <w:szCs w:val="22"/>
                <w:u w:val="single"/>
              </w:rPr>
              <w:t xml:space="preserve"> OARs</w:t>
            </w:r>
            <w:r w:rsidR="009C1204" w:rsidRPr="00AA7DC6">
              <w:rPr>
                <w:sz w:val="22"/>
                <w:szCs w:val="22"/>
              </w:rPr>
              <w:t>:</w:t>
            </w:r>
            <w:r w:rsidR="00A91039" w:rsidRPr="00AA7DC6">
              <w:rPr>
                <w:i/>
                <w:sz w:val="22"/>
                <w:szCs w:val="22"/>
              </w:rPr>
              <w:t xml:space="preserve"> </w:t>
            </w:r>
          </w:p>
          <w:p w:rsidR="00032BDC" w:rsidRDefault="00032BDC" w:rsidP="006E5B24">
            <w:pPr>
              <w:pStyle w:val="BlockText"/>
              <w:widowControl w:val="0"/>
              <w:rPr>
                <w:b/>
                <w:sz w:val="22"/>
                <w:szCs w:val="22"/>
              </w:rPr>
            </w:pPr>
            <w:r>
              <w:rPr>
                <w:sz w:val="22"/>
                <w:szCs w:val="22"/>
              </w:rPr>
              <w:t xml:space="preserve">340-230-0500, </w:t>
            </w:r>
            <w:r>
              <w:rPr>
                <w:b/>
                <w:sz w:val="22"/>
                <w:szCs w:val="22"/>
              </w:rPr>
              <w:t>Applicability</w:t>
            </w:r>
          </w:p>
          <w:p w:rsidR="00032BDC" w:rsidRDefault="00032BDC" w:rsidP="006E5B24">
            <w:pPr>
              <w:pStyle w:val="BlockText"/>
              <w:widowControl w:val="0"/>
              <w:rPr>
                <w:b/>
                <w:sz w:val="22"/>
                <w:szCs w:val="22"/>
              </w:rPr>
            </w:pPr>
            <w:r>
              <w:rPr>
                <w:sz w:val="22"/>
                <w:szCs w:val="22"/>
              </w:rPr>
              <w:t xml:space="preserve">340-230-0505, </w:t>
            </w:r>
            <w:r>
              <w:rPr>
                <w:b/>
                <w:sz w:val="22"/>
                <w:szCs w:val="22"/>
              </w:rPr>
              <w:t>Compliance Schedule</w:t>
            </w:r>
          </w:p>
          <w:p w:rsidR="00032BDC" w:rsidRDefault="00032BDC" w:rsidP="006E5B24">
            <w:pPr>
              <w:pStyle w:val="BlockText"/>
              <w:widowControl w:val="0"/>
              <w:rPr>
                <w:b/>
                <w:sz w:val="22"/>
                <w:szCs w:val="22"/>
              </w:rPr>
            </w:pPr>
            <w:r>
              <w:rPr>
                <w:sz w:val="22"/>
                <w:szCs w:val="22"/>
              </w:rPr>
              <w:t xml:space="preserve">340-230-0510, </w:t>
            </w:r>
            <w:r>
              <w:rPr>
                <w:b/>
                <w:sz w:val="22"/>
                <w:szCs w:val="22"/>
              </w:rPr>
              <w:t>Increments of Progress Achievement Notifications</w:t>
            </w:r>
          </w:p>
          <w:p w:rsidR="00032BDC" w:rsidRDefault="00032BDC" w:rsidP="006E5B24">
            <w:pPr>
              <w:pStyle w:val="BlockText"/>
              <w:widowControl w:val="0"/>
              <w:rPr>
                <w:b/>
                <w:sz w:val="22"/>
                <w:szCs w:val="22"/>
              </w:rPr>
            </w:pPr>
            <w:r>
              <w:rPr>
                <w:sz w:val="22"/>
                <w:szCs w:val="22"/>
              </w:rPr>
              <w:t xml:space="preserve">340-230-0515, </w:t>
            </w:r>
            <w:r w:rsidRPr="00032BDC">
              <w:rPr>
                <w:b/>
                <w:sz w:val="22"/>
                <w:szCs w:val="22"/>
              </w:rPr>
              <w:t>Compliance with the Increments of Progress</w:t>
            </w:r>
          </w:p>
          <w:p w:rsidR="00032BDC" w:rsidRDefault="00032BDC" w:rsidP="006E5B24">
            <w:pPr>
              <w:pStyle w:val="BlockText"/>
              <w:widowControl w:val="0"/>
              <w:rPr>
                <w:b/>
                <w:sz w:val="22"/>
                <w:szCs w:val="22"/>
              </w:rPr>
            </w:pPr>
            <w:r>
              <w:rPr>
                <w:sz w:val="22"/>
                <w:szCs w:val="22"/>
              </w:rPr>
              <w:t xml:space="preserve">340-230-0520, </w:t>
            </w:r>
            <w:r w:rsidRPr="00032BDC">
              <w:rPr>
                <w:b/>
                <w:sz w:val="22"/>
                <w:szCs w:val="22"/>
              </w:rPr>
              <w:t>Waste Management Plan</w:t>
            </w:r>
          </w:p>
          <w:p w:rsidR="00032BDC" w:rsidRDefault="00032BDC" w:rsidP="006E5B24">
            <w:pPr>
              <w:pStyle w:val="BlockText"/>
              <w:widowControl w:val="0"/>
              <w:rPr>
                <w:b/>
                <w:sz w:val="22"/>
                <w:szCs w:val="22"/>
              </w:rPr>
            </w:pPr>
            <w:r>
              <w:rPr>
                <w:sz w:val="22"/>
                <w:szCs w:val="22"/>
              </w:rPr>
              <w:t xml:space="preserve">340-230-0525, </w:t>
            </w:r>
            <w:r>
              <w:rPr>
                <w:b/>
                <w:sz w:val="22"/>
                <w:szCs w:val="22"/>
              </w:rPr>
              <w:t>Operator Training and Qualification Requirements</w:t>
            </w:r>
          </w:p>
          <w:p w:rsidR="00032BDC" w:rsidRDefault="00032BDC" w:rsidP="006E5B24">
            <w:pPr>
              <w:pStyle w:val="BlockText"/>
              <w:widowControl w:val="0"/>
              <w:rPr>
                <w:b/>
                <w:sz w:val="22"/>
                <w:szCs w:val="22"/>
              </w:rPr>
            </w:pPr>
            <w:r>
              <w:rPr>
                <w:sz w:val="22"/>
                <w:szCs w:val="22"/>
              </w:rPr>
              <w:t xml:space="preserve">340-230-0530, </w:t>
            </w:r>
            <w:r>
              <w:rPr>
                <w:b/>
                <w:sz w:val="22"/>
                <w:szCs w:val="22"/>
              </w:rPr>
              <w:t>Emission Limitations</w:t>
            </w:r>
          </w:p>
          <w:p w:rsidR="003A07F4" w:rsidRDefault="003A07F4" w:rsidP="006E5B24">
            <w:pPr>
              <w:pStyle w:val="BlockText"/>
              <w:widowControl w:val="0"/>
              <w:rPr>
                <w:b/>
                <w:sz w:val="22"/>
                <w:szCs w:val="22"/>
              </w:rPr>
            </w:pPr>
            <w:r>
              <w:rPr>
                <w:sz w:val="22"/>
                <w:szCs w:val="22"/>
              </w:rPr>
              <w:t xml:space="preserve">340-230-0535, </w:t>
            </w:r>
            <w:r>
              <w:rPr>
                <w:b/>
                <w:sz w:val="22"/>
                <w:szCs w:val="22"/>
              </w:rPr>
              <w:t>Operating Limits</w:t>
            </w:r>
          </w:p>
          <w:p w:rsidR="003A07F4" w:rsidRDefault="003A07F4" w:rsidP="006E5B24">
            <w:pPr>
              <w:pStyle w:val="BlockText"/>
              <w:widowControl w:val="0"/>
              <w:rPr>
                <w:b/>
                <w:sz w:val="22"/>
                <w:szCs w:val="22"/>
              </w:rPr>
            </w:pPr>
            <w:r>
              <w:rPr>
                <w:sz w:val="22"/>
                <w:szCs w:val="22"/>
              </w:rPr>
              <w:t xml:space="preserve">340-230-0540, </w:t>
            </w:r>
            <w:r>
              <w:rPr>
                <w:b/>
                <w:sz w:val="22"/>
                <w:szCs w:val="22"/>
              </w:rPr>
              <w:t>Affirmative Defense for Emission Limit Exceedances</w:t>
            </w:r>
          </w:p>
          <w:p w:rsidR="003A07F4" w:rsidRDefault="003A07F4" w:rsidP="006E5B24">
            <w:pPr>
              <w:pStyle w:val="BlockText"/>
              <w:widowControl w:val="0"/>
              <w:rPr>
                <w:b/>
                <w:sz w:val="22"/>
                <w:szCs w:val="22"/>
              </w:rPr>
            </w:pPr>
            <w:r>
              <w:rPr>
                <w:sz w:val="22"/>
                <w:szCs w:val="22"/>
              </w:rPr>
              <w:t xml:space="preserve">340-230-0550, </w:t>
            </w:r>
            <w:r>
              <w:rPr>
                <w:b/>
                <w:sz w:val="22"/>
                <w:szCs w:val="22"/>
              </w:rPr>
              <w:t>Demonstrating Initial Compliance</w:t>
            </w:r>
          </w:p>
          <w:p w:rsidR="003A07F4" w:rsidRDefault="003A07F4" w:rsidP="006E5B24">
            <w:pPr>
              <w:pStyle w:val="BlockText"/>
              <w:widowControl w:val="0"/>
              <w:rPr>
                <w:b/>
                <w:sz w:val="22"/>
                <w:szCs w:val="22"/>
              </w:rPr>
            </w:pPr>
            <w:r>
              <w:rPr>
                <w:sz w:val="22"/>
                <w:szCs w:val="22"/>
              </w:rPr>
              <w:t xml:space="preserve">340-230-0560, </w:t>
            </w:r>
            <w:r>
              <w:rPr>
                <w:b/>
                <w:sz w:val="22"/>
                <w:szCs w:val="22"/>
              </w:rPr>
              <w:t>Demonstrating Continuous Compliance</w:t>
            </w:r>
          </w:p>
          <w:p w:rsidR="003A07F4" w:rsidRDefault="003A07F4" w:rsidP="006E5B24">
            <w:pPr>
              <w:pStyle w:val="BlockText"/>
              <w:widowControl w:val="0"/>
              <w:rPr>
                <w:b/>
                <w:sz w:val="22"/>
                <w:szCs w:val="22"/>
              </w:rPr>
            </w:pPr>
            <w:r>
              <w:rPr>
                <w:sz w:val="22"/>
                <w:szCs w:val="22"/>
              </w:rPr>
              <w:t xml:space="preserve">340-230-0565, </w:t>
            </w:r>
            <w:r>
              <w:rPr>
                <w:b/>
                <w:sz w:val="22"/>
                <w:szCs w:val="22"/>
              </w:rPr>
              <w:t>Monitoring Equipment and Monitoring Parameters</w:t>
            </w:r>
          </w:p>
          <w:p w:rsidR="003A07F4" w:rsidRDefault="003A07F4" w:rsidP="006E5B24">
            <w:pPr>
              <w:pStyle w:val="BlockText"/>
              <w:widowControl w:val="0"/>
              <w:rPr>
                <w:b/>
                <w:sz w:val="22"/>
                <w:szCs w:val="22"/>
              </w:rPr>
            </w:pPr>
            <w:r>
              <w:rPr>
                <w:sz w:val="22"/>
                <w:szCs w:val="22"/>
              </w:rPr>
              <w:t xml:space="preserve">340-230-0570, </w:t>
            </w:r>
            <w:r>
              <w:rPr>
                <w:b/>
                <w:sz w:val="22"/>
                <w:szCs w:val="22"/>
              </w:rPr>
              <w:t>Recordkeeping</w:t>
            </w:r>
          </w:p>
          <w:p w:rsidR="003A07F4" w:rsidRDefault="003A07F4" w:rsidP="006E5B24">
            <w:pPr>
              <w:pStyle w:val="BlockText"/>
              <w:widowControl w:val="0"/>
              <w:rPr>
                <w:b/>
                <w:sz w:val="22"/>
                <w:szCs w:val="22"/>
              </w:rPr>
            </w:pPr>
            <w:r>
              <w:rPr>
                <w:sz w:val="22"/>
                <w:szCs w:val="22"/>
              </w:rPr>
              <w:t xml:space="preserve">340-230-0575, </w:t>
            </w:r>
            <w:r>
              <w:rPr>
                <w:b/>
                <w:sz w:val="22"/>
                <w:szCs w:val="22"/>
              </w:rPr>
              <w:t>Reporting</w:t>
            </w:r>
          </w:p>
          <w:p w:rsidR="003A07F4" w:rsidRPr="003A07F4" w:rsidRDefault="003A07F4" w:rsidP="006E5B24">
            <w:pPr>
              <w:pStyle w:val="BlockText"/>
              <w:widowControl w:val="0"/>
              <w:rPr>
                <w:b/>
                <w:sz w:val="22"/>
                <w:szCs w:val="22"/>
              </w:rPr>
            </w:pPr>
            <w:r>
              <w:rPr>
                <w:sz w:val="22"/>
                <w:szCs w:val="22"/>
              </w:rPr>
              <w:t xml:space="preserve">340-230-0580, </w:t>
            </w:r>
            <w:r>
              <w:rPr>
                <w:b/>
                <w:sz w:val="22"/>
                <w:szCs w:val="22"/>
              </w:rPr>
              <w:t>Title V Operating Permits</w:t>
            </w:r>
          </w:p>
          <w:p w:rsidR="009C1204" w:rsidRDefault="009C1204" w:rsidP="006E5B24">
            <w:pPr>
              <w:pStyle w:val="BlockText"/>
              <w:widowControl w:val="0"/>
              <w:rPr>
                <w:b/>
                <w:sz w:val="22"/>
                <w:szCs w:val="22"/>
              </w:rPr>
            </w:pPr>
            <w:r w:rsidRPr="00AA7DC6">
              <w:rPr>
                <w:sz w:val="22"/>
                <w:szCs w:val="22"/>
              </w:rPr>
              <w:t>340-2</w:t>
            </w:r>
            <w:r w:rsidR="007D10D0" w:rsidRPr="00AA7DC6">
              <w:rPr>
                <w:sz w:val="22"/>
                <w:szCs w:val="22"/>
              </w:rPr>
              <w:t>44</w:t>
            </w:r>
            <w:r w:rsidRPr="00AA7DC6">
              <w:rPr>
                <w:sz w:val="22"/>
                <w:szCs w:val="22"/>
              </w:rPr>
              <w:t>-0</w:t>
            </w:r>
            <w:r w:rsidR="007D10D0" w:rsidRPr="00AA7DC6">
              <w:rPr>
                <w:sz w:val="22"/>
                <w:szCs w:val="22"/>
              </w:rPr>
              <w:t>239</w:t>
            </w:r>
            <w:r w:rsidRPr="00AA7DC6">
              <w:rPr>
                <w:sz w:val="22"/>
                <w:szCs w:val="22"/>
              </w:rPr>
              <w:t xml:space="preserve">, </w:t>
            </w:r>
            <w:r w:rsidR="007D10D0" w:rsidRPr="00AA7DC6">
              <w:rPr>
                <w:b/>
                <w:sz w:val="22"/>
                <w:szCs w:val="22"/>
              </w:rPr>
              <w:t xml:space="preserve">General </w:t>
            </w:r>
            <w:r w:rsidR="00935896" w:rsidRPr="00AA7DC6">
              <w:rPr>
                <w:b/>
                <w:sz w:val="22"/>
                <w:szCs w:val="22"/>
              </w:rPr>
              <w:t>D</w:t>
            </w:r>
            <w:r w:rsidR="007D10D0" w:rsidRPr="00AA7DC6">
              <w:rPr>
                <w:b/>
                <w:sz w:val="22"/>
                <w:szCs w:val="22"/>
              </w:rPr>
              <w:t xml:space="preserve">uties to </w:t>
            </w:r>
            <w:r w:rsidR="00935896" w:rsidRPr="00AA7DC6">
              <w:rPr>
                <w:b/>
                <w:sz w:val="22"/>
                <w:szCs w:val="22"/>
              </w:rPr>
              <w:t>M</w:t>
            </w:r>
            <w:r w:rsidR="007D10D0" w:rsidRPr="00AA7DC6">
              <w:rPr>
                <w:b/>
                <w:sz w:val="22"/>
                <w:szCs w:val="22"/>
              </w:rPr>
              <w:t xml:space="preserve">inimize </w:t>
            </w:r>
            <w:r w:rsidR="00935896" w:rsidRPr="00AA7DC6">
              <w:rPr>
                <w:b/>
                <w:sz w:val="22"/>
                <w:szCs w:val="22"/>
              </w:rPr>
              <w:t>E</w:t>
            </w:r>
            <w:r w:rsidR="007D10D0" w:rsidRPr="00AA7DC6">
              <w:rPr>
                <w:b/>
                <w:sz w:val="22"/>
                <w:szCs w:val="22"/>
              </w:rPr>
              <w:t>missions</w:t>
            </w:r>
          </w:p>
          <w:p w:rsidR="003F2365" w:rsidRDefault="003F2365" w:rsidP="006E5B24">
            <w:pPr>
              <w:pStyle w:val="BlockText"/>
              <w:widowControl w:val="0"/>
              <w:rPr>
                <w:b/>
                <w:sz w:val="22"/>
                <w:szCs w:val="22"/>
              </w:rPr>
            </w:pPr>
          </w:p>
          <w:p w:rsidR="003F2365" w:rsidRDefault="00CC54F4" w:rsidP="006E5B24">
            <w:pPr>
              <w:pStyle w:val="BlockText"/>
              <w:widowControl w:val="0"/>
              <w:rPr>
                <w:sz w:val="22"/>
                <w:szCs w:val="22"/>
                <w:u w:val="single"/>
              </w:rPr>
            </w:pPr>
            <w:r>
              <w:rPr>
                <w:sz w:val="22"/>
                <w:szCs w:val="22"/>
                <w:u w:val="single"/>
              </w:rPr>
              <w:t>Repealed</w:t>
            </w:r>
            <w:r w:rsidR="003F2365">
              <w:rPr>
                <w:sz w:val="22"/>
                <w:szCs w:val="22"/>
                <w:u w:val="single"/>
              </w:rPr>
              <w:t xml:space="preserve"> OARs:</w:t>
            </w:r>
          </w:p>
          <w:p w:rsidR="007D10D0" w:rsidRPr="00AA7DC6" w:rsidRDefault="003F2365" w:rsidP="006E5B24">
            <w:pPr>
              <w:pStyle w:val="BlockText"/>
              <w:widowControl w:val="0"/>
              <w:rPr>
                <w:b/>
                <w:sz w:val="22"/>
                <w:szCs w:val="22"/>
              </w:rPr>
            </w:pPr>
            <w:r>
              <w:rPr>
                <w:sz w:val="22"/>
                <w:szCs w:val="22"/>
              </w:rPr>
              <w:t xml:space="preserve">340-244-0230, </w:t>
            </w:r>
            <w:r>
              <w:rPr>
                <w:b/>
                <w:sz w:val="22"/>
                <w:szCs w:val="22"/>
              </w:rPr>
              <w:t>Accidental Release Provisions</w:t>
            </w:r>
          </w:p>
        </w:tc>
      </w:tr>
      <w:tr w:rsidR="003960C3" w:rsidRPr="00AA7DC6" w:rsidTr="006E5B24">
        <w:tc>
          <w:tcPr>
            <w:tcW w:w="1728" w:type="dxa"/>
            <w:shd w:val="clear" w:color="auto" w:fill="auto"/>
          </w:tcPr>
          <w:p w:rsidR="003960C3" w:rsidRPr="00AA7DC6" w:rsidRDefault="003960C3" w:rsidP="006E5B24">
            <w:pPr>
              <w:pStyle w:val="Heading5"/>
              <w:widowControl w:val="0"/>
              <w:rPr>
                <w:szCs w:val="22"/>
              </w:rPr>
            </w:pPr>
            <w:r w:rsidRPr="00AA7DC6">
              <w:rPr>
                <w:szCs w:val="22"/>
              </w:rPr>
              <w:lastRenderedPageBreak/>
              <w:t>Objective of   rulemaking</w:t>
            </w:r>
          </w:p>
          <w:p w:rsidR="003960C3" w:rsidRPr="00AA7DC6" w:rsidRDefault="003960C3" w:rsidP="006E5B24">
            <w:pPr>
              <w:pStyle w:val="Heading5"/>
              <w:widowControl w:val="0"/>
              <w:rPr>
                <w:szCs w:val="22"/>
              </w:rPr>
            </w:pPr>
          </w:p>
          <w:p w:rsidR="002F5A43" w:rsidRDefault="002F5A43" w:rsidP="006E5B24">
            <w:pPr>
              <w:pStyle w:val="Heading5"/>
              <w:widowControl w:val="0"/>
              <w:rPr>
                <w:szCs w:val="22"/>
              </w:rPr>
            </w:pPr>
          </w:p>
          <w:p w:rsidR="002F5A43" w:rsidRDefault="002F5A43" w:rsidP="006E5B24">
            <w:pPr>
              <w:pStyle w:val="Heading5"/>
              <w:widowControl w:val="0"/>
              <w:rPr>
                <w:szCs w:val="22"/>
              </w:rPr>
            </w:pPr>
          </w:p>
          <w:p w:rsidR="002F5A43" w:rsidRDefault="002F5A43" w:rsidP="006E5B24">
            <w:pPr>
              <w:pStyle w:val="Heading5"/>
              <w:widowControl w:val="0"/>
              <w:rPr>
                <w:szCs w:val="22"/>
              </w:rPr>
            </w:pPr>
          </w:p>
          <w:p w:rsidR="003960C3" w:rsidRPr="00AA7DC6" w:rsidRDefault="003960C3" w:rsidP="006E5B24">
            <w:pPr>
              <w:pStyle w:val="Heading5"/>
              <w:widowControl w:val="0"/>
              <w:rPr>
                <w:szCs w:val="22"/>
              </w:rPr>
            </w:pPr>
            <w:r w:rsidRPr="00AA7DC6">
              <w:rPr>
                <w:szCs w:val="22"/>
              </w:rPr>
              <w:t xml:space="preserve">Changes Proposed </w:t>
            </w:r>
          </w:p>
          <w:p w:rsidR="003960C3" w:rsidRPr="00AA7DC6" w:rsidRDefault="003960C3" w:rsidP="006E5B24">
            <w:pPr>
              <w:widowControl w:val="0"/>
              <w:rPr>
                <w:sz w:val="22"/>
                <w:szCs w:val="22"/>
              </w:rPr>
            </w:pPr>
          </w:p>
        </w:tc>
        <w:tc>
          <w:tcPr>
            <w:tcW w:w="8190" w:type="dxa"/>
            <w:gridSpan w:val="5"/>
            <w:shd w:val="clear" w:color="auto" w:fill="auto"/>
          </w:tcPr>
          <w:p w:rsidR="002F5A43" w:rsidRDefault="00AF06DB" w:rsidP="006E5B24">
            <w:pPr>
              <w:pStyle w:val="BlockText"/>
              <w:widowControl w:val="0"/>
              <w:rPr>
                <w:spacing w:val="-3"/>
                <w:sz w:val="22"/>
                <w:szCs w:val="22"/>
              </w:rPr>
            </w:pPr>
            <w:r w:rsidRPr="00AA7DC6">
              <w:rPr>
                <w:spacing w:val="-3"/>
                <w:sz w:val="22"/>
                <w:szCs w:val="22"/>
              </w:rPr>
              <w:t>The objective of this rulemaking is to</w:t>
            </w:r>
            <w:r w:rsidR="002F5A43">
              <w:rPr>
                <w:spacing w:val="-3"/>
                <w:sz w:val="22"/>
                <w:szCs w:val="22"/>
              </w:rPr>
              <w:t>:</w:t>
            </w:r>
          </w:p>
          <w:p w:rsidR="003960C3" w:rsidRPr="002F5A43" w:rsidRDefault="002F5A43" w:rsidP="006E5B24">
            <w:pPr>
              <w:pStyle w:val="BlockText"/>
              <w:widowControl w:val="0"/>
              <w:numPr>
                <w:ilvl w:val="0"/>
                <w:numId w:val="14"/>
              </w:numPr>
              <w:rPr>
                <w:i/>
                <w:sz w:val="22"/>
                <w:szCs w:val="22"/>
              </w:rPr>
            </w:pPr>
            <w:r>
              <w:rPr>
                <w:spacing w:val="-3"/>
                <w:sz w:val="22"/>
                <w:szCs w:val="22"/>
              </w:rPr>
              <w:t>K</w:t>
            </w:r>
            <w:r w:rsidR="00AF06DB" w:rsidRPr="00AA7DC6">
              <w:rPr>
                <w:spacing w:val="-3"/>
                <w:sz w:val="22"/>
                <w:szCs w:val="22"/>
              </w:rPr>
              <w:t xml:space="preserve">eep </w:t>
            </w:r>
            <w:r w:rsidR="00AF06DB" w:rsidRPr="00AA7DC6">
              <w:rPr>
                <w:sz w:val="22"/>
                <w:szCs w:val="22"/>
              </w:rPr>
              <w:t xml:space="preserve">Oregon’s rules updated and consistent with the federal rules, helping </w:t>
            </w:r>
            <w:r w:rsidR="00373A65" w:rsidRPr="00AA7DC6">
              <w:rPr>
                <w:sz w:val="22"/>
                <w:szCs w:val="22"/>
              </w:rPr>
              <w:t xml:space="preserve">to </w:t>
            </w:r>
            <w:r w:rsidR="00AF06DB" w:rsidRPr="00AA7DC6">
              <w:rPr>
                <w:sz w:val="22"/>
                <w:szCs w:val="22"/>
              </w:rPr>
              <w:t>ensure DEQ</w:t>
            </w:r>
            <w:r w:rsidR="00AF06DB" w:rsidRPr="00AA7DC6">
              <w:rPr>
                <w:spacing w:val="-3"/>
                <w:sz w:val="22"/>
                <w:szCs w:val="22"/>
              </w:rPr>
              <w:t xml:space="preserve"> maintains primary delegation authority.</w:t>
            </w:r>
          </w:p>
          <w:p w:rsidR="002F5A43" w:rsidRPr="00AA7DC6" w:rsidRDefault="002F5A43" w:rsidP="006E5B24">
            <w:pPr>
              <w:pStyle w:val="BlockText"/>
              <w:widowControl w:val="0"/>
              <w:numPr>
                <w:ilvl w:val="0"/>
                <w:numId w:val="14"/>
              </w:numPr>
              <w:rPr>
                <w:i/>
                <w:sz w:val="22"/>
                <w:szCs w:val="22"/>
              </w:rPr>
            </w:pPr>
            <w:r>
              <w:rPr>
                <w:spacing w:val="-3"/>
                <w:sz w:val="22"/>
                <w:szCs w:val="22"/>
              </w:rPr>
              <w:t>Minimize the administrative burden of implementing new federal requirements on DEQ’s regional offices.</w:t>
            </w:r>
          </w:p>
          <w:p w:rsidR="00AD7B08" w:rsidRPr="00AA7DC6" w:rsidRDefault="00AD7B08" w:rsidP="006E5B24">
            <w:pPr>
              <w:pStyle w:val="BlockText"/>
              <w:widowControl w:val="0"/>
              <w:rPr>
                <w:i/>
                <w:sz w:val="22"/>
                <w:szCs w:val="22"/>
              </w:rPr>
            </w:pPr>
          </w:p>
          <w:p w:rsidR="0076310A" w:rsidRPr="007F5F94" w:rsidRDefault="0076310A" w:rsidP="006E5B24">
            <w:pPr>
              <w:pStyle w:val="BlockText"/>
              <w:widowControl w:val="0"/>
              <w:rPr>
                <w:sz w:val="22"/>
                <w:szCs w:val="22"/>
                <w:u w:val="single"/>
              </w:rPr>
            </w:pPr>
            <w:r w:rsidRPr="007F5F94">
              <w:rPr>
                <w:sz w:val="22"/>
                <w:szCs w:val="22"/>
                <w:u w:val="single"/>
              </w:rPr>
              <w:t>Management of Workloads</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Change applicable requirement definition to exclude, for ACDP permits only, the federal accidental release program and NESHAP and NSPS standards not adopted by the EQC.</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Require EQC adoption of NSPS standards before affected facilities are required to obtain an ACDP permit</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 xml:space="preserve">Exempt boilers with less than 10 MMBTU per hour heat input and subject to an area source NESHAP from permitting. </w:t>
            </w:r>
          </w:p>
          <w:p w:rsidR="0076310A" w:rsidRPr="0076310A" w:rsidRDefault="0076310A" w:rsidP="006E5B24">
            <w:pPr>
              <w:pStyle w:val="BlockText"/>
              <w:widowControl w:val="0"/>
              <w:rPr>
                <w:sz w:val="22"/>
                <w:szCs w:val="22"/>
              </w:rPr>
            </w:pPr>
          </w:p>
          <w:p w:rsidR="0076310A" w:rsidRPr="007F5F94" w:rsidRDefault="0076310A" w:rsidP="006E5B24">
            <w:pPr>
              <w:pStyle w:val="BlockText"/>
              <w:widowControl w:val="0"/>
              <w:rPr>
                <w:sz w:val="22"/>
                <w:szCs w:val="22"/>
                <w:u w:val="single"/>
              </w:rPr>
            </w:pPr>
            <w:r w:rsidRPr="007F5F94">
              <w:rPr>
                <w:sz w:val="22"/>
                <w:szCs w:val="22"/>
                <w:u w:val="single"/>
              </w:rPr>
              <w:t>Reduction of Burden on Business</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 xml:space="preserve">This rulemaking proposes to exempt from permitting: </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Facilities affected by a NESHAP or NSPS, but subject to only procedural requirements;</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 xml:space="preserve">Chemical manufacturing facilities only subject to work practice standards; and </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Mobile equipment surface coating operations using less than 20 gallons of coating per year.</w:t>
            </w:r>
          </w:p>
          <w:p w:rsidR="0076310A" w:rsidRPr="0076310A" w:rsidRDefault="0076310A" w:rsidP="006E5B24">
            <w:pPr>
              <w:pStyle w:val="BlockText"/>
              <w:widowControl w:val="0"/>
              <w:rPr>
                <w:sz w:val="22"/>
                <w:szCs w:val="22"/>
              </w:rPr>
            </w:pPr>
          </w:p>
          <w:p w:rsidR="0076310A" w:rsidRPr="007F5F94" w:rsidRDefault="0076310A" w:rsidP="006E5B24">
            <w:pPr>
              <w:pStyle w:val="BlockText"/>
              <w:widowControl w:val="0"/>
              <w:rPr>
                <w:sz w:val="22"/>
                <w:szCs w:val="22"/>
                <w:u w:val="single"/>
              </w:rPr>
            </w:pPr>
            <w:r w:rsidRPr="007F5F94">
              <w:rPr>
                <w:sz w:val="22"/>
                <w:szCs w:val="22"/>
                <w:u w:val="single"/>
              </w:rPr>
              <w:t>Alignment with Federal Regulations</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Incorporate changes EPA made to the federal gasoline dispensing facility NESHAP;</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 xml:space="preserve">Update the adoption by reference of previously adopted NESHAPs and NSPSs; and </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Adopt rules to implement new federal emission guidelines for commercial and industrial solid waste incinerators.</w:t>
            </w:r>
          </w:p>
          <w:p w:rsidR="0076310A" w:rsidRPr="0076310A" w:rsidRDefault="0076310A" w:rsidP="006E5B24">
            <w:pPr>
              <w:pStyle w:val="BlockText"/>
              <w:widowControl w:val="0"/>
              <w:rPr>
                <w:sz w:val="22"/>
                <w:szCs w:val="22"/>
              </w:rPr>
            </w:pPr>
          </w:p>
          <w:p w:rsidR="0076310A" w:rsidRPr="007F5F94" w:rsidRDefault="0076310A" w:rsidP="006E5B24">
            <w:pPr>
              <w:pStyle w:val="BlockText"/>
              <w:widowControl w:val="0"/>
              <w:rPr>
                <w:sz w:val="22"/>
                <w:szCs w:val="22"/>
                <w:u w:val="single"/>
              </w:rPr>
            </w:pPr>
            <w:r w:rsidRPr="007F5F94">
              <w:rPr>
                <w:sz w:val="22"/>
                <w:szCs w:val="22"/>
                <w:u w:val="single"/>
              </w:rPr>
              <w:t>Reduction of Hazardous Air Pollutant Emissions</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 xml:space="preserve">Adopt by reference: </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 xml:space="preserve">New federal area source NESHAPs for gold mine ore processing and production, and industrial, commercial, and institutional boilers; </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 xml:space="preserve">New federal major source NESHAP for industrial, commercial, and institutional boilers and process heaters; </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 xml:space="preserve">New federal major source NESHAP for electric utility boilers; and </w:t>
            </w:r>
          </w:p>
          <w:p w:rsidR="0076310A" w:rsidRPr="0076310A" w:rsidRDefault="0076310A" w:rsidP="006E5B24">
            <w:pPr>
              <w:pStyle w:val="BlockText"/>
              <w:widowControl w:val="0"/>
              <w:numPr>
                <w:ilvl w:val="0"/>
                <w:numId w:val="14"/>
              </w:numPr>
              <w:rPr>
                <w:sz w:val="22"/>
                <w:szCs w:val="22"/>
              </w:rPr>
            </w:pPr>
            <w:r w:rsidRPr="007F5F94">
              <w:rPr>
                <w:spacing w:val="-3"/>
                <w:sz w:val="22"/>
                <w:szCs w:val="22"/>
              </w:rPr>
              <w:t xml:space="preserve">New federal NSPS for sewage sludge incineration units. </w:t>
            </w:r>
          </w:p>
          <w:p w:rsidR="0076310A" w:rsidRPr="0076310A" w:rsidRDefault="0076310A" w:rsidP="006E5B24">
            <w:pPr>
              <w:pStyle w:val="BlockText"/>
              <w:widowControl w:val="0"/>
              <w:rPr>
                <w:sz w:val="22"/>
                <w:szCs w:val="22"/>
              </w:rPr>
            </w:pPr>
          </w:p>
          <w:p w:rsidR="0076310A" w:rsidRPr="0076310A" w:rsidRDefault="0076310A" w:rsidP="006E5B24">
            <w:pPr>
              <w:pStyle w:val="BlockText"/>
              <w:widowControl w:val="0"/>
              <w:rPr>
                <w:sz w:val="22"/>
                <w:szCs w:val="22"/>
              </w:rPr>
            </w:pPr>
            <w:r w:rsidRPr="007F5F94">
              <w:rPr>
                <w:sz w:val="22"/>
                <w:szCs w:val="22"/>
                <w:u w:val="single"/>
              </w:rPr>
              <w:t>Level the Playing Field</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Require auto body shops that receive a NESHAP exemption, but subsequently violate the terms of the exemption, to comply with the NESHAP and have a permit for three years before being re-exempted.</w:t>
            </w:r>
          </w:p>
          <w:p w:rsidR="007F5F94" w:rsidRDefault="007F5F94" w:rsidP="006E5B24">
            <w:pPr>
              <w:pStyle w:val="BlockText"/>
              <w:widowControl w:val="0"/>
              <w:rPr>
                <w:sz w:val="22"/>
                <w:szCs w:val="22"/>
              </w:rPr>
            </w:pPr>
          </w:p>
          <w:p w:rsidR="0076310A" w:rsidRPr="007F5F94" w:rsidRDefault="0076310A" w:rsidP="006E5B24">
            <w:pPr>
              <w:pStyle w:val="BlockText"/>
              <w:widowControl w:val="0"/>
              <w:rPr>
                <w:sz w:val="22"/>
                <w:szCs w:val="22"/>
                <w:u w:val="single"/>
              </w:rPr>
            </w:pPr>
            <w:r w:rsidRPr="007F5F94">
              <w:rPr>
                <w:sz w:val="22"/>
                <w:szCs w:val="22"/>
                <w:u w:val="single"/>
              </w:rPr>
              <w:t>Rule Clarification and Cleanup</w:t>
            </w:r>
          </w:p>
          <w:p w:rsidR="0076310A" w:rsidRPr="007F5F94" w:rsidRDefault="0076310A" w:rsidP="006E5B24">
            <w:pPr>
              <w:pStyle w:val="BlockText"/>
              <w:widowControl w:val="0"/>
              <w:numPr>
                <w:ilvl w:val="0"/>
                <w:numId w:val="14"/>
              </w:numPr>
              <w:rPr>
                <w:spacing w:val="-3"/>
                <w:sz w:val="22"/>
                <w:szCs w:val="22"/>
              </w:rPr>
            </w:pPr>
            <w:r w:rsidRPr="007F5F94">
              <w:rPr>
                <w:spacing w:val="-3"/>
                <w:sz w:val="22"/>
                <w:szCs w:val="22"/>
              </w:rPr>
              <w:t xml:space="preserve">Clarify the permitting requirements for metal fabrication and finishing operations; </w:t>
            </w:r>
          </w:p>
          <w:p w:rsidR="006E5B24" w:rsidRDefault="0076310A" w:rsidP="006E5B24">
            <w:pPr>
              <w:pStyle w:val="BlockText"/>
              <w:widowControl w:val="0"/>
              <w:numPr>
                <w:ilvl w:val="0"/>
                <w:numId w:val="14"/>
              </w:numPr>
              <w:rPr>
                <w:spacing w:val="-3"/>
                <w:sz w:val="22"/>
                <w:szCs w:val="22"/>
              </w:rPr>
            </w:pPr>
            <w:r w:rsidRPr="007F5F94">
              <w:rPr>
                <w:spacing w:val="-3"/>
                <w:sz w:val="22"/>
                <w:szCs w:val="22"/>
              </w:rPr>
              <w:t xml:space="preserve">Remove redundant general permit fee class assignments for halogenated solvent cleaners; </w:t>
            </w:r>
          </w:p>
          <w:p w:rsidR="0076310A" w:rsidRPr="007F5F94" w:rsidRDefault="006E5B24" w:rsidP="006E5B24">
            <w:pPr>
              <w:pStyle w:val="BlockText"/>
              <w:widowControl w:val="0"/>
              <w:numPr>
                <w:ilvl w:val="0"/>
                <w:numId w:val="14"/>
              </w:numPr>
              <w:rPr>
                <w:spacing w:val="-3"/>
                <w:sz w:val="22"/>
                <w:szCs w:val="22"/>
              </w:rPr>
            </w:pPr>
            <w:r>
              <w:rPr>
                <w:spacing w:val="-3"/>
                <w:sz w:val="22"/>
                <w:szCs w:val="22"/>
              </w:rPr>
              <w:t xml:space="preserve">Remove gasoline dispensing facility submerged requirement in OAR 340 Chapter 232; </w:t>
            </w:r>
          </w:p>
          <w:p w:rsidR="006E5B24" w:rsidRDefault="0076310A" w:rsidP="006E5B24">
            <w:pPr>
              <w:pStyle w:val="BlockText"/>
              <w:widowControl w:val="0"/>
              <w:numPr>
                <w:ilvl w:val="0"/>
                <w:numId w:val="14"/>
              </w:numPr>
              <w:rPr>
                <w:spacing w:val="-3"/>
                <w:sz w:val="22"/>
                <w:szCs w:val="22"/>
              </w:rPr>
            </w:pPr>
            <w:r w:rsidRPr="007F5F94">
              <w:rPr>
                <w:spacing w:val="-3"/>
                <w:sz w:val="22"/>
                <w:szCs w:val="22"/>
              </w:rPr>
              <w:t>Reassign crematories from fee class two to fee class one</w:t>
            </w:r>
            <w:r w:rsidR="006E5B24">
              <w:rPr>
                <w:spacing w:val="-3"/>
                <w:sz w:val="22"/>
                <w:szCs w:val="22"/>
              </w:rPr>
              <w:t>;</w:t>
            </w:r>
            <w:r w:rsidRPr="007F5F94">
              <w:rPr>
                <w:spacing w:val="-3"/>
                <w:sz w:val="22"/>
                <w:szCs w:val="22"/>
              </w:rPr>
              <w:t xml:space="preserve"> and</w:t>
            </w:r>
          </w:p>
          <w:p w:rsidR="006E5B24" w:rsidRPr="006E5B24" w:rsidRDefault="006E5B24" w:rsidP="006E5B24">
            <w:pPr>
              <w:pStyle w:val="BlockText"/>
              <w:widowControl w:val="0"/>
              <w:numPr>
                <w:ilvl w:val="0"/>
                <w:numId w:val="14"/>
              </w:numPr>
              <w:rPr>
                <w:spacing w:val="-3"/>
                <w:sz w:val="22"/>
                <w:szCs w:val="22"/>
              </w:rPr>
            </w:pPr>
            <w:r>
              <w:rPr>
                <w:spacing w:val="-3"/>
                <w:sz w:val="22"/>
                <w:szCs w:val="22"/>
              </w:rPr>
              <w:t>R</w:t>
            </w:r>
            <w:r w:rsidR="0076310A" w:rsidRPr="007F5F94">
              <w:rPr>
                <w:spacing w:val="-3"/>
                <w:sz w:val="22"/>
                <w:szCs w:val="22"/>
              </w:rPr>
              <w:t>emove the acc</w:t>
            </w:r>
            <w:r>
              <w:rPr>
                <w:spacing w:val="-3"/>
                <w:sz w:val="22"/>
                <w:szCs w:val="22"/>
              </w:rPr>
              <w:t>idental release prevention rule.</w:t>
            </w:r>
          </w:p>
          <w:p w:rsidR="000E13CD" w:rsidRPr="00AA7DC6" w:rsidRDefault="000E13CD" w:rsidP="006E5B24">
            <w:pPr>
              <w:pStyle w:val="BlockText"/>
              <w:widowControl w:val="0"/>
              <w:tabs>
                <w:tab w:val="num" w:pos="792"/>
              </w:tabs>
              <w:ind w:left="-14"/>
              <w:rPr>
                <w:sz w:val="22"/>
                <w:szCs w:val="22"/>
              </w:rPr>
            </w:pPr>
          </w:p>
        </w:tc>
      </w:tr>
      <w:tr w:rsidR="003960C3" w:rsidRPr="00AA7DC6" w:rsidTr="006E5B24">
        <w:trPr>
          <w:trHeight w:val="530"/>
        </w:trPr>
        <w:tc>
          <w:tcPr>
            <w:tcW w:w="1728" w:type="dxa"/>
            <w:shd w:val="clear" w:color="auto" w:fill="auto"/>
          </w:tcPr>
          <w:p w:rsidR="003960C3" w:rsidRPr="00AA7DC6" w:rsidRDefault="003960C3" w:rsidP="006E5B24">
            <w:pPr>
              <w:pStyle w:val="Heading5"/>
              <w:widowControl w:val="0"/>
              <w:rPr>
                <w:szCs w:val="22"/>
              </w:rPr>
            </w:pPr>
            <w:r w:rsidRPr="00AA7DC6">
              <w:rPr>
                <w:szCs w:val="22"/>
              </w:rPr>
              <w:t xml:space="preserve">Need for this Rulemaking </w:t>
            </w:r>
          </w:p>
        </w:tc>
        <w:tc>
          <w:tcPr>
            <w:tcW w:w="8190" w:type="dxa"/>
            <w:gridSpan w:val="5"/>
            <w:shd w:val="clear" w:color="auto" w:fill="auto"/>
          </w:tcPr>
          <w:p w:rsidR="007E5E8D" w:rsidRPr="007E5E8D" w:rsidRDefault="007E5E8D" w:rsidP="006E5B24">
            <w:pPr>
              <w:pStyle w:val="DEQSMALLHEADLINES"/>
              <w:widowControl w:val="0"/>
              <w:outlineLvl w:val="0"/>
              <w:rPr>
                <w:rFonts w:ascii="Times New Roman" w:hAnsi="Times New Roman"/>
                <w:b w:val="0"/>
                <w:sz w:val="22"/>
                <w:szCs w:val="22"/>
                <w:u w:val="single"/>
              </w:rPr>
            </w:pPr>
            <w:r w:rsidRPr="007E5E8D">
              <w:rPr>
                <w:rFonts w:ascii="Times New Roman" w:hAnsi="Times New Roman"/>
                <w:b w:val="0"/>
                <w:sz w:val="22"/>
                <w:szCs w:val="22"/>
                <w:u w:val="single"/>
              </w:rPr>
              <w:t>Management of Workload</w:t>
            </w:r>
          </w:p>
          <w:p w:rsidR="007E5E8D" w:rsidRPr="007E5E8D" w:rsidRDefault="007E5E8D" w:rsidP="006E5B24">
            <w:pPr>
              <w:pStyle w:val="DEQSMALLHEADLINES"/>
              <w:widowControl w:val="0"/>
              <w:outlineLvl w:val="0"/>
              <w:rPr>
                <w:rFonts w:ascii="Times New Roman" w:hAnsi="Times New Roman"/>
                <w:b w:val="0"/>
                <w:sz w:val="22"/>
                <w:szCs w:val="22"/>
              </w:rPr>
            </w:pPr>
            <w:r w:rsidRPr="007E5E8D">
              <w:rPr>
                <w:rFonts w:ascii="Times New Roman" w:hAnsi="Times New Roman"/>
                <w:b w:val="0"/>
                <w:sz w:val="22"/>
                <w:szCs w:val="22"/>
              </w:rPr>
              <w:t xml:space="preserve">Adoption of new federal standards by EPA triggers a requirement that DEQ incorporate the standards into the permits of affected facilities. This requirement makes it difficult for DEQ to manage workload, focus on federal standards with the greatest environmental benefit, and decline to implement federal standards that are not substantive or that are </w:t>
            </w:r>
            <w:r w:rsidRPr="007E5E8D">
              <w:rPr>
                <w:rFonts w:ascii="Times New Roman" w:hAnsi="Times New Roman"/>
                <w:b w:val="0"/>
                <w:sz w:val="22"/>
                <w:szCs w:val="22"/>
              </w:rPr>
              <w:lastRenderedPageBreak/>
              <w:t xml:space="preserve">better implemented by EPA on the federal level.      </w:t>
            </w:r>
          </w:p>
          <w:p w:rsidR="007E5E8D" w:rsidRPr="007E5E8D" w:rsidRDefault="007E5E8D" w:rsidP="006E5B24">
            <w:pPr>
              <w:pStyle w:val="DEQSMALLHEADLINES"/>
              <w:widowControl w:val="0"/>
              <w:outlineLvl w:val="0"/>
              <w:rPr>
                <w:rFonts w:ascii="Times New Roman" w:hAnsi="Times New Roman"/>
                <w:b w:val="0"/>
                <w:sz w:val="22"/>
                <w:szCs w:val="22"/>
              </w:rPr>
            </w:pPr>
          </w:p>
          <w:p w:rsidR="007E5E8D" w:rsidRPr="007E5E8D" w:rsidRDefault="007E5E8D" w:rsidP="006E5B24">
            <w:pPr>
              <w:pStyle w:val="DEQSMALLHEADLINES"/>
              <w:widowControl w:val="0"/>
              <w:outlineLvl w:val="0"/>
              <w:rPr>
                <w:rFonts w:ascii="Times New Roman" w:hAnsi="Times New Roman"/>
                <w:b w:val="0"/>
                <w:sz w:val="22"/>
                <w:szCs w:val="22"/>
              </w:rPr>
            </w:pPr>
            <w:r w:rsidRPr="007E5E8D">
              <w:rPr>
                <w:rFonts w:ascii="Times New Roman" w:hAnsi="Times New Roman"/>
                <w:b w:val="0"/>
                <w:sz w:val="22"/>
                <w:szCs w:val="22"/>
              </w:rPr>
              <w:t>Adoption of a new NSPS by EPA triggers a requirement that affected facilities obtain a permit. This requirement makes it difficult for DEQ to space out permitting and improve timeliness and efficiency.</w:t>
            </w:r>
          </w:p>
          <w:p w:rsidR="007E5E8D" w:rsidRPr="007E5E8D" w:rsidRDefault="007E5E8D" w:rsidP="006E5B24">
            <w:pPr>
              <w:pStyle w:val="DEQSMALLHEADLINES"/>
              <w:widowControl w:val="0"/>
              <w:outlineLvl w:val="0"/>
              <w:rPr>
                <w:rFonts w:ascii="Times New Roman" w:hAnsi="Times New Roman"/>
                <w:b w:val="0"/>
                <w:sz w:val="22"/>
                <w:szCs w:val="22"/>
              </w:rPr>
            </w:pPr>
          </w:p>
          <w:p w:rsidR="007F5F94" w:rsidRDefault="007E5E8D" w:rsidP="006E5B24">
            <w:pPr>
              <w:pStyle w:val="DEQSMALLHEADLINES"/>
              <w:widowControl w:val="0"/>
              <w:outlineLvl w:val="0"/>
              <w:rPr>
                <w:rFonts w:ascii="Times New Roman" w:hAnsi="Times New Roman"/>
                <w:b w:val="0"/>
                <w:sz w:val="22"/>
                <w:szCs w:val="22"/>
                <w:u w:val="single"/>
              </w:rPr>
            </w:pPr>
            <w:r w:rsidRPr="007E5E8D">
              <w:rPr>
                <w:rFonts w:ascii="Times New Roman" w:hAnsi="Times New Roman"/>
                <w:b w:val="0"/>
                <w:sz w:val="22"/>
                <w:szCs w:val="22"/>
              </w:rPr>
              <w:t>The adoption of the boiler NESHAP for smaller area sources triggers a requirement that affected sources get a permit. EPA estimates that there are potentially 187,000 affected boilers nationally. The permitting of hundreds or thousands of boilers in Oregon would create an excessive burden of issuing the permits on DEQ.</w:t>
            </w:r>
          </w:p>
          <w:p w:rsidR="007E5E8D" w:rsidRDefault="007E5E8D" w:rsidP="006E5B24">
            <w:pPr>
              <w:pStyle w:val="DEQSMALLHEADLINES"/>
              <w:widowControl w:val="0"/>
              <w:outlineLvl w:val="0"/>
              <w:rPr>
                <w:rFonts w:ascii="Times New Roman" w:hAnsi="Times New Roman"/>
                <w:b w:val="0"/>
                <w:sz w:val="22"/>
                <w:szCs w:val="22"/>
                <w:u w:val="single"/>
              </w:rPr>
            </w:pPr>
          </w:p>
          <w:p w:rsidR="007E5E8D" w:rsidRPr="007E5E8D" w:rsidRDefault="007E5E8D" w:rsidP="006E5B24">
            <w:pPr>
              <w:pStyle w:val="DEQSMALLHEADLINES"/>
              <w:widowControl w:val="0"/>
              <w:outlineLvl w:val="0"/>
              <w:rPr>
                <w:rFonts w:ascii="Times New Roman" w:hAnsi="Times New Roman"/>
                <w:b w:val="0"/>
                <w:sz w:val="22"/>
                <w:szCs w:val="22"/>
                <w:u w:val="single"/>
              </w:rPr>
            </w:pPr>
            <w:r w:rsidRPr="007E5E8D">
              <w:rPr>
                <w:rFonts w:ascii="Times New Roman" w:hAnsi="Times New Roman"/>
                <w:b w:val="0"/>
                <w:sz w:val="22"/>
                <w:szCs w:val="22"/>
                <w:u w:val="single"/>
              </w:rPr>
              <w:t>Reduction of Burden on Businesses</w:t>
            </w:r>
          </w:p>
          <w:p w:rsidR="007E5E8D" w:rsidRPr="007E5E8D" w:rsidRDefault="007E5E8D" w:rsidP="006E5B24">
            <w:pPr>
              <w:pStyle w:val="DEQSMALLHEADLINES"/>
              <w:widowControl w:val="0"/>
              <w:outlineLvl w:val="0"/>
              <w:rPr>
                <w:rFonts w:ascii="Times New Roman" w:hAnsi="Times New Roman"/>
                <w:b w:val="0"/>
                <w:sz w:val="22"/>
                <w:szCs w:val="22"/>
              </w:rPr>
            </w:pPr>
            <w:r w:rsidRPr="007E5E8D">
              <w:rPr>
                <w:rFonts w:ascii="Times New Roman" w:hAnsi="Times New Roman"/>
                <w:b w:val="0"/>
                <w:sz w:val="22"/>
                <w:szCs w:val="22"/>
              </w:rPr>
              <w:t xml:space="preserve">The permitting of sources subject only to procedural requirements, such as notification that the source is affected by an NSPS or NESHAP, places a burden on DEQ and affected sources.  </w:t>
            </w:r>
          </w:p>
          <w:p w:rsidR="007E5E8D" w:rsidRPr="007E5E8D" w:rsidRDefault="007E5E8D" w:rsidP="006E5B24">
            <w:pPr>
              <w:pStyle w:val="DEQSMALLHEADLINES"/>
              <w:widowControl w:val="0"/>
              <w:outlineLvl w:val="0"/>
              <w:rPr>
                <w:rFonts w:ascii="Times New Roman" w:hAnsi="Times New Roman"/>
                <w:b w:val="0"/>
                <w:sz w:val="22"/>
                <w:szCs w:val="22"/>
              </w:rPr>
            </w:pPr>
          </w:p>
          <w:p w:rsidR="007E5E8D" w:rsidRPr="007E5E8D" w:rsidRDefault="007E5E8D" w:rsidP="006E5B24">
            <w:pPr>
              <w:pStyle w:val="DEQSMALLHEADLINES"/>
              <w:widowControl w:val="0"/>
              <w:outlineLvl w:val="0"/>
              <w:rPr>
                <w:rFonts w:ascii="Times New Roman" w:hAnsi="Times New Roman"/>
                <w:b w:val="0"/>
                <w:sz w:val="22"/>
                <w:szCs w:val="22"/>
              </w:rPr>
            </w:pPr>
            <w:r w:rsidRPr="007E5E8D">
              <w:rPr>
                <w:rFonts w:ascii="Times New Roman" w:hAnsi="Times New Roman"/>
                <w:b w:val="0"/>
                <w:sz w:val="22"/>
                <w:szCs w:val="22"/>
              </w:rPr>
              <w:t xml:space="preserve">Currently, all facilities subject to the area source NESHAP for chemical manufacturing are required to obtain a permit. During the process of identifying affected facilities, it was discovered that there is at least one facility in Oregon that is subject to the NESHAP, even though they are only doing bench scale production and subject to only work practice standards, not to the more substantive requirements of the NESHAP. </w:t>
            </w:r>
          </w:p>
          <w:p w:rsidR="007E5E8D" w:rsidRPr="007E5E8D" w:rsidRDefault="007E5E8D" w:rsidP="006E5B24">
            <w:pPr>
              <w:pStyle w:val="DEQSMALLHEADLINES"/>
              <w:widowControl w:val="0"/>
              <w:outlineLvl w:val="0"/>
              <w:rPr>
                <w:rFonts w:ascii="Times New Roman" w:hAnsi="Times New Roman"/>
                <w:b w:val="0"/>
                <w:sz w:val="22"/>
                <w:szCs w:val="22"/>
              </w:rPr>
            </w:pPr>
          </w:p>
          <w:p w:rsidR="007F5F94" w:rsidRDefault="007E5E8D" w:rsidP="006E5B24">
            <w:pPr>
              <w:pStyle w:val="DEQSMALLHEADLINES"/>
              <w:widowControl w:val="0"/>
              <w:outlineLvl w:val="0"/>
              <w:rPr>
                <w:rFonts w:ascii="Times New Roman" w:hAnsi="Times New Roman"/>
                <w:b w:val="0"/>
                <w:sz w:val="22"/>
                <w:szCs w:val="22"/>
                <w:u w:val="single"/>
              </w:rPr>
            </w:pPr>
            <w:r w:rsidRPr="007E5E8D">
              <w:rPr>
                <w:rFonts w:ascii="Times New Roman" w:hAnsi="Times New Roman"/>
                <w:b w:val="0"/>
                <w:sz w:val="22"/>
                <w:szCs w:val="22"/>
              </w:rPr>
              <w:t>Motor vehicle surface coating operations subject to the paint stripping and miscellaneous surface coating operation NESHAP and painting less than 10 vehicles per year or using less than 20 gallons of coating per year are exempt from permitting. Mobile equipment surface coating operations subject to the same NESHAP are subject to permitting, regardless of how much coating they use and how many vehicles they paint.</w:t>
            </w:r>
          </w:p>
          <w:p w:rsidR="007E5E8D" w:rsidRDefault="007E5E8D" w:rsidP="006E5B24">
            <w:pPr>
              <w:pStyle w:val="DEQSMALLHEADLINES"/>
              <w:widowControl w:val="0"/>
              <w:outlineLvl w:val="0"/>
              <w:rPr>
                <w:rFonts w:ascii="Times New Roman" w:hAnsi="Times New Roman"/>
                <w:b w:val="0"/>
                <w:sz w:val="22"/>
                <w:szCs w:val="22"/>
                <w:u w:val="single"/>
              </w:rPr>
            </w:pPr>
          </w:p>
          <w:p w:rsidR="007E5E8D" w:rsidRPr="007E5E8D" w:rsidRDefault="007E5E8D" w:rsidP="006E5B24">
            <w:pPr>
              <w:pStyle w:val="BlockText"/>
              <w:widowControl w:val="0"/>
              <w:rPr>
                <w:sz w:val="22"/>
                <w:szCs w:val="22"/>
                <w:u w:val="single"/>
              </w:rPr>
            </w:pPr>
            <w:r w:rsidRPr="007E5E8D">
              <w:rPr>
                <w:sz w:val="22"/>
                <w:szCs w:val="22"/>
                <w:u w:val="single"/>
              </w:rPr>
              <w:t>Alignment with Federal Rules</w:t>
            </w:r>
          </w:p>
          <w:p w:rsidR="007E5E8D" w:rsidRPr="007E5E8D" w:rsidRDefault="007E5E8D" w:rsidP="006E5B24">
            <w:pPr>
              <w:pStyle w:val="BlockText"/>
              <w:widowControl w:val="0"/>
              <w:rPr>
                <w:sz w:val="22"/>
                <w:szCs w:val="22"/>
              </w:rPr>
            </w:pPr>
            <w:r w:rsidRPr="007E5E8D">
              <w:rPr>
                <w:sz w:val="22"/>
                <w:szCs w:val="22"/>
              </w:rPr>
              <w:t xml:space="preserve">In the gasoline dispensing facility NESHAP, EPA defined "gasoline dispensing facility" as a facility that dispenses gasoline into a “motor vehicle”, but failed to define "motor vehicle”. The Clean Air Act defines a “motor vehicle” as an “on-road vehicle”. Limiting applicability of the NESHAP to facilities that dispense gasoline into “on-road vehicles” is not what EPA intended. Therefore, EPA amended the NESHAP to clarify that it also applies to facilities that dispense gasoline into “non-road vehicles” and “non-road engines”. Oregon's gasoline dispensing rules that implement the NESHAP only apply to facilities that dispense gasoline into "on-road vehicles". </w:t>
            </w:r>
          </w:p>
          <w:p w:rsidR="007E5E8D" w:rsidRPr="007E5E8D" w:rsidRDefault="007E5E8D" w:rsidP="006E5B24">
            <w:pPr>
              <w:pStyle w:val="BlockText"/>
              <w:widowControl w:val="0"/>
              <w:rPr>
                <w:sz w:val="22"/>
                <w:szCs w:val="22"/>
              </w:rPr>
            </w:pPr>
          </w:p>
          <w:p w:rsidR="007E5E8D" w:rsidRPr="007E5E8D" w:rsidRDefault="007E5E8D" w:rsidP="006E5B24">
            <w:pPr>
              <w:pStyle w:val="BlockText"/>
              <w:widowControl w:val="0"/>
              <w:rPr>
                <w:sz w:val="22"/>
                <w:szCs w:val="22"/>
              </w:rPr>
            </w:pPr>
            <w:r w:rsidRPr="007E5E8D">
              <w:rPr>
                <w:sz w:val="22"/>
                <w:szCs w:val="22"/>
              </w:rPr>
              <w:t>EPA has adopted amendments to several federal standards that are adopted by reference in Oregon's rules. Oregon's adoption is limited to the version of the standards that was in place when the EQC adopts them. In order to maintain delegation, DEQ 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p>
          <w:p w:rsidR="007E5E8D" w:rsidRPr="007E5E8D" w:rsidRDefault="007E5E8D" w:rsidP="006E5B24">
            <w:pPr>
              <w:pStyle w:val="BlockText"/>
              <w:widowControl w:val="0"/>
              <w:rPr>
                <w:sz w:val="22"/>
                <w:szCs w:val="22"/>
              </w:rPr>
            </w:pPr>
          </w:p>
          <w:p w:rsidR="007E5E8D" w:rsidRDefault="007E5E8D" w:rsidP="006E5B24">
            <w:pPr>
              <w:pStyle w:val="BlockText"/>
              <w:widowControl w:val="0"/>
              <w:rPr>
                <w:sz w:val="22"/>
                <w:szCs w:val="22"/>
              </w:rPr>
            </w:pPr>
            <w:r w:rsidRPr="007E5E8D">
              <w:rPr>
                <w:sz w:val="22"/>
                <w:szCs w:val="22"/>
              </w:rPr>
              <w:t>EPA recently adopted emission guidelines for existing commercial and industrial solid waste incineration units. Sections 111 and 129 of the Clean Air Act require states with existing CISWI units, subject to the emission guidelines, to adopt rules and submit to EPA a plan to implement and enforce the emission guidelines. If a state with existing CISWI units does not submit an approvable plan, sections 111 and 129 of the CAA require EPA to develop, implement, and enforce a Federal plan for CISWI units located in that state.</w:t>
            </w:r>
          </w:p>
          <w:p w:rsidR="007E5E8D" w:rsidRDefault="007E5E8D" w:rsidP="006E5B24">
            <w:pPr>
              <w:pStyle w:val="BlockText"/>
              <w:widowControl w:val="0"/>
              <w:rPr>
                <w:sz w:val="22"/>
                <w:szCs w:val="22"/>
              </w:rPr>
            </w:pPr>
          </w:p>
          <w:p w:rsidR="006E5B24" w:rsidRDefault="006E5B24" w:rsidP="006E5B24">
            <w:pPr>
              <w:pStyle w:val="BlockText"/>
              <w:widowControl w:val="0"/>
              <w:rPr>
                <w:sz w:val="22"/>
                <w:szCs w:val="22"/>
              </w:rPr>
            </w:pPr>
          </w:p>
          <w:p w:rsidR="007E5E8D" w:rsidRPr="007E5E8D" w:rsidRDefault="007E5E8D" w:rsidP="006E5B24">
            <w:pPr>
              <w:pStyle w:val="BlockText"/>
              <w:widowControl w:val="0"/>
              <w:rPr>
                <w:sz w:val="22"/>
                <w:szCs w:val="22"/>
                <w:u w:val="single"/>
              </w:rPr>
            </w:pPr>
            <w:r w:rsidRPr="007E5E8D">
              <w:rPr>
                <w:sz w:val="22"/>
                <w:szCs w:val="22"/>
                <w:u w:val="single"/>
              </w:rPr>
              <w:lastRenderedPageBreak/>
              <w:t>Reduction of Hazardous Air Pollutant Emissions</w:t>
            </w:r>
          </w:p>
          <w:p w:rsidR="007E5E8D" w:rsidRPr="007E5E8D" w:rsidRDefault="007E5E8D" w:rsidP="006E5B24">
            <w:pPr>
              <w:pStyle w:val="BlockText"/>
              <w:widowControl w:val="0"/>
              <w:rPr>
                <w:sz w:val="22"/>
                <w:szCs w:val="22"/>
              </w:rPr>
            </w:pPr>
            <w:r w:rsidRPr="007E5E8D">
              <w:rPr>
                <w:sz w:val="22"/>
                <w:szCs w:val="22"/>
              </w:rPr>
              <w:t xml:space="preserve">EPA has identified boilers, gold mine ore processing and production, and solid waste incinerators as emitters of one or more hazardous air pollutants, including mercury. Mercury can impair neurological development and cause neurological damage, and is a toxic of concern in Oregon.                                                                                                                                                           </w:t>
            </w:r>
          </w:p>
          <w:p w:rsidR="007E5E8D" w:rsidRPr="007E5E8D" w:rsidRDefault="007E5E8D" w:rsidP="006E5B24">
            <w:pPr>
              <w:pStyle w:val="BlockText"/>
              <w:widowControl w:val="0"/>
              <w:rPr>
                <w:sz w:val="22"/>
                <w:szCs w:val="22"/>
              </w:rPr>
            </w:pPr>
          </w:p>
          <w:p w:rsidR="007E5E8D" w:rsidRPr="007E5E8D" w:rsidRDefault="007E5E8D" w:rsidP="006E5B24">
            <w:pPr>
              <w:pStyle w:val="BlockText"/>
              <w:widowControl w:val="0"/>
              <w:rPr>
                <w:sz w:val="22"/>
                <w:szCs w:val="22"/>
                <w:u w:val="single"/>
              </w:rPr>
            </w:pPr>
            <w:r w:rsidRPr="007E5E8D">
              <w:rPr>
                <w:sz w:val="22"/>
                <w:szCs w:val="22"/>
                <w:u w:val="single"/>
              </w:rPr>
              <w:t>Level the Playing Field</w:t>
            </w:r>
          </w:p>
          <w:p w:rsidR="00330705" w:rsidRDefault="007E5E8D" w:rsidP="006E5B24">
            <w:pPr>
              <w:pStyle w:val="BlockText"/>
              <w:widowControl w:val="0"/>
              <w:rPr>
                <w:sz w:val="22"/>
                <w:szCs w:val="22"/>
              </w:rPr>
            </w:pPr>
            <w:r w:rsidRPr="007E5E8D">
              <w:rPr>
                <w:sz w:val="22"/>
                <w:szCs w:val="22"/>
              </w:rPr>
              <w:t>Auto body shops that successfully petition DEQ, by demonstrating they are not using coatings containing toxic metals, are exempt from the federal NESHAP and permitting. If a body shop later violates the terms of their approved petition by using paint containing toxic metals, they create an unlevel playing field for auto body shops that meet the terms of their exemption approval and shops that choose to comply with the NESHAP and obtain a permit.</w:t>
            </w:r>
            <w:r w:rsidR="003B2C5A">
              <w:rPr>
                <w:sz w:val="22"/>
                <w:szCs w:val="22"/>
              </w:rPr>
              <w:t xml:space="preserve">   </w:t>
            </w:r>
          </w:p>
          <w:p w:rsidR="00C124D9" w:rsidRDefault="00C124D9" w:rsidP="006E5B24">
            <w:pPr>
              <w:pStyle w:val="BlockText"/>
              <w:widowControl w:val="0"/>
              <w:rPr>
                <w:sz w:val="22"/>
                <w:szCs w:val="22"/>
              </w:rPr>
            </w:pPr>
          </w:p>
          <w:p w:rsidR="007E5E8D" w:rsidRPr="007E5E8D" w:rsidRDefault="007E5E8D" w:rsidP="006E5B24">
            <w:pPr>
              <w:pStyle w:val="BlockText"/>
              <w:widowControl w:val="0"/>
              <w:rPr>
                <w:sz w:val="22"/>
                <w:szCs w:val="22"/>
                <w:u w:val="single"/>
              </w:rPr>
            </w:pPr>
            <w:r w:rsidRPr="007E5E8D">
              <w:rPr>
                <w:sz w:val="22"/>
                <w:szCs w:val="22"/>
                <w:u w:val="single"/>
              </w:rPr>
              <w:t>Rule Clarification and Cleanup</w:t>
            </w:r>
          </w:p>
          <w:p w:rsidR="007E5E8D" w:rsidRPr="007E5E8D" w:rsidRDefault="007E5E8D" w:rsidP="006E5B24">
            <w:pPr>
              <w:pStyle w:val="BlockText"/>
              <w:widowControl w:val="0"/>
              <w:rPr>
                <w:sz w:val="22"/>
                <w:szCs w:val="22"/>
              </w:rPr>
            </w:pPr>
            <w:r w:rsidRPr="007E5E8D">
              <w:rPr>
                <w:sz w:val="22"/>
                <w:szCs w:val="22"/>
              </w:rPr>
              <w:t xml:space="preserve">In a previous rulemaking, DEQ divided the metal fabrication and finishing source category into three general ACDP fee classes, thereby reducing the annual fees for facilities with fewer requirements. The intent was for facilities required to have emission controls pay higher annual fees and facilities required to meet work practice standards pay lower fees. The intent was also to have metal fabrication and finishing facilities with surface coating control requirements pay the same fees as other facilities subject to the same surface coating control requirements, such as auto body shops. However, DEQ inadvertently excluded the surface coating operations from the higher fee classes. </w:t>
            </w:r>
          </w:p>
          <w:p w:rsidR="007E5E8D" w:rsidRPr="007E5E8D" w:rsidRDefault="007E5E8D" w:rsidP="006E5B24">
            <w:pPr>
              <w:pStyle w:val="BlockText"/>
              <w:widowControl w:val="0"/>
              <w:rPr>
                <w:sz w:val="22"/>
                <w:szCs w:val="22"/>
              </w:rPr>
            </w:pPr>
          </w:p>
          <w:p w:rsidR="007E5E8D" w:rsidRPr="007E5E8D" w:rsidRDefault="007E5E8D" w:rsidP="006E5B24">
            <w:pPr>
              <w:pStyle w:val="BlockText"/>
              <w:widowControl w:val="0"/>
              <w:rPr>
                <w:sz w:val="22"/>
                <w:szCs w:val="22"/>
              </w:rPr>
            </w:pPr>
            <w:r w:rsidRPr="007E5E8D">
              <w:rPr>
                <w:sz w:val="22"/>
                <w:szCs w:val="22"/>
              </w:rPr>
              <w:t xml:space="preserve">The General ACDP rule in Division 216 currently has three fee class assignments for halogenated solvent cleaners: (1) facilities with batch cold cleaners - fee class two, (2) facilities with batch vapor and in-line cleaners - fee class two, and (3) facilities with batch cold, batch vapor, and in-line cleaners. Fee class assignments (1) and (2) are redundant to fee class assignment (3). </w:t>
            </w:r>
          </w:p>
          <w:p w:rsidR="007E5E8D" w:rsidRPr="007E5E8D" w:rsidRDefault="007E5E8D" w:rsidP="006E5B24">
            <w:pPr>
              <w:pStyle w:val="BlockText"/>
              <w:widowControl w:val="0"/>
              <w:rPr>
                <w:sz w:val="22"/>
                <w:szCs w:val="22"/>
              </w:rPr>
            </w:pPr>
          </w:p>
          <w:p w:rsidR="007E5E8D" w:rsidRPr="007E5E8D" w:rsidRDefault="007E5E8D" w:rsidP="006E5B24">
            <w:pPr>
              <w:pStyle w:val="BlockText"/>
              <w:widowControl w:val="0"/>
              <w:rPr>
                <w:sz w:val="22"/>
                <w:szCs w:val="22"/>
              </w:rPr>
            </w:pPr>
            <w:r w:rsidRPr="007E5E8D">
              <w:rPr>
                <w:sz w:val="22"/>
                <w:szCs w:val="22"/>
              </w:rPr>
              <w:t>The General ACDP rule also has crematories assigned to fee class two. This fee class assignment was inadvertently changed from fee class one to fee class two in a previous rulemaking.</w:t>
            </w:r>
          </w:p>
          <w:p w:rsidR="007E5E8D" w:rsidRPr="007E5E8D" w:rsidRDefault="007E5E8D" w:rsidP="006E5B24">
            <w:pPr>
              <w:pStyle w:val="BlockText"/>
              <w:widowControl w:val="0"/>
              <w:rPr>
                <w:sz w:val="22"/>
                <w:szCs w:val="22"/>
              </w:rPr>
            </w:pPr>
          </w:p>
          <w:p w:rsidR="006E5B24" w:rsidRDefault="006E5B24" w:rsidP="006E5B24">
            <w:pPr>
              <w:pStyle w:val="BlockText"/>
              <w:widowControl w:val="0"/>
              <w:rPr>
                <w:sz w:val="22"/>
                <w:szCs w:val="22"/>
              </w:rPr>
            </w:pPr>
            <w:r>
              <w:rPr>
                <w:sz w:val="22"/>
                <w:szCs w:val="22"/>
              </w:rPr>
              <w:t>When merging the gasoline dispensing facility requirements in OAR 340</w:t>
            </w:r>
            <w:r w:rsidR="008F5472">
              <w:rPr>
                <w:sz w:val="22"/>
                <w:szCs w:val="22"/>
              </w:rPr>
              <w:t xml:space="preserve"> Divisions 232 and 242 with the federal gasoline dispensing facility NESHAP, DEQ missed the requirement that delivery vessels dispense gasoline into tanks that are submerge filled. This requirement is redundant with the merged requirements in OAR 340 Division 244.</w:t>
            </w:r>
          </w:p>
          <w:p w:rsidR="006E5B24" w:rsidRDefault="006E5B24" w:rsidP="006E5B24">
            <w:pPr>
              <w:pStyle w:val="BlockText"/>
              <w:widowControl w:val="0"/>
              <w:rPr>
                <w:sz w:val="22"/>
                <w:szCs w:val="22"/>
              </w:rPr>
            </w:pPr>
          </w:p>
          <w:p w:rsidR="007E5E8D" w:rsidRDefault="007E5E8D" w:rsidP="006E5B24">
            <w:pPr>
              <w:pStyle w:val="BlockText"/>
              <w:widowControl w:val="0"/>
              <w:rPr>
                <w:sz w:val="22"/>
                <w:szCs w:val="22"/>
              </w:rPr>
            </w:pPr>
            <w:r w:rsidRPr="007E5E8D">
              <w:rPr>
                <w:sz w:val="22"/>
                <w:szCs w:val="22"/>
              </w:rPr>
              <w:t>The Accidental Release Prevention rule in Division 244 was adopted before EPA adopted the federal Accidental Release Prevention rules. The federal Accidental Release Prevention rules were not subsequently adopted into DEQ rules because DEQ determined it did not have the resources to implement the rules, except to ensure that affected Title V sources submit their risk management plan to EPA.</w:t>
            </w:r>
          </w:p>
          <w:p w:rsidR="006E5B24" w:rsidRDefault="006E5B24" w:rsidP="006E5B24">
            <w:pPr>
              <w:pStyle w:val="BlockText"/>
              <w:widowControl w:val="0"/>
              <w:rPr>
                <w:sz w:val="22"/>
                <w:szCs w:val="22"/>
              </w:rPr>
            </w:pPr>
          </w:p>
          <w:p w:rsidR="006E5B24" w:rsidRPr="00AA7DC6" w:rsidRDefault="006E5B24" w:rsidP="006E5B24">
            <w:pPr>
              <w:pStyle w:val="BlockText"/>
              <w:widowControl w:val="0"/>
              <w:rPr>
                <w:sz w:val="22"/>
                <w:szCs w:val="22"/>
              </w:rPr>
            </w:pPr>
          </w:p>
        </w:tc>
      </w:tr>
      <w:tr w:rsidR="003960C3" w:rsidRPr="00AA7DC6" w:rsidTr="006E5B24">
        <w:trPr>
          <w:cantSplit/>
          <w:trHeight w:val="2078"/>
        </w:trPr>
        <w:tc>
          <w:tcPr>
            <w:tcW w:w="1728" w:type="dxa"/>
            <w:shd w:val="clear" w:color="auto" w:fill="auto"/>
          </w:tcPr>
          <w:p w:rsidR="003960C3" w:rsidRPr="00AA7DC6" w:rsidRDefault="003960C3" w:rsidP="006E5B24">
            <w:pPr>
              <w:pStyle w:val="Heading5"/>
              <w:widowControl w:val="0"/>
              <w:rPr>
                <w:szCs w:val="22"/>
              </w:rPr>
            </w:pPr>
            <w:r w:rsidRPr="00AA7DC6">
              <w:rPr>
                <w:szCs w:val="22"/>
              </w:rPr>
              <w:lastRenderedPageBreak/>
              <w:t>Relevant History</w:t>
            </w:r>
          </w:p>
        </w:tc>
        <w:tc>
          <w:tcPr>
            <w:tcW w:w="8190" w:type="dxa"/>
            <w:gridSpan w:val="5"/>
            <w:shd w:val="clear" w:color="auto" w:fill="auto"/>
          </w:tcPr>
          <w:p w:rsidR="00A770F4" w:rsidRPr="00AA7DC6" w:rsidRDefault="00985D81" w:rsidP="006E5B24">
            <w:pPr>
              <w:widowControl w:val="0"/>
              <w:autoSpaceDE w:val="0"/>
              <w:autoSpaceDN w:val="0"/>
              <w:adjustRightInd w:val="0"/>
              <w:rPr>
                <w:color w:val="000000"/>
                <w:sz w:val="22"/>
                <w:szCs w:val="22"/>
              </w:rPr>
            </w:pPr>
            <w:r w:rsidRPr="00AA7DC6">
              <w:rPr>
                <w:color w:val="000000"/>
                <w:sz w:val="22"/>
                <w:szCs w:val="22"/>
              </w:rPr>
              <w:t>T</w:t>
            </w:r>
            <w:r w:rsidR="00D612CB" w:rsidRPr="00AA7DC6">
              <w:rPr>
                <w:color w:val="000000"/>
                <w:sz w:val="22"/>
                <w:szCs w:val="22"/>
              </w:rPr>
              <w:t xml:space="preserve">he </w:t>
            </w:r>
            <w:r w:rsidR="00D7058F" w:rsidRPr="00AA7DC6">
              <w:rPr>
                <w:color w:val="000000"/>
                <w:sz w:val="22"/>
                <w:szCs w:val="22"/>
              </w:rPr>
              <w:t>c</w:t>
            </w:r>
            <w:r w:rsidR="00D612CB" w:rsidRPr="00AA7DC6">
              <w:rPr>
                <w:color w:val="000000"/>
                <w:sz w:val="22"/>
                <w:szCs w:val="22"/>
              </w:rPr>
              <w:t xml:space="preserve">lean </w:t>
            </w:r>
            <w:r w:rsidR="00D7058F" w:rsidRPr="00AA7DC6">
              <w:rPr>
                <w:color w:val="000000"/>
                <w:sz w:val="22"/>
                <w:szCs w:val="22"/>
              </w:rPr>
              <w:t>a</w:t>
            </w:r>
            <w:r w:rsidR="00D612CB" w:rsidRPr="00AA7DC6">
              <w:rPr>
                <w:color w:val="000000"/>
                <w:sz w:val="22"/>
                <w:szCs w:val="22"/>
              </w:rPr>
              <w:t xml:space="preserve">ir </w:t>
            </w:r>
            <w:r w:rsidR="00D7058F" w:rsidRPr="00AA7DC6">
              <w:rPr>
                <w:color w:val="000000"/>
                <w:sz w:val="22"/>
                <w:szCs w:val="22"/>
              </w:rPr>
              <w:t>a</w:t>
            </w:r>
            <w:r w:rsidR="00D612CB" w:rsidRPr="00AA7DC6">
              <w:rPr>
                <w:color w:val="000000"/>
                <w:sz w:val="22"/>
                <w:szCs w:val="22"/>
              </w:rPr>
              <w:t xml:space="preserve">ct requires EPA to establish </w:t>
            </w:r>
            <w:r w:rsidR="00982C2E" w:rsidRPr="00AA7DC6">
              <w:rPr>
                <w:color w:val="000000"/>
                <w:sz w:val="22"/>
                <w:szCs w:val="22"/>
              </w:rPr>
              <w:t>NESHAP</w:t>
            </w:r>
            <w:r w:rsidR="00D612CB" w:rsidRPr="00AA7DC6">
              <w:rPr>
                <w:color w:val="000000"/>
                <w:sz w:val="22"/>
                <w:szCs w:val="22"/>
              </w:rPr>
              <w:t>s for both major and area sources of hazardous air pollutants.</w:t>
            </w:r>
            <w:r w:rsidRPr="00AA7DC6">
              <w:rPr>
                <w:color w:val="000000"/>
                <w:sz w:val="22"/>
                <w:szCs w:val="22"/>
              </w:rPr>
              <w:t xml:space="preserve"> EPA finished establishing major source standards in 2004. EPA began establishing area source standards in 200</w:t>
            </w:r>
            <w:r w:rsidR="00352849" w:rsidRPr="00AA7DC6">
              <w:rPr>
                <w:color w:val="000000"/>
                <w:sz w:val="22"/>
                <w:szCs w:val="22"/>
              </w:rPr>
              <w:t>6</w:t>
            </w:r>
            <w:r w:rsidR="00071967" w:rsidRPr="00AA7DC6">
              <w:rPr>
                <w:color w:val="000000"/>
                <w:sz w:val="22"/>
                <w:szCs w:val="22"/>
              </w:rPr>
              <w:t xml:space="preserve"> and conclude</w:t>
            </w:r>
            <w:r w:rsidR="00987EB3">
              <w:rPr>
                <w:color w:val="000000"/>
                <w:sz w:val="22"/>
                <w:szCs w:val="22"/>
              </w:rPr>
              <w:t>d</w:t>
            </w:r>
            <w:r w:rsidR="00071967" w:rsidRPr="00AA7DC6">
              <w:rPr>
                <w:color w:val="000000"/>
                <w:sz w:val="22"/>
                <w:szCs w:val="22"/>
              </w:rPr>
              <w:t xml:space="preserve"> in </w:t>
            </w:r>
            <w:r w:rsidRPr="00AA7DC6">
              <w:rPr>
                <w:color w:val="000000"/>
                <w:sz w:val="22"/>
                <w:szCs w:val="22"/>
              </w:rPr>
              <w:t>201</w:t>
            </w:r>
            <w:r w:rsidR="00987EB3">
              <w:rPr>
                <w:color w:val="000000"/>
                <w:sz w:val="22"/>
                <w:szCs w:val="22"/>
              </w:rPr>
              <w:t>1</w:t>
            </w:r>
            <w:r w:rsidRPr="00AA7DC6">
              <w:rPr>
                <w:color w:val="000000"/>
                <w:sz w:val="22"/>
                <w:szCs w:val="22"/>
              </w:rPr>
              <w:t xml:space="preserve">. </w:t>
            </w:r>
          </w:p>
          <w:p w:rsidR="00474DA6" w:rsidRDefault="00474DA6" w:rsidP="006E5B24">
            <w:pPr>
              <w:widowControl w:val="0"/>
              <w:autoSpaceDE w:val="0"/>
              <w:autoSpaceDN w:val="0"/>
              <w:adjustRightInd w:val="0"/>
              <w:rPr>
                <w:color w:val="000000"/>
                <w:sz w:val="22"/>
                <w:szCs w:val="22"/>
              </w:rPr>
            </w:pPr>
          </w:p>
          <w:p w:rsidR="00352849" w:rsidRPr="00AA7DC6" w:rsidRDefault="00982C2E" w:rsidP="006E5B24">
            <w:pPr>
              <w:widowControl w:val="0"/>
              <w:autoSpaceDE w:val="0"/>
              <w:autoSpaceDN w:val="0"/>
              <w:adjustRightInd w:val="0"/>
              <w:rPr>
                <w:color w:val="000000"/>
                <w:sz w:val="22"/>
                <w:szCs w:val="22"/>
              </w:rPr>
            </w:pPr>
            <w:r w:rsidRPr="00AA7DC6">
              <w:rPr>
                <w:color w:val="000000"/>
                <w:sz w:val="22"/>
                <w:szCs w:val="22"/>
              </w:rPr>
              <w:t xml:space="preserve">EPA is required to perform </w:t>
            </w:r>
            <w:r w:rsidR="003004AC" w:rsidRPr="00AA7DC6">
              <w:rPr>
                <w:color w:val="000000"/>
                <w:sz w:val="22"/>
                <w:szCs w:val="22"/>
              </w:rPr>
              <w:t xml:space="preserve">a </w:t>
            </w:r>
            <w:r w:rsidRPr="00AA7DC6">
              <w:rPr>
                <w:color w:val="000000"/>
                <w:sz w:val="22"/>
                <w:szCs w:val="22"/>
              </w:rPr>
              <w:t xml:space="preserve">residual risk </w:t>
            </w:r>
            <w:r w:rsidR="00EE28B1" w:rsidRPr="00AA7DC6">
              <w:rPr>
                <w:color w:val="000000"/>
                <w:sz w:val="22"/>
                <w:szCs w:val="22"/>
              </w:rPr>
              <w:t xml:space="preserve">analysis </w:t>
            </w:r>
            <w:r w:rsidR="003004AC" w:rsidRPr="00AA7DC6">
              <w:rPr>
                <w:color w:val="000000"/>
                <w:sz w:val="22"/>
                <w:szCs w:val="22"/>
              </w:rPr>
              <w:t xml:space="preserve">for major source NESHAPs </w:t>
            </w:r>
            <w:r w:rsidRPr="00AA7DC6">
              <w:rPr>
                <w:color w:val="000000"/>
                <w:sz w:val="22"/>
                <w:szCs w:val="22"/>
              </w:rPr>
              <w:t xml:space="preserve">and </w:t>
            </w:r>
            <w:r w:rsidR="003004AC" w:rsidRPr="00AA7DC6">
              <w:rPr>
                <w:color w:val="000000"/>
                <w:sz w:val="22"/>
                <w:szCs w:val="22"/>
              </w:rPr>
              <w:t xml:space="preserve">periodic </w:t>
            </w:r>
            <w:r w:rsidRPr="00AA7DC6">
              <w:rPr>
                <w:color w:val="000000"/>
                <w:sz w:val="22"/>
                <w:szCs w:val="22"/>
              </w:rPr>
              <w:t>technology review</w:t>
            </w:r>
            <w:r w:rsidR="003004AC" w:rsidRPr="00AA7DC6">
              <w:rPr>
                <w:color w:val="000000"/>
                <w:sz w:val="22"/>
                <w:szCs w:val="22"/>
              </w:rPr>
              <w:t>s for NSPSs and NESHAPs</w:t>
            </w:r>
            <w:r w:rsidR="00EE28B1" w:rsidRPr="00AA7DC6">
              <w:rPr>
                <w:color w:val="000000"/>
                <w:sz w:val="22"/>
                <w:szCs w:val="22"/>
              </w:rPr>
              <w:t>. These reviews are ongoing and in some cases result in EPA making the standards more stringent.</w:t>
            </w:r>
            <w:r w:rsidRPr="00AA7DC6">
              <w:rPr>
                <w:color w:val="000000"/>
                <w:sz w:val="22"/>
                <w:szCs w:val="22"/>
              </w:rPr>
              <w:t xml:space="preserve"> </w:t>
            </w:r>
          </w:p>
          <w:p w:rsidR="00352849" w:rsidRPr="00AA7DC6" w:rsidRDefault="00352849" w:rsidP="006E5B24">
            <w:pPr>
              <w:widowControl w:val="0"/>
              <w:autoSpaceDE w:val="0"/>
              <w:autoSpaceDN w:val="0"/>
              <w:adjustRightInd w:val="0"/>
              <w:rPr>
                <w:color w:val="000000"/>
                <w:sz w:val="22"/>
                <w:szCs w:val="22"/>
              </w:rPr>
            </w:pPr>
          </w:p>
          <w:p w:rsidR="003960C3" w:rsidRPr="00AA7DC6" w:rsidRDefault="00985D81" w:rsidP="006E5B24">
            <w:pPr>
              <w:widowControl w:val="0"/>
              <w:autoSpaceDE w:val="0"/>
              <w:autoSpaceDN w:val="0"/>
              <w:adjustRightInd w:val="0"/>
              <w:rPr>
                <w:color w:val="000000"/>
                <w:sz w:val="22"/>
                <w:szCs w:val="22"/>
              </w:rPr>
            </w:pPr>
            <w:r w:rsidRPr="00AA7DC6">
              <w:rPr>
                <w:color w:val="000000"/>
                <w:sz w:val="22"/>
                <w:szCs w:val="22"/>
              </w:rPr>
              <w:t>DEQ is adopting the area source standards in f</w:t>
            </w:r>
            <w:r w:rsidR="00071967" w:rsidRPr="00AA7DC6">
              <w:rPr>
                <w:color w:val="000000"/>
                <w:sz w:val="22"/>
                <w:szCs w:val="22"/>
              </w:rPr>
              <w:t>ive</w:t>
            </w:r>
            <w:r w:rsidRPr="00AA7DC6">
              <w:rPr>
                <w:color w:val="000000"/>
                <w:sz w:val="22"/>
                <w:szCs w:val="22"/>
              </w:rPr>
              <w:t xml:space="preserve"> phases. The first </w:t>
            </w:r>
            <w:r w:rsidR="00071967" w:rsidRPr="00AA7DC6">
              <w:rPr>
                <w:color w:val="000000"/>
                <w:sz w:val="22"/>
                <w:szCs w:val="22"/>
              </w:rPr>
              <w:t>three</w:t>
            </w:r>
            <w:r w:rsidRPr="00AA7DC6">
              <w:rPr>
                <w:color w:val="000000"/>
                <w:sz w:val="22"/>
                <w:szCs w:val="22"/>
              </w:rPr>
              <w:t xml:space="preserve"> phases concluded in December 2008</w:t>
            </w:r>
            <w:r w:rsidR="00071967" w:rsidRPr="00AA7DC6">
              <w:rPr>
                <w:color w:val="000000"/>
                <w:sz w:val="22"/>
                <w:szCs w:val="22"/>
              </w:rPr>
              <w:t>,</w:t>
            </w:r>
            <w:r w:rsidRPr="00AA7DC6">
              <w:rPr>
                <w:color w:val="000000"/>
                <w:sz w:val="22"/>
                <w:szCs w:val="22"/>
              </w:rPr>
              <w:t xml:space="preserve"> December 2009</w:t>
            </w:r>
            <w:r w:rsidR="00071967" w:rsidRPr="00AA7DC6">
              <w:rPr>
                <w:color w:val="000000"/>
                <w:sz w:val="22"/>
                <w:szCs w:val="22"/>
              </w:rPr>
              <w:t>, and February 2011</w:t>
            </w:r>
            <w:r w:rsidRPr="00AA7DC6">
              <w:rPr>
                <w:color w:val="000000"/>
                <w:sz w:val="22"/>
                <w:szCs w:val="22"/>
              </w:rPr>
              <w:t xml:space="preserve">. This rulemaking is phase </w:t>
            </w:r>
            <w:r w:rsidR="00BE5ECD" w:rsidRPr="00AA7DC6">
              <w:rPr>
                <w:color w:val="000000"/>
                <w:sz w:val="22"/>
                <w:szCs w:val="22"/>
              </w:rPr>
              <w:t>four</w:t>
            </w:r>
            <w:r w:rsidR="00071967" w:rsidRPr="00AA7DC6">
              <w:rPr>
                <w:color w:val="000000"/>
                <w:sz w:val="22"/>
                <w:szCs w:val="22"/>
              </w:rPr>
              <w:t xml:space="preserve"> of five</w:t>
            </w:r>
            <w:r w:rsidRPr="00AA7DC6">
              <w:rPr>
                <w:color w:val="000000"/>
                <w:sz w:val="22"/>
                <w:szCs w:val="22"/>
              </w:rPr>
              <w:t>.</w:t>
            </w:r>
            <w:r w:rsidR="003004AC" w:rsidRPr="00AA7DC6">
              <w:rPr>
                <w:color w:val="000000"/>
                <w:sz w:val="22"/>
                <w:szCs w:val="22"/>
              </w:rPr>
              <w:t xml:space="preserve"> DEQ adoption of new and amended NSPSs and NESHAPs is an ongoing process.</w:t>
            </w:r>
            <w:r w:rsidRPr="00AA7DC6">
              <w:rPr>
                <w:color w:val="000000"/>
                <w:sz w:val="22"/>
                <w:szCs w:val="22"/>
              </w:rPr>
              <w:t xml:space="preserve">   </w:t>
            </w:r>
          </w:p>
          <w:p w:rsidR="00EE28B1" w:rsidRPr="00AA7DC6" w:rsidRDefault="00EE28B1" w:rsidP="006E5B24">
            <w:pPr>
              <w:widowControl w:val="0"/>
              <w:autoSpaceDE w:val="0"/>
              <w:autoSpaceDN w:val="0"/>
              <w:adjustRightInd w:val="0"/>
              <w:rPr>
                <w:color w:val="000000"/>
                <w:sz w:val="22"/>
                <w:szCs w:val="22"/>
              </w:rPr>
            </w:pPr>
          </w:p>
        </w:tc>
      </w:tr>
      <w:tr w:rsidR="003960C3" w:rsidRPr="00AA7DC6" w:rsidTr="006E5B24">
        <w:trPr>
          <w:cantSplit/>
        </w:trPr>
        <w:tc>
          <w:tcPr>
            <w:tcW w:w="1728" w:type="dxa"/>
            <w:shd w:val="clear" w:color="auto" w:fill="auto"/>
          </w:tcPr>
          <w:p w:rsidR="003960C3" w:rsidRPr="00AA7DC6" w:rsidRDefault="003960C3" w:rsidP="006E5B24">
            <w:pPr>
              <w:pStyle w:val="Heading5"/>
              <w:widowControl w:val="0"/>
              <w:rPr>
                <w:szCs w:val="22"/>
              </w:rPr>
            </w:pPr>
            <w:r w:rsidRPr="00AA7DC6">
              <w:rPr>
                <w:szCs w:val="22"/>
              </w:rPr>
              <w:t>Deadlines</w:t>
            </w:r>
          </w:p>
        </w:tc>
        <w:tc>
          <w:tcPr>
            <w:tcW w:w="8190" w:type="dxa"/>
            <w:gridSpan w:val="5"/>
            <w:shd w:val="clear" w:color="auto" w:fill="auto"/>
          </w:tcPr>
          <w:p w:rsidR="0075660E" w:rsidRPr="0075660E" w:rsidRDefault="0075660E" w:rsidP="006E5B24">
            <w:pPr>
              <w:widowControl w:val="0"/>
              <w:rPr>
                <w:sz w:val="22"/>
                <w:szCs w:val="22"/>
              </w:rPr>
            </w:pPr>
            <w:r w:rsidRPr="0075660E">
              <w:rPr>
                <w:sz w:val="22"/>
                <w:szCs w:val="22"/>
              </w:rPr>
              <w:t xml:space="preserve">The performance partnership agreement with EPA stipulates that DEQ adopt NESHAPs and NSPSs and request delegation at least every two years. </w:t>
            </w:r>
          </w:p>
          <w:p w:rsidR="0075660E" w:rsidRPr="0075660E" w:rsidRDefault="0075660E" w:rsidP="006E5B24">
            <w:pPr>
              <w:widowControl w:val="0"/>
              <w:rPr>
                <w:sz w:val="22"/>
                <w:szCs w:val="22"/>
              </w:rPr>
            </w:pPr>
          </w:p>
          <w:p w:rsidR="0075660E" w:rsidRPr="0075660E" w:rsidRDefault="0075660E" w:rsidP="006E5B24">
            <w:pPr>
              <w:widowControl w:val="0"/>
              <w:rPr>
                <w:sz w:val="22"/>
                <w:szCs w:val="22"/>
              </w:rPr>
            </w:pPr>
            <w:r w:rsidRPr="0075660E">
              <w:rPr>
                <w:sz w:val="22"/>
                <w:szCs w:val="22"/>
              </w:rPr>
              <w:t xml:space="preserve">States are required to submit a state plan that meets the requirements of the amended emission guidelines for commercial and industrial solid waste incinerators by one year after promulgation of the emission guidelines. EPA expects to publish the amended emission guidelines in May of this year. Therefore, state plans will be due in May of 2013. If a state does not submit an approvable plan, EPA is required to develop a Federal plan for CISWI units located in that state within 2 years after promulgation of the emission guidelines. </w:t>
            </w:r>
          </w:p>
          <w:p w:rsidR="0075660E" w:rsidRPr="0075660E" w:rsidRDefault="0075660E" w:rsidP="006E5B24">
            <w:pPr>
              <w:widowControl w:val="0"/>
              <w:rPr>
                <w:sz w:val="22"/>
                <w:szCs w:val="22"/>
              </w:rPr>
            </w:pPr>
          </w:p>
          <w:p w:rsidR="0075660E" w:rsidRPr="0075660E" w:rsidRDefault="0075660E" w:rsidP="006E5B24">
            <w:pPr>
              <w:widowControl w:val="0"/>
              <w:rPr>
                <w:sz w:val="22"/>
                <w:szCs w:val="22"/>
              </w:rPr>
            </w:pPr>
            <w:r w:rsidRPr="0075660E">
              <w:rPr>
                <w:sz w:val="22"/>
                <w:szCs w:val="22"/>
              </w:rPr>
              <w:t>Existing gold mine ore processing and production facilities are required to comply with the new NESHAP by February 17, 2014. Existing gasoline dispensing facilities that dispense gasoline into the fuel tank of "non-road vehicles" or "non-road engines" are required to comply with the amended gasoline dispensing facility NESHAP by January 24, 2014. Existing commercial, institutional, and industrial boilers are required to be tune-up by March 21, 2013. Owners of larger commercial, institutional, and industrial boilers are required to have an energy assessment performed by March 21, 2014. Existing coal- and oil-fired electric utility boilers are required to comply with the new utility NESHAP by April 16, 2015.</w:t>
            </w:r>
          </w:p>
          <w:p w:rsidR="0075660E" w:rsidRPr="0075660E" w:rsidRDefault="0075660E" w:rsidP="006E5B24">
            <w:pPr>
              <w:widowControl w:val="0"/>
              <w:rPr>
                <w:sz w:val="22"/>
                <w:szCs w:val="22"/>
              </w:rPr>
            </w:pPr>
          </w:p>
          <w:p w:rsidR="00CD79D0" w:rsidRPr="00AA7DC6" w:rsidRDefault="0075660E" w:rsidP="006E5B24">
            <w:pPr>
              <w:widowControl w:val="0"/>
              <w:rPr>
                <w:sz w:val="22"/>
                <w:szCs w:val="22"/>
              </w:rPr>
            </w:pPr>
            <w:r w:rsidRPr="0075660E">
              <w:rPr>
                <w:sz w:val="22"/>
                <w:szCs w:val="22"/>
              </w:rPr>
              <w:t>Air Quality managers have decided to delay implementation of new area source NESHAPs and NSPSs for stationary engines because of potential workload increases. Air Quality managers want a comprehensive implementation plan and to know how many facilities would be affected before proceeding. In order to delay implementation of the NESHAP, rules changes are necessary. This is because Oregon's current rules require DEQ to implement federal standards for currently permitted facilities when they are adopted by EPA, not when they are adopted by the EQC. Oregon's rules also require facilities affected by new NSPSs to obtain a permit when the NSPS is adopted by EPA, not when it is adopted by the EQC.</w:t>
            </w:r>
            <w:r w:rsidR="00CD79D0" w:rsidRPr="00AA7DC6">
              <w:rPr>
                <w:sz w:val="22"/>
                <w:szCs w:val="22"/>
              </w:rPr>
              <w:t xml:space="preserve"> </w:t>
            </w:r>
          </w:p>
          <w:p w:rsidR="00CD79D0" w:rsidRPr="00AA7DC6" w:rsidRDefault="00CD79D0" w:rsidP="006E5B24">
            <w:pPr>
              <w:pStyle w:val="BlockText"/>
              <w:widowControl w:val="0"/>
              <w:rPr>
                <w:sz w:val="22"/>
                <w:szCs w:val="22"/>
              </w:rPr>
            </w:pPr>
          </w:p>
        </w:tc>
      </w:tr>
      <w:tr w:rsidR="003960C3" w:rsidRPr="00AA7DC6" w:rsidTr="006E5B24">
        <w:trPr>
          <w:trHeight w:val="530"/>
        </w:trPr>
        <w:tc>
          <w:tcPr>
            <w:tcW w:w="1728" w:type="dxa"/>
            <w:shd w:val="clear" w:color="auto" w:fill="auto"/>
          </w:tcPr>
          <w:p w:rsidR="003960C3" w:rsidRPr="00AA7DC6" w:rsidRDefault="003960C3" w:rsidP="006E5B24">
            <w:pPr>
              <w:pStyle w:val="Heading5"/>
              <w:widowControl w:val="0"/>
              <w:rPr>
                <w:szCs w:val="22"/>
              </w:rPr>
            </w:pPr>
            <w:r w:rsidRPr="00AA7DC6">
              <w:rPr>
                <w:szCs w:val="22"/>
              </w:rPr>
              <w:t>Technical or Environmental Issues</w:t>
            </w:r>
          </w:p>
          <w:p w:rsidR="003960C3" w:rsidRPr="00AA7DC6" w:rsidRDefault="003960C3" w:rsidP="006E5B24">
            <w:pPr>
              <w:widowControl w:val="0"/>
              <w:rPr>
                <w:sz w:val="22"/>
                <w:szCs w:val="22"/>
              </w:rPr>
            </w:pPr>
          </w:p>
        </w:tc>
        <w:tc>
          <w:tcPr>
            <w:tcW w:w="8190" w:type="dxa"/>
            <w:gridSpan w:val="5"/>
            <w:shd w:val="clear" w:color="auto" w:fill="auto"/>
          </w:tcPr>
          <w:p w:rsidR="0066396C" w:rsidRPr="0066396C" w:rsidRDefault="0066396C" w:rsidP="006E5B24">
            <w:pPr>
              <w:widowControl w:val="0"/>
              <w:rPr>
                <w:sz w:val="22"/>
                <w:szCs w:val="22"/>
              </w:rPr>
            </w:pPr>
            <w:r w:rsidRPr="0066396C">
              <w:rPr>
                <w:sz w:val="22"/>
                <w:szCs w:val="22"/>
              </w:rPr>
              <w:t xml:space="preserve">EPA has identified gasoline dispensing facilities, gold mine ore processing and production operations, and boilers as emitters of one or more of the 33 hazardous air pollutants that pose the greatest risk to public health in urban areas. </w:t>
            </w:r>
          </w:p>
          <w:p w:rsidR="0066396C" w:rsidRPr="0066396C" w:rsidRDefault="0066396C" w:rsidP="006E5B24">
            <w:pPr>
              <w:widowControl w:val="0"/>
              <w:rPr>
                <w:sz w:val="22"/>
                <w:szCs w:val="22"/>
              </w:rPr>
            </w:pPr>
          </w:p>
          <w:p w:rsidR="00C124D9" w:rsidRPr="00AA7DC6" w:rsidRDefault="0066396C" w:rsidP="006E5B24">
            <w:pPr>
              <w:widowControl w:val="0"/>
              <w:rPr>
                <w:sz w:val="22"/>
                <w:szCs w:val="22"/>
              </w:rPr>
            </w:pPr>
            <w:r w:rsidRPr="0066396C">
              <w:rPr>
                <w:sz w:val="22"/>
                <w:szCs w:val="22"/>
              </w:rPr>
              <w:t>Many of these hazardous air pollutants are also of particular concern in Oregon. For instance, gasoline vapors contain benzene, a known cancer-causing chemical. Because benzene concentrations in many Oregon communities are significantly above levels protective of human health, reducing benzene is a priority for DEQ. Boilers and gold mine ore processing and production operations emit mercury which can impair neurological development and cause neurological damage, and is a toxic of concern in Oregon.</w:t>
            </w:r>
          </w:p>
        </w:tc>
      </w:tr>
      <w:tr w:rsidR="003960C3" w:rsidRPr="00AA7DC6" w:rsidTr="006E5B24">
        <w:trPr>
          <w:cantSplit/>
        </w:trPr>
        <w:tc>
          <w:tcPr>
            <w:tcW w:w="1728" w:type="dxa"/>
            <w:shd w:val="clear" w:color="auto" w:fill="auto"/>
          </w:tcPr>
          <w:p w:rsidR="003960C3" w:rsidRPr="00AA7DC6" w:rsidRDefault="003960C3" w:rsidP="006E5B24">
            <w:pPr>
              <w:widowControl w:val="0"/>
              <w:rPr>
                <w:b/>
                <w:sz w:val="22"/>
                <w:szCs w:val="22"/>
              </w:rPr>
            </w:pPr>
            <w:r w:rsidRPr="00AA7DC6">
              <w:rPr>
                <w:b/>
                <w:sz w:val="22"/>
                <w:szCs w:val="22"/>
              </w:rPr>
              <w:lastRenderedPageBreak/>
              <w:t>Cross Media Issues</w:t>
            </w:r>
          </w:p>
          <w:p w:rsidR="003960C3" w:rsidRPr="00AA7DC6" w:rsidRDefault="003960C3" w:rsidP="006E5B24">
            <w:pPr>
              <w:widowControl w:val="0"/>
              <w:rPr>
                <w:b/>
                <w:sz w:val="22"/>
                <w:szCs w:val="22"/>
              </w:rPr>
            </w:pPr>
          </w:p>
        </w:tc>
        <w:tc>
          <w:tcPr>
            <w:tcW w:w="8190" w:type="dxa"/>
            <w:gridSpan w:val="5"/>
            <w:shd w:val="clear" w:color="auto" w:fill="auto"/>
          </w:tcPr>
          <w:p w:rsidR="003960C3" w:rsidRPr="00AA7DC6" w:rsidRDefault="0066396C" w:rsidP="006E5B24">
            <w:pPr>
              <w:pStyle w:val="BlockText"/>
              <w:widowControl w:val="0"/>
              <w:rPr>
                <w:sz w:val="22"/>
                <w:szCs w:val="22"/>
              </w:rPr>
            </w:pPr>
            <w:r w:rsidRPr="0066396C">
              <w:rPr>
                <w:sz w:val="22"/>
                <w:szCs w:val="22"/>
              </w:rPr>
              <w:t>DEQ is implementing the gasoline dispensing facility NESHAP in a joint effort of the Air Quality Division and the Underground Storage Tank Program. The UST program has incorporated the NESHAP requirements into their current inspection program. This leveraging of UST Program resources has allowed the Air Quality Division to reduce implementation costs and establish two lower cost General ACDP fee classes for gasoline dispensing facilities. The generated revenue pays for the NESHAP portion of the UST Program inspection. The expansion of the gasoline dispensing facility NESHAP to facilities that dispense gasoline into non-road vehicles and non-road engines will require the UST Program to incorporate the NESHAP requirements into additional inspections. However, affected businesses aren’t likely to have throughputs that would trigger control requirements or permitting. Therefore, the increase in workload on the UST Program is not expected to be significant. Revenue generated by permitting additional businesses will be used to pay for this increased workload.</w:t>
            </w:r>
          </w:p>
          <w:p w:rsidR="00715ED3" w:rsidRPr="00AA7DC6" w:rsidRDefault="00715ED3" w:rsidP="006E5B24">
            <w:pPr>
              <w:pStyle w:val="BlockText"/>
              <w:widowControl w:val="0"/>
              <w:rPr>
                <w:sz w:val="22"/>
                <w:szCs w:val="22"/>
              </w:rPr>
            </w:pPr>
          </w:p>
        </w:tc>
      </w:tr>
      <w:tr w:rsidR="003960C3" w:rsidRPr="00AA7DC6" w:rsidTr="006E5B24">
        <w:trPr>
          <w:cantSplit/>
        </w:trPr>
        <w:tc>
          <w:tcPr>
            <w:tcW w:w="1728" w:type="dxa"/>
            <w:shd w:val="clear" w:color="auto" w:fill="auto"/>
          </w:tcPr>
          <w:p w:rsidR="003960C3" w:rsidRPr="00AA7DC6" w:rsidRDefault="003960C3" w:rsidP="006E5B24">
            <w:pPr>
              <w:pStyle w:val="Heading5"/>
              <w:widowControl w:val="0"/>
              <w:rPr>
                <w:szCs w:val="22"/>
              </w:rPr>
            </w:pPr>
            <w:r w:rsidRPr="00AA7DC6">
              <w:rPr>
                <w:szCs w:val="22"/>
              </w:rPr>
              <w:t>Policy or Political Issues</w:t>
            </w:r>
          </w:p>
          <w:p w:rsidR="003960C3" w:rsidRPr="00AA7DC6" w:rsidRDefault="003960C3" w:rsidP="006E5B24">
            <w:pPr>
              <w:widowControl w:val="0"/>
              <w:rPr>
                <w:sz w:val="22"/>
                <w:szCs w:val="22"/>
              </w:rPr>
            </w:pPr>
          </w:p>
        </w:tc>
        <w:tc>
          <w:tcPr>
            <w:tcW w:w="8190" w:type="dxa"/>
            <w:gridSpan w:val="5"/>
            <w:shd w:val="clear" w:color="auto" w:fill="auto"/>
          </w:tcPr>
          <w:p w:rsidR="003960C3" w:rsidRPr="00AA7DC6" w:rsidRDefault="00D54327" w:rsidP="006E5B24">
            <w:pPr>
              <w:pStyle w:val="BlockText"/>
              <w:widowControl w:val="0"/>
              <w:rPr>
                <w:color w:val="000000"/>
                <w:sz w:val="22"/>
                <w:szCs w:val="22"/>
              </w:rPr>
            </w:pPr>
            <w:r w:rsidRPr="00D54327">
              <w:rPr>
                <w:sz w:val="22"/>
                <w:szCs w:val="22"/>
              </w:rPr>
              <w:t>Large numbers of businesses that dispense gasoline into non-road vehicles and non-road engines are potentially affected by the gasoline dispensing facility NESHAP. Many of these businesses have not previously been subject to air quality regulations. Many of these businesses are opposed to permitting and fees and may contact their legislators. However, these businesses aren’t likely to have throughputs that would not trigger the more significant control requirements or permitting.</w:t>
            </w:r>
          </w:p>
          <w:p w:rsidR="00496F79" w:rsidRPr="00AA7DC6" w:rsidRDefault="00496F79" w:rsidP="006E5B24">
            <w:pPr>
              <w:pStyle w:val="BlockText"/>
              <w:widowControl w:val="0"/>
              <w:rPr>
                <w:sz w:val="22"/>
                <w:szCs w:val="22"/>
              </w:rPr>
            </w:pPr>
          </w:p>
        </w:tc>
      </w:tr>
      <w:tr w:rsidR="00F94B68" w:rsidRPr="00AA7DC6" w:rsidTr="006E5B24">
        <w:trPr>
          <w:cantSplit/>
          <w:trHeight w:val="1034"/>
        </w:trPr>
        <w:tc>
          <w:tcPr>
            <w:tcW w:w="1728" w:type="dxa"/>
            <w:shd w:val="clear" w:color="auto" w:fill="auto"/>
          </w:tcPr>
          <w:p w:rsidR="00F94B68" w:rsidRPr="00AA7DC6" w:rsidRDefault="001E2CE4" w:rsidP="006E5B24">
            <w:pPr>
              <w:widowControl w:val="0"/>
              <w:rPr>
                <w:b/>
                <w:sz w:val="22"/>
                <w:szCs w:val="22"/>
              </w:rPr>
            </w:pPr>
            <w:r w:rsidRPr="00AA7DC6">
              <w:rPr>
                <w:b/>
                <w:sz w:val="22"/>
                <w:szCs w:val="22"/>
              </w:rPr>
              <w:t xml:space="preserve">Potential </w:t>
            </w:r>
            <w:r w:rsidR="00F94B68" w:rsidRPr="00AA7DC6">
              <w:rPr>
                <w:b/>
                <w:sz w:val="22"/>
                <w:szCs w:val="22"/>
              </w:rPr>
              <w:t>Impacts to MSD</w:t>
            </w:r>
            <w:r w:rsidR="00AC0647" w:rsidRPr="00AA7DC6">
              <w:rPr>
                <w:b/>
                <w:sz w:val="22"/>
                <w:szCs w:val="22"/>
              </w:rPr>
              <w:t xml:space="preserve"> </w:t>
            </w:r>
          </w:p>
        </w:tc>
        <w:tc>
          <w:tcPr>
            <w:tcW w:w="8190" w:type="dxa"/>
            <w:gridSpan w:val="5"/>
            <w:shd w:val="clear" w:color="auto" w:fill="auto"/>
          </w:tcPr>
          <w:p w:rsidR="00F94B68" w:rsidRPr="00AA7DC6" w:rsidRDefault="006A2B5C" w:rsidP="006E5B24">
            <w:pPr>
              <w:pStyle w:val="BlockText"/>
              <w:widowControl w:val="0"/>
              <w:rPr>
                <w:sz w:val="22"/>
                <w:szCs w:val="22"/>
              </w:rPr>
            </w:pPr>
            <w:r w:rsidRPr="00AA7DC6">
              <w:rPr>
                <w:sz w:val="22"/>
                <w:szCs w:val="22"/>
              </w:rPr>
              <w:t xml:space="preserve">There are no known impacts to MSD. </w:t>
            </w:r>
          </w:p>
        </w:tc>
      </w:tr>
      <w:tr w:rsidR="001E2CE4" w:rsidRPr="00AA7DC6" w:rsidTr="006E5B24">
        <w:trPr>
          <w:cantSplit/>
          <w:trHeight w:val="917"/>
        </w:trPr>
        <w:tc>
          <w:tcPr>
            <w:tcW w:w="1728" w:type="dxa"/>
            <w:shd w:val="clear" w:color="auto" w:fill="auto"/>
          </w:tcPr>
          <w:p w:rsidR="001E2CE4" w:rsidRPr="00AA7DC6" w:rsidRDefault="00C56EEF" w:rsidP="006E5B24">
            <w:pPr>
              <w:widowControl w:val="0"/>
              <w:rPr>
                <w:b/>
                <w:sz w:val="22"/>
                <w:szCs w:val="22"/>
              </w:rPr>
            </w:pPr>
            <w:r w:rsidRPr="00AA7DC6">
              <w:rPr>
                <w:b/>
                <w:sz w:val="22"/>
                <w:szCs w:val="22"/>
              </w:rPr>
              <w:t>Potential Impacts to OCE</w:t>
            </w:r>
          </w:p>
          <w:p w:rsidR="001E2CE4" w:rsidRPr="00AA7DC6" w:rsidRDefault="001E2CE4" w:rsidP="006E5B24">
            <w:pPr>
              <w:widowControl w:val="0"/>
              <w:rPr>
                <w:b/>
                <w:sz w:val="22"/>
                <w:szCs w:val="22"/>
              </w:rPr>
            </w:pPr>
          </w:p>
        </w:tc>
        <w:tc>
          <w:tcPr>
            <w:tcW w:w="8190" w:type="dxa"/>
            <w:gridSpan w:val="5"/>
            <w:shd w:val="clear" w:color="auto" w:fill="auto"/>
          </w:tcPr>
          <w:p w:rsidR="00E13542" w:rsidRPr="00AA7DC6" w:rsidRDefault="00D54327" w:rsidP="006E5B24">
            <w:pPr>
              <w:pStyle w:val="BlockText"/>
              <w:widowControl w:val="0"/>
              <w:rPr>
                <w:sz w:val="22"/>
                <w:szCs w:val="22"/>
              </w:rPr>
            </w:pPr>
            <w:r w:rsidRPr="00D54327">
              <w:rPr>
                <w:sz w:val="22"/>
                <w:szCs w:val="22"/>
              </w:rPr>
              <w:t>Large numbers of businesses that dispense gasoline into non-road vehicles and non-road engines are potentially affected by the amended gasoline dispensing facility NESHAP. Many of these businesses have not previously been subject to air quality regulations. Initially, there may be compliance issues with these businesses, placing a burden on OCE. Compliance rates should improve and therefore the burden on OCE should reduce over time.</w:t>
            </w:r>
            <w:r w:rsidR="00CE7B97" w:rsidRPr="00AA7DC6">
              <w:rPr>
                <w:sz w:val="22"/>
                <w:szCs w:val="22"/>
              </w:rPr>
              <w:t xml:space="preserve"> </w:t>
            </w:r>
          </w:p>
          <w:p w:rsidR="00CE7B97" w:rsidRPr="00AA7DC6" w:rsidRDefault="00CE7B97" w:rsidP="006E5B24">
            <w:pPr>
              <w:pStyle w:val="BlockText"/>
              <w:widowControl w:val="0"/>
              <w:rPr>
                <w:sz w:val="22"/>
                <w:szCs w:val="22"/>
              </w:rPr>
            </w:pPr>
          </w:p>
        </w:tc>
      </w:tr>
      <w:tr w:rsidR="00F94B68" w:rsidRPr="00AA7DC6" w:rsidTr="006E5B24">
        <w:trPr>
          <w:trHeight w:val="530"/>
        </w:trPr>
        <w:tc>
          <w:tcPr>
            <w:tcW w:w="1728" w:type="dxa"/>
            <w:shd w:val="clear" w:color="auto" w:fill="auto"/>
          </w:tcPr>
          <w:p w:rsidR="00F94B68" w:rsidRPr="00AA7DC6" w:rsidRDefault="00F94B68" w:rsidP="006E5B24">
            <w:pPr>
              <w:pStyle w:val="Heading5"/>
              <w:widowControl w:val="0"/>
              <w:rPr>
                <w:szCs w:val="22"/>
              </w:rPr>
            </w:pPr>
            <w:r w:rsidRPr="00AA7DC6">
              <w:rPr>
                <w:szCs w:val="22"/>
              </w:rPr>
              <w:t>Implementation Issues</w:t>
            </w:r>
          </w:p>
          <w:p w:rsidR="00F94B68" w:rsidRPr="00AA7DC6" w:rsidRDefault="00F94B68" w:rsidP="006E5B24">
            <w:pPr>
              <w:widowControl w:val="0"/>
              <w:rPr>
                <w:sz w:val="22"/>
                <w:szCs w:val="22"/>
              </w:rPr>
            </w:pPr>
          </w:p>
        </w:tc>
        <w:tc>
          <w:tcPr>
            <w:tcW w:w="8190" w:type="dxa"/>
            <w:gridSpan w:val="5"/>
            <w:shd w:val="clear" w:color="auto" w:fill="auto"/>
          </w:tcPr>
          <w:p w:rsidR="00BA6985" w:rsidRPr="00BA6985" w:rsidRDefault="00BA6985" w:rsidP="006E5B24">
            <w:pPr>
              <w:pStyle w:val="BlockText"/>
              <w:widowControl w:val="0"/>
              <w:rPr>
                <w:sz w:val="22"/>
                <w:szCs w:val="22"/>
              </w:rPr>
            </w:pPr>
            <w:r w:rsidRPr="00BA6985">
              <w:rPr>
                <w:sz w:val="22"/>
                <w:szCs w:val="22"/>
              </w:rPr>
              <w:t>In a 2009 mailing, DEQ informed businesses that dispense gasoline into non-road vehicles and non-road engines that they were exempt from the gasoline dispensing NESHAP, knowing that in the future it would likely have to inform these same businesses that they are subject to the NESHAP.</w:t>
            </w:r>
          </w:p>
          <w:p w:rsidR="00BA6985" w:rsidRPr="00BA6985" w:rsidRDefault="00BA6985" w:rsidP="006E5B24">
            <w:pPr>
              <w:pStyle w:val="BlockText"/>
              <w:widowControl w:val="0"/>
              <w:rPr>
                <w:sz w:val="22"/>
                <w:szCs w:val="22"/>
              </w:rPr>
            </w:pPr>
          </w:p>
          <w:p w:rsidR="00F74C15" w:rsidRPr="00F74C15" w:rsidRDefault="00BA6985" w:rsidP="006E5B24">
            <w:pPr>
              <w:widowControl w:val="0"/>
              <w:rPr>
                <w:sz w:val="22"/>
                <w:szCs w:val="22"/>
              </w:rPr>
            </w:pPr>
            <w:r w:rsidRPr="00BA6985">
              <w:rPr>
                <w:sz w:val="22"/>
                <w:szCs w:val="22"/>
              </w:rPr>
              <w:t>On January 5, 2010, EPA promulgated the Prepared Feeds NESHAP. The NESHAP contained a requirement that facilities, with an average daily feed production level exceeding 50 tons per day, capture and route emissions to a cyclone designed to reduce particulate emissions by 95 percent. The compliance date for this requirement was January 5, 2012. On December 23, 2011, EPA promulgated amendments to the NESHAP that removed the 95 % control requirement for cyclones at existing facilities and retained the compliance date of January 5, 2012. This rulemaking would adopt the revised NESHAP. In the meantime, affected facilities are out of compliance with the version of the NESHAP previously adopted by the EQC.</w:t>
            </w:r>
          </w:p>
          <w:p w:rsidR="00CB77E3" w:rsidRPr="00F74C15" w:rsidRDefault="00CB77E3" w:rsidP="006E5B24">
            <w:pPr>
              <w:pStyle w:val="BlockText"/>
              <w:widowControl w:val="0"/>
              <w:rPr>
                <w:sz w:val="22"/>
                <w:szCs w:val="22"/>
              </w:rPr>
            </w:pPr>
          </w:p>
        </w:tc>
      </w:tr>
      <w:tr w:rsidR="00F94B68" w:rsidRPr="00AA7DC6" w:rsidTr="006E5B24">
        <w:trPr>
          <w:cantSplit/>
        </w:trPr>
        <w:tc>
          <w:tcPr>
            <w:tcW w:w="1728" w:type="dxa"/>
            <w:shd w:val="clear" w:color="auto" w:fill="auto"/>
          </w:tcPr>
          <w:p w:rsidR="00F94B68" w:rsidRPr="00AA7DC6" w:rsidRDefault="00F94B68" w:rsidP="006E5B24">
            <w:pPr>
              <w:pStyle w:val="Heading5"/>
              <w:widowControl w:val="0"/>
              <w:rPr>
                <w:szCs w:val="22"/>
              </w:rPr>
            </w:pPr>
            <w:r w:rsidRPr="00AA7DC6">
              <w:rPr>
                <w:szCs w:val="22"/>
              </w:rPr>
              <w:t>5 year Review</w:t>
            </w:r>
          </w:p>
          <w:p w:rsidR="00F94B68" w:rsidRPr="00AA7DC6" w:rsidRDefault="00F94B68" w:rsidP="006E5B24">
            <w:pPr>
              <w:widowControl w:val="0"/>
              <w:rPr>
                <w:sz w:val="22"/>
                <w:szCs w:val="22"/>
              </w:rPr>
            </w:pPr>
          </w:p>
        </w:tc>
        <w:tc>
          <w:tcPr>
            <w:tcW w:w="8190" w:type="dxa"/>
            <w:gridSpan w:val="5"/>
            <w:shd w:val="clear" w:color="auto" w:fill="auto"/>
          </w:tcPr>
          <w:p w:rsidR="00F94B68" w:rsidRPr="00AA7DC6" w:rsidRDefault="00CB77E3" w:rsidP="006E5B24">
            <w:pPr>
              <w:pStyle w:val="BlockText"/>
              <w:widowControl w:val="0"/>
              <w:rPr>
                <w:sz w:val="22"/>
                <w:szCs w:val="22"/>
              </w:rPr>
            </w:pPr>
            <w:r w:rsidRPr="00AA7DC6">
              <w:rPr>
                <w:sz w:val="22"/>
                <w:szCs w:val="22"/>
              </w:rPr>
              <w:t xml:space="preserve">Five-year review will apply to this rulemaking because </w:t>
            </w:r>
            <w:r w:rsidR="00C24362">
              <w:rPr>
                <w:sz w:val="22"/>
                <w:szCs w:val="22"/>
              </w:rPr>
              <w:t xml:space="preserve">the gasoline dispensing facility rules </w:t>
            </w:r>
            <w:r w:rsidRPr="00AA7DC6">
              <w:rPr>
                <w:sz w:val="22"/>
                <w:szCs w:val="22"/>
              </w:rPr>
              <w:t xml:space="preserve">go beyond the federal </w:t>
            </w:r>
            <w:r w:rsidR="00C24362">
              <w:rPr>
                <w:sz w:val="22"/>
                <w:szCs w:val="22"/>
              </w:rPr>
              <w:t>gasoline dispensing facility NESHAP</w:t>
            </w:r>
            <w:r w:rsidRPr="00AA7DC6">
              <w:rPr>
                <w:sz w:val="22"/>
                <w:szCs w:val="22"/>
              </w:rPr>
              <w:t>.</w:t>
            </w:r>
          </w:p>
          <w:p w:rsidR="00F94B68" w:rsidRPr="00AA7DC6" w:rsidRDefault="00F94B68" w:rsidP="006E5B24">
            <w:pPr>
              <w:pStyle w:val="BlockText"/>
              <w:widowControl w:val="0"/>
              <w:rPr>
                <w:sz w:val="22"/>
                <w:szCs w:val="22"/>
              </w:rPr>
            </w:pPr>
          </w:p>
        </w:tc>
      </w:tr>
      <w:tr w:rsidR="00F94B68" w:rsidRPr="00AA7DC6" w:rsidTr="006E5B24">
        <w:tc>
          <w:tcPr>
            <w:tcW w:w="1728" w:type="dxa"/>
            <w:shd w:val="clear" w:color="auto" w:fill="auto"/>
          </w:tcPr>
          <w:p w:rsidR="00F94B68" w:rsidRPr="00AA7DC6" w:rsidRDefault="00F94B68" w:rsidP="006E5B24">
            <w:pPr>
              <w:pStyle w:val="Heading5"/>
              <w:widowControl w:val="0"/>
              <w:rPr>
                <w:szCs w:val="22"/>
              </w:rPr>
            </w:pPr>
            <w:r w:rsidRPr="00AA7DC6">
              <w:rPr>
                <w:szCs w:val="22"/>
              </w:rPr>
              <w:t>Stakeholders</w:t>
            </w:r>
          </w:p>
          <w:p w:rsidR="00F94B68" w:rsidRPr="00AA7DC6" w:rsidRDefault="00F94B68" w:rsidP="006E5B24">
            <w:pPr>
              <w:widowControl w:val="0"/>
              <w:rPr>
                <w:sz w:val="22"/>
                <w:szCs w:val="22"/>
              </w:rPr>
            </w:pPr>
          </w:p>
        </w:tc>
        <w:tc>
          <w:tcPr>
            <w:tcW w:w="8190" w:type="dxa"/>
            <w:gridSpan w:val="5"/>
            <w:shd w:val="clear" w:color="auto" w:fill="auto"/>
          </w:tcPr>
          <w:p w:rsidR="00A7658B" w:rsidRPr="00AA7DC6" w:rsidRDefault="00A7658B" w:rsidP="006E5B24">
            <w:pPr>
              <w:pStyle w:val="BlockText"/>
              <w:widowControl w:val="0"/>
              <w:rPr>
                <w:sz w:val="22"/>
                <w:szCs w:val="22"/>
              </w:rPr>
            </w:pPr>
            <w:r w:rsidRPr="00AA7DC6">
              <w:rPr>
                <w:sz w:val="22"/>
                <w:szCs w:val="22"/>
              </w:rPr>
              <w:t xml:space="preserve">The number of potentially affected businesses alone makes implementation of the federal area source </w:t>
            </w:r>
            <w:r w:rsidR="004B66A7" w:rsidRPr="00AA7DC6">
              <w:rPr>
                <w:sz w:val="22"/>
                <w:szCs w:val="22"/>
              </w:rPr>
              <w:t>NESHAP</w:t>
            </w:r>
            <w:r w:rsidRPr="00AA7DC6">
              <w:rPr>
                <w:sz w:val="22"/>
                <w:szCs w:val="22"/>
              </w:rPr>
              <w:t xml:space="preserve">s a challenge. DEQ </w:t>
            </w:r>
            <w:r w:rsidR="006F6E2A" w:rsidRPr="00AA7DC6">
              <w:rPr>
                <w:sz w:val="22"/>
                <w:szCs w:val="22"/>
              </w:rPr>
              <w:t xml:space="preserve">will </w:t>
            </w:r>
            <w:r w:rsidRPr="00AA7DC6">
              <w:rPr>
                <w:sz w:val="22"/>
                <w:szCs w:val="22"/>
              </w:rPr>
              <w:t>provid</w:t>
            </w:r>
            <w:r w:rsidR="006F6E2A" w:rsidRPr="00AA7DC6">
              <w:rPr>
                <w:sz w:val="22"/>
                <w:szCs w:val="22"/>
              </w:rPr>
              <w:t>e</w:t>
            </w:r>
            <w:r w:rsidRPr="00AA7DC6">
              <w:rPr>
                <w:sz w:val="22"/>
                <w:szCs w:val="22"/>
              </w:rPr>
              <w:t xml:space="preserve"> notice to these businesses and </w:t>
            </w:r>
            <w:r w:rsidR="00F16E3C">
              <w:rPr>
                <w:sz w:val="22"/>
                <w:szCs w:val="22"/>
              </w:rPr>
              <w:t xml:space="preserve">continues to </w:t>
            </w:r>
            <w:r w:rsidRPr="00AA7DC6">
              <w:rPr>
                <w:sz w:val="22"/>
                <w:szCs w:val="22"/>
              </w:rPr>
              <w:t xml:space="preserve">conduct outreach in an effort to determine which are affected by the new standards and to target compliance assistance. DEQ expects </w:t>
            </w:r>
            <w:r w:rsidR="00CB77E3" w:rsidRPr="00AA7DC6">
              <w:rPr>
                <w:sz w:val="22"/>
                <w:szCs w:val="22"/>
              </w:rPr>
              <w:t xml:space="preserve">many of </w:t>
            </w:r>
            <w:r w:rsidRPr="00AA7DC6">
              <w:rPr>
                <w:sz w:val="22"/>
                <w:szCs w:val="22"/>
              </w:rPr>
              <w:t>the</w:t>
            </w:r>
            <w:r w:rsidR="00CB77E3" w:rsidRPr="00AA7DC6">
              <w:rPr>
                <w:sz w:val="22"/>
                <w:szCs w:val="22"/>
              </w:rPr>
              <w:t>se</w:t>
            </w:r>
            <w:r w:rsidRPr="00AA7DC6">
              <w:rPr>
                <w:sz w:val="22"/>
                <w:szCs w:val="22"/>
              </w:rPr>
              <w:t xml:space="preserve"> businesses will </w:t>
            </w:r>
            <w:r w:rsidRPr="00AA7DC6">
              <w:rPr>
                <w:sz w:val="22"/>
                <w:szCs w:val="22"/>
              </w:rPr>
              <w:lastRenderedPageBreak/>
              <w:t>be opposed to permitting and permit fees.</w:t>
            </w:r>
            <w:r w:rsidR="00CB77E3" w:rsidRPr="00AA7DC6">
              <w:rPr>
                <w:sz w:val="22"/>
                <w:szCs w:val="22"/>
              </w:rPr>
              <w:t xml:space="preserve"> </w:t>
            </w:r>
          </w:p>
          <w:p w:rsidR="000572DB" w:rsidRPr="00AA7DC6" w:rsidRDefault="000572DB" w:rsidP="006E5B24">
            <w:pPr>
              <w:pStyle w:val="BlockText"/>
              <w:widowControl w:val="0"/>
              <w:rPr>
                <w:sz w:val="22"/>
                <w:szCs w:val="22"/>
              </w:rPr>
            </w:pPr>
          </w:p>
          <w:p w:rsidR="00A7658B" w:rsidRPr="00AA7DC6" w:rsidRDefault="00A7658B" w:rsidP="006E5B24">
            <w:pPr>
              <w:pStyle w:val="BlockText"/>
              <w:widowControl w:val="0"/>
              <w:rPr>
                <w:sz w:val="22"/>
                <w:szCs w:val="22"/>
              </w:rPr>
            </w:pPr>
            <w:r w:rsidRPr="00AA7DC6">
              <w:rPr>
                <w:sz w:val="22"/>
                <w:szCs w:val="22"/>
              </w:rPr>
              <w:t xml:space="preserve">Other sources affected by this rulemaking include those affected by the adoption of </w:t>
            </w:r>
            <w:r w:rsidR="00C24362">
              <w:rPr>
                <w:sz w:val="22"/>
                <w:szCs w:val="22"/>
              </w:rPr>
              <w:t xml:space="preserve">new and </w:t>
            </w:r>
            <w:r w:rsidRPr="00AA7DC6">
              <w:rPr>
                <w:sz w:val="22"/>
                <w:szCs w:val="22"/>
              </w:rPr>
              <w:t xml:space="preserve">changes made to existing </w:t>
            </w:r>
            <w:r w:rsidR="006F6E2A" w:rsidRPr="00AA7DC6">
              <w:rPr>
                <w:sz w:val="22"/>
                <w:szCs w:val="22"/>
              </w:rPr>
              <w:t>NESHAPs</w:t>
            </w:r>
            <w:r w:rsidR="00C24362">
              <w:rPr>
                <w:sz w:val="22"/>
                <w:szCs w:val="22"/>
              </w:rPr>
              <w:t>,</w:t>
            </w:r>
            <w:r w:rsidR="006F6E2A" w:rsidRPr="00AA7DC6">
              <w:rPr>
                <w:sz w:val="22"/>
                <w:szCs w:val="22"/>
              </w:rPr>
              <w:t xml:space="preserve"> NSPSs</w:t>
            </w:r>
            <w:r w:rsidR="00C24362">
              <w:rPr>
                <w:sz w:val="22"/>
                <w:szCs w:val="22"/>
              </w:rPr>
              <w:t>, and Emission Guidelines</w:t>
            </w:r>
            <w:r w:rsidRPr="00AA7DC6">
              <w:rPr>
                <w:sz w:val="22"/>
                <w:szCs w:val="22"/>
              </w:rPr>
              <w:t>.</w:t>
            </w:r>
          </w:p>
          <w:p w:rsidR="00F94B68" w:rsidRPr="00AA7DC6" w:rsidRDefault="00F94B68" w:rsidP="006E5B24">
            <w:pPr>
              <w:pStyle w:val="BlockText"/>
              <w:widowControl w:val="0"/>
              <w:rPr>
                <w:sz w:val="22"/>
                <w:szCs w:val="22"/>
              </w:rPr>
            </w:pPr>
          </w:p>
        </w:tc>
      </w:tr>
      <w:tr w:rsidR="00F94B68" w:rsidRPr="00AA7DC6" w:rsidTr="006E5B24">
        <w:tc>
          <w:tcPr>
            <w:tcW w:w="1728" w:type="dxa"/>
            <w:shd w:val="clear" w:color="auto" w:fill="auto"/>
          </w:tcPr>
          <w:p w:rsidR="00F94B68" w:rsidRPr="00AA7DC6" w:rsidRDefault="00F94B68" w:rsidP="006E5B24">
            <w:pPr>
              <w:pStyle w:val="Heading5"/>
              <w:widowControl w:val="0"/>
              <w:rPr>
                <w:szCs w:val="22"/>
              </w:rPr>
            </w:pPr>
            <w:r w:rsidRPr="00AA7DC6">
              <w:rPr>
                <w:szCs w:val="22"/>
              </w:rPr>
              <w:lastRenderedPageBreak/>
              <w:t>Effects on Small Business, Individuals</w:t>
            </w:r>
          </w:p>
        </w:tc>
        <w:tc>
          <w:tcPr>
            <w:tcW w:w="8190" w:type="dxa"/>
            <w:gridSpan w:val="5"/>
            <w:shd w:val="clear" w:color="auto" w:fill="auto"/>
          </w:tcPr>
          <w:p w:rsidR="00A7658B" w:rsidRPr="00AA7DC6" w:rsidRDefault="00A7658B" w:rsidP="006E5B24">
            <w:pPr>
              <w:pStyle w:val="BlockText"/>
              <w:widowControl w:val="0"/>
              <w:rPr>
                <w:sz w:val="22"/>
                <w:szCs w:val="22"/>
              </w:rPr>
            </w:pPr>
            <w:r w:rsidRPr="00AA7DC6">
              <w:rPr>
                <w:sz w:val="22"/>
                <w:szCs w:val="22"/>
              </w:rPr>
              <w:t xml:space="preserve">The new area source </w:t>
            </w:r>
            <w:r w:rsidR="00CF3A8C">
              <w:rPr>
                <w:sz w:val="22"/>
                <w:szCs w:val="22"/>
              </w:rPr>
              <w:t>NESHAPs</w:t>
            </w:r>
            <w:r w:rsidRPr="00AA7DC6">
              <w:rPr>
                <w:sz w:val="22"/>
                <w:szCs w:val="22"/>
              </w:rPr>
              <w:t xml:space="preserve"> affect small businesses. These federal standards apply to these sources regardless of whether DEQ also adopts the standards. DEQ is not allowed to adopt standards weaker than the federal standards.  </w:t>
            </w:r>
          </w:p>
          <w:p w:rsidR="00A7658B" w:rsidRPr="00AA7DC6" w:rsidRDefault="00A7658B" w:rsidP="006E5B24">
            <w:pPr>
              <w:pStyle w:val="BlockText"/>
              <w:widowControl w:val="0"/>
              <w:rPr>
                <w:sz w:val="22"/>
                <w:szCs w:val="22"/>
              </w:rPr>
            </w:pPr>
          </w:p>
          <w:p w:rsidR="00C13F67" w:rsidRPr="00A535F7" w:rsidRDefault="00A7658B" w:rsidP="006E5B24">
            <w:pPr>
              <w:pStyle w:val="BlockText"/>
              <w:widowControl w:val="0"/>
              <w:rPr>
                <w:sz w:val="22"/>
                <w:szCs w:val="22"/>
              </w:rPr>
            </w:pPr>
            <w:r w:rsidRPr="00AA7DC6">
              <w:rPr>
                <w:sz w:val="22"/>
                <w:szCs w:val="22"/>
              </w:rPr>
              <w:t xml:space="preserve">New requirements and fees will place an additional burden on small businesses. </w:t>
            </w:r>
            <w:r w:rsidRPr="00A535F7">
              <w:rPr>
                <w:sz w:val="22"/>
                <w:szCs w:val="22"/>
              </w:rPr>
              <w:t xml:space="preserve">However, DEQ </w:t>
            </w:r>
            <w:r w:rsidR="00A535F7">
              <w:rPr>
                <w:sz w:val="22"/>
                <w:szCs w:val="22"/>
              </w:rPr>
              <w:t xml:space="preserve">has implemented </w:t>
            </w:r>
            <w:r w:rsidRPr="00A535F7">
              <w:rPr>
                <w:sz w:val="22"/>
                <w:szCs w:val="22"/>
              </w:rPr>
              <w:t xml:space="preserve">ways to minimize costs and the administrative burden to small businesses but also provide DEQ </w:t>
            </w:r>
            <w:r w:rsidR="00DF3F61" w:rsidRPr="00A535F7">
              <w:rPr>
                <w:sz w:val="22"/>
                <w:szCs w:val="22"/>
              </w:rPr>
              <w:t xml:space="preserve">with </w:t>
            </w:r>
            <w:r w:rsidRPr="00A535F7">
              <w:rPr>
                <w:sz w:val="22"/>
                <w:szCs w:val="22"/>
              </w:rPr>
              <w:t>resources to implement the new federal standards.</w:t>
            </w:r>
            <w:r w:rsidR="00C13F67" w:rsidRPr="00A535F7">
              <w:rPr>
                <w:sz w:val="22"/>
                <w:szCs w:val="22"/>
              </w:rPr>
              <w:t xml:space="preserve"> </w:t>
            </w:r>
          </w:p>
          <w:p w:rsidR="00F94B68" w:rsidRPr="00AA7DC6" w:rsidRDefault="00F94B68" w:rsidP="006E5B24">
            <w:pPr>
              <w:pStyle w:val="BlockText"/>
              <w:widowControl w:val="0"/>
              <w:rPr>
                <w:sz w:val="22"/>
                <w:szCs w:val="22"/>
              </w:rPr>
            </w:pPr>
          </w:p>
        </w:tc>
      </w:tr>
      <w:tr w:rsidR="00F94B68" w:rsidRPr="00AA7DC6" w:rsidTr="006E5B24">
        <w:trPr>
          <w:cantSplit/>
          <w:trHeight w:val="510"/>
        </w:trPr>
        <w:tc>
          <w:tcPr>
            <w:tcW w:w="9918" w:type="dxa"/>
            <w:gridSpan w:val="6"/>
            <w:shd w:val="clear" w:color="auto" w:fill="auto"/>
          </w:tcPr>
          <w:p w:rsidR="00F94B68" w:rsidRPr="00AA7DC6" w:rsidRDefault="006A2B5C" w:rsidP="006E5B24">
            <w:pPr>
              <w:pStyle w:val="MapTitleContinued"/>
              <w:widowControl w:val="0"/>
              <w:rPr>
                <w:rFonts w:ascii="Times New Roman" w:hAnsi="Times New Roman"/>
                <w:sz w:val="22"/>
                <w:szCs w:val="22"/>
              </w:rPr>
            </w:pPr>
            <w:r w:rsidRPr="00AA7DC6">
              <w:rPr>
                <w:rFonts w:ascii="Times New Roman" w:hAnsi="Times New Roman"/>
                <w:b w:val="0"/>
                <w:sz w:val="22"/>
                <w:szCs w:val="22"/>
              </w:rPr>
              <w:br w:type="page"/>
            </w:r>
            <w:r w:rsidR="00F94B68" w:rsidRPr="00AA7DC6">
              <w:rPr>
                <w:rFonts w:ascii="Times New Roman" w:hAnsi="Times New Roman"/>
                <w:sz w:val="22"/>
                <w:szCs w:val="22"/>
              </w:rPr>
              <w:t>Rulemaking Process</w:t>
            </w:r>
          </w:p>
        </w:tc>
      </w:tr>
      <w:tr w:rsidR="00F94B68" w:rsidRPr="00AA7DC6" w:rsidTr="006E5B24">
        <w:trPr>
          <w:cantSplit/>
        </w:trPr>
        <w:tc>
          <w:tcPr>
            <w:tcW w:w="1728" w:type="dxa"/>
            <w:shd w:val="clear" w:color="auto" w:fill="auto"/>
          </w:tcPr>
          <w:p w:rsidR="00F94B68" w:rsidRPr="00AA7DC6" w:rsidRDefault="00F94B68" w:rsidP="006E5B24">
            <w:pPr>
              <w:pStyle w:val="Heading5"/>
              <w:widowControl w:val="0"/>
              <w:rPr>
                <w:szCs w:val="22"/>
              </w:rPr>
            </w:pPr>
            <w:r w:rsidRPr="00AA7DC6">
              <w:rPr>
                <w:szCs w:val="22"/>
              </w:rPr>
              <w:t xml:space="preserve">Rulemaking Team </w:t>
            </w:r>
          </w:p>
        </w:tc>
        <w:tc>
          <w:tcPr>
            <w:tcW w:w="8190" w:type="dxa"/>
            <w:gridSpan w:val="5"/>
            <w:shd w:val="clear" w:color="auto" w:fill="auto"/>
          </w:tcPr>
          <w:p w:rsidR="00F94B68" w:rsidRPr="00AA7DC6" w:rsidRDefault="00F94B68" w:rsidP="006E5B24">
            <w:pPr>
              <w:pStyle w:val="BlockText"/>
              <w:widowControl w:val="0"/>
              <w:rPr>
                <w:sz w:val="22"/>
                <w:szCs w:val="22"/>
              </w:rPr>
            </w:pPr>
          </w:p>
        </w:tc>
      </w:tr>
      <w:tr w:rsidR="00F94B68" w:rsidRPr="00AA7DC6" w:rsidTr="006E5B24">
        <w:tblPrEx>
          <w:tblCellMar>
            <w:left w:w="80" w:type="dxa"/>
            <w:right w:w="80" w:type="dxa"/>
          </w:tblCellMar>
        </w:tblPrEx>
        <w:trPr>
          <w:gridBefore w:val="1"/>
          <w:wBefore w:w="1728" w:type="dxa"/>
          <w:cantSplit/>
        </w:trPr>
        <w:tc>
          <w:tcPr>
            <w:tcW w:w="2430" w:type="dxa"/>
            <w:shd w:val="clear" w:color="auto" w:fill="auto"/>
          </w:tcPr>
          <w:p w:rsidR="00F94B68" w:rsidRPr="00AA7DC6" w:rsidRDefault="00F94B68" w:rsidP="006E5B24">
            <w:pPr>
              <w:pStyle w:val="TableHeaderText"/>
              <w:widowControl w:val="0"/>
              <w:rPr>
                <w:sz w:val="22"/>
                <w:szCs w:val="22"/>
              </w:rPr>
            </w:pPr>
            <w:r w:rsidRPr="00AA7DC6">
              <w:rPr>
                <w:sz w:val="22"/>
                <w:szCs w:val="22"/>
              </w:rPr>
              <w:t xml:space="preserve">Rulemaking Team </w:t>
            </w:r>
          </w:p>
        </w:tc>
        <w:tc>
          <w:tcPr>
            <w:tcW w:w="1890" w:type="dxa"/>
            <w:shd w:val="clear" w:color="auto" w:fill="auto"/>
          </w:tcPr>
          <w:p w:rsidR="00F94B68" w:rsidRPr="00AA7DC6" w:rsidRDefault="00F94B68" w:rsidP="006E5B24">
            <w:pPr>
              <w:pStyle w:val="TableHeaderText"/>
              <w:widowControl w:val="0"/>
              <w:rPr>
                <w:sz w:val="22"/>
                <w:szCs w:val="22"/>
              </w:rPr>
            </w:pPr>
            <w:r w:rsidRPr="00AA7DC6">
              <w:rPr>
                <w:sz w:val="22"/>
                <w:szCs w:val="22"/>
              </w:rPr>
              <w:t>Member Name</w:t>
            </w:r>
          </w:p>
        </w:tc>
        <w:tc>
          <w:tcPr>
            <w:tcW w:w="1800" w:type="dxa"/>
            <w:gridSpan w:val="2"/>
            <w:shd w:val="clear" w:color="auto" w:fill="auto"/>
          </w:tcPr>
          <w:p w:rsidR="00F94B68" w:rsidRPr="00AA7DC6" w:rsidRDefault="00F94B68" w:rsidP="006E5B24">
            <w:pPr>
              <w:pStyle w:val="TableHeaderText"/>
              <w:widowControl w:val="0"/>
              <w:rPr>
                <w:sz w:val="22"/>
                <w:szCs w:val="22"/>
              </w:rPr>
            </w:pPr>
            <w:r w:rsidRPr="00AA7DC6">
              <w:rPr>
                <w:sz w:val="22"/>
                <w:szCs w:val="22"/>
              </w:rPr>
              <w:t>Time estimate</w:t>
            </w:r>
          </w:p>
        </w:tc>
        <w:tc>
          <w:tcPr>
            <w:tcW w:w="2070" w:type="dxa"/>
            <w:shd w:val="clear" w:color="auto" w:fill="auto"/>
          </w:tcPr>
          <w:p w:rsidR="00F94B68" w:rsidRPr="00AA7DC6" w:rsidRDefault="00F94B68" w:rsidP="006E5B24">
            <w:pPr>
              <w:pStyle w:val="TableHeaderText"/>
              <w:widowControl w:val="0"/>
              <w:rPr>
                <w:sz w:val="22"/>
                <w:szCs w:val="22"/>
              </w:rPr>
            </w:pPr>
            <w:r w:rsidRPr="00AA7DC6">
              <w:rPr>
                <w:sz w:val="22"/>
                <w:szCs w:val="22"/>
              </w:rPr>
              <w:t>Duration</w:t>
            </w:r>
          </w:p>
        </w:tc>
      </w:tr>
      <w:tr w:rsidR="00A7658B" w:rsidRPr="00AA7DC6" w:rsidTr="006E5B24">
        <w:tblPrEx>
          <w:tblCellMar>
            <w:left w:w="80" w:type="dxa"/>
            <w:right w:w="80" w:type="dxa"/>
          </w:tblCellMar>
        </w:tblPrEx>
        <w:trPr>
          <w:gridBefore w:val="1"/>
          <w:wBefore w:w="1728" w:type="dxa"/>
          <w:cantSplit/>
        </w:trPr>
        <w:tc>
          <w:tcPr>
            <w:tcW w:w="2430" w:type="dxa"/>
            <w:shd w:val="clear" w:color="auto" w:fill="auto"/>
          </w:tcPr>
          <w:p w:rsidR="00A7658B" w:rsidRPr="00AA7DC6" w:rsidRDefault="00A7658B" w:rsidP="006E5B24">
            <w:pPr>
              <w:pStyle w:val="TableText"/>
              <w:widowControl w:val="0"/>
              <w:rPr>
                <w:sz w:val="22"/>
                <w:szCs w:val="22"/>
              </w:rPr>
            </w:pPr>
            <w:r w:rsidRPr="00AA7DC6">
              <w:rPr>
                <w:sz w:val="22"/>
                <w:szCs w:val="22"/>
              </w:rPr>
              <w:t>Sponsoring DA</w:t>
            </w:r>
          </w:p>
        </w:tc>
        <w:tc>
          <w:tcPr>
            <w:tcW w:w="1890" w:type="dxa"/>
            <w:shd w:val="clear" w:color="auto" w:fill="auto"/>
          </w:tcPr>
          <w:p w:rsidR="00A7658B" w:rsidRPr="00AA7DC6" w:rsidRDefault="00A7658B" w:rsidP="006E5B24">
            <w:pPr>
              <w:pStyle w:val="TableText"/>
              <w:widowControl w:val="0"/>
              <w:rPr>
                <w:sz w:val="22"/>
                <w:szCs w:val="22"/>
              </w:rPr>
            </w:pPr>
            <w:r w:rsidRPr="00AA7DC6">
              <w:rPr>
                <w:sz w:val="22"/>
                <w:szCs w:val="22"/>
              </w:rPr>
              <w:t>Andy Ginsburg</w:t>
            </w:r>
          </w:p>
        </w:tc>
        <w:tc>
          <w:tcPr>
            <w:tcW w:w="1800" w:type="dxa"/>
            <w:gridSpan w:val="2"/>
            <w:shd w:val="clear" w:color="auto" w:fill="auto"/>
          </w:tcPr>
          <w:p w:rsidR="00A7658B" w:rsidRPr="00AA7DC6" w:rsidRDefault="00E43482" w:rsidP="00E43482">
            <w:pPr>
              <w:pStyle w:val="TableText"/>
              <w:widowControl w:val="0"/>
              <w:rPr>
                <w:sz w:val="22"/>
                <w:szCs w:val="22"/>
              </w:rPr>
            </w:pPr>
            <w:bookmarkStart w:id="0" w:name="_GoBack"/>
            <w:bookmarkEnd w:id="0"/>
            <w:r>
              <w:rPr>
                <w:sz w:val="22"/>
                <w:szCs w:val="22"/>
              </w:rPr>
              <w:t>1.5 hrs/2 weeks</w:t>
            </w:r>
          </w:p>
        </w:tc>
        <w:tc>
          <w:tcPr>
            <w:tcW w:w="2070" w:type="dxa"/>
            <w:shd w:val="clear" w:color="auto" w:fill="auto"/>
          </w:tcPr>
          <w:p w:rsidR="00A7658B" w:rsidRPr="00AA7DC6" w:rsidRDefault="001A05EF" w:rsidP="006E5B24">
            <w:pPr>
              <w:pStyle w:val="TableText"/>
              <w:widowControl w:val="0"/>
              <w:jc w:val="center"/>
              <w:rPr>
                <w:sz w:val="22"/>
                <w:szCs w:val="22"/>
              </w:rPr>
            </w:pPr>
            <w:r>
              <w:rPr>
                <w:sz w:val="22"/>
                <w:szCs w:val="22"/>
              </w:rPr>
              <w:t>Mar</w:t>
            </w:r>
            <w:r w:rsidR="00A7658B" w:rsidRPr="00AA7DC6">
              <w:rPr>
                <w:sz w:val="22"/>
                <w:szCs w:val="22"/>
              </w:rPr>
              <w:t xml:space="preserve"> – </w:t>
            </w:r>
            <w:r>
              <w:rPr>
                <w:sz w:val="22"/>
                <w:szCs w:val="22"/>
              </w:rPr>
              <w:t>Dec</w:t>
            </w:r>
          </w:p>
        </w:tc>
      </w:tr>
      <w:tr w:rsidR="00B05688" w:rsidRPr="00AA7DC6" w:rsidTr="006E5B24">
        <w:tblPrEx>
          <w:tblCellMar>
            <w:left w:w="80" w:type="dxa"/>
            <w:right w:w="80" w:type="dxa"/>
          </w:tblCellMar>
        </w:tblPrEx>
        <w:trPr>
          <w:gridBefore w:val="1"/>
          <w:wBefore w:w="1728" w:type="dxa"/>
          <w:cantSplit/>
        </w:trPr>
        <w:tc>
          <w:tcPr>
            <w:tcW w:w="2430" w:type="dxa"/>
            <w:shd w:val="clear" w:color="auto" w:fill="auto"/>
          </w:tcPr>
          <w:p w:rsidR="00B05688" w:rsidRPr="00AA7DC6" w:rsidRDefault="00B05688" w:rsidP="006E5B24">
            <w:pPr>
              <w:pStyle w:val="TableText"/>
              <w:widowControl w:val="0"/>
              <w:rPr>
                <w:sz w:val="22"/>
                <w:szCs w:val="22"/>
              </w:rPr>
            </w:pPr>
            <w:r w:rsidRPr="00AA7DC6">
              <w:rPr>
                <w:sz w:val="22"/>
                <w:szCs w:val="22"/>
              </w:rPr>
              <w:t>Lead Manager</w:t>
            </w:r>
          </w:p>
        </w:tc>
        <w:tc>
          <w:tcPr>
            <w:tcW w:w="1890" w:type="dxa"/>
            <w:shd w:val="clear" w:color="auto" w:fill="auto"/>
          </w:tcPr>
          <w:p w:rsidR="00B05688" w:rsidRPr="00AA7DC6" w:rsidRDefault="00B05688" w:rsidP="006E5B24">
            <w:pPr>
              <w:pStyle w:val="TableText"/>
              <w:widowControl w:val="0"/>
              <w:rPr>
                <w:sz w:val="22"/>
                <w:szCs w:val="22"/>
              </w:rPr>
            </w:pPr>
            <w:r w:rsidRPr="00AA7DC6">
              <w:rPr>
                <w:sz w:val="22"/>
                <w:szCs w:val="22"/>
              </w:rPr>
              <w:t>Tom Roick</w:t>
            </w:r>
          </w:p>
        </w:tc>
        <w:tc>
          <w:tcPr>
            <w:tcW w:w="1800" w:type="dxa"/>
            <w:gridSpan w:val="2"/>
            <w:shd w:val="clear" w:color="auto" w:fill="auto"/>
          </w:tcPr>
          <w:p w:rsidR="00B05688" w:rsidRPr="00AA7DC6" w:rsidRDefault="00E43482" w:rsidP="00E43482">
            <w:pPr>
              <w:pStyle w:val="TableText"/>
              <w:widowControl w:val="0"/>
              <w:rPr>
                <w:sz w:val="22"/>
                <w:szCs w:val="22"/>
              </w:rPr>
            </w:pPr>
            <w:r>
              <w:rPr>
                <w:sz w:val="22"/>
                <w:szCs w:val="22"/>
              </w:rPr>
              <w:t>1.5 hrs/week</w:t>
            </w:r>
          </w:p>
        </w:tc>
        <w:tc>
          <w:tcPr>
            <w:tcW w:w="2070" w:type="dxa"/>
            <w:shd w:val="clear" w:color="auto" w:fill="auto"/>
          </w:tcPr>
          <w:p w:rsidR="00B05688" w:rsidRPr="00AA7DC6" w:rsidRDefault="001A05EF" w:rsidP="006E5B24">
            <w:pPr>
              <w:widowControl w:val="0"/>
              <w:jc w:val="center"/>
              <w:rPr>
                <w:sz w:val="22"/>
                <w:szCs w:val="22"/>
              </w:rPr>
            </w:pPr>
            <w:r w:rsidRPr="001A05EF">
              <w:rPr>
                <w:sz w:val="22"/>
                <w:szCs w:val="22"/>
              </w:rPr>
              <w:t>Mar – Dec</w:t>
            </w:r>
          </w:p>
        </w:tc>
      </w:tr>
      <w:tr w:rsidR="00B05688" w:rsidRPr="00AA7DC6" w:rsidTr="006E5B24">
        <w:tblPrEx>
          <w:tblCellMar>
            <w:left w:w="80" w:type="dxa"/>
            <w:right w:w="80" w:type="dxa"/>
          </w:tblCellMar>
        </w:tblPrEx>
        <w:trPr>
          <w:gridBefore w:val="1"/>
          <w:wBefore w:w="1728" w:type="dxa"/>
          <w:cantSplit/>
        </w:trPr>
        <w:tc>
          <w:tcPr>
            <w:tcW w:w="2430" w:type="dxa"/>
            <w:shd w:val="clear" w:color="auto" w:fill="auto"/>
          </w:tcPr>
          <w:p w:rsidR="00B05688" w:rsidRPr="00AA7DC6" w:rsidRDefault="00B05688" w:rsidP="006E5B24">
            <w:pPr>
              <w:pStyle w:val="TableText"/>
              <w:widowControl w:val="0"/>
              <w:rPr>
                <w:sz w:val="22"/>
                <w:szCs w:val="22"/>
              </w:rPr>
            </w:pPr>
            <w:r w:rsidRPr="00AA7DC6">
              <w:rPr>
                <w:sz w:val="22"/>
                <w:szCs w:val="22"/>
              </w:rPr>
              <w:t>Rule writer</w:t>
            </w:r>
          </w:p>
        </w:tc>
        <w:tc>
          <w:tcPr>
            <w:tcW w:w="1890" w:type="dxa"/>
            <w:shd w:val="clear" w:color="auto" w:fill="auto"/>
          </w:tcPr>
          <w:p w:rsidR="00B05688" w:rsidRPr="00AA7DC6" w:rsidRDefault="00B05688" w:rsidP="006E5B24">
            <w:pPr>
              <w:pStyle w:val="TableText"/>
              <w:widowControl w:val="0"/>
              <w:rPr>
                <w:sz w:val="22"/>
                <w:szCs w:val="22"/>
              </w:rPr>
            </w:pPr>
            <w:r w:rsidRPr="00AA7DC6">
              <w:rPr>
                <w:sz w:val="22"/>
                <w:szCs w:val="22"/>
              </w:rPr>
              <w:t>Jerry Ebersole</w:t>
            </w:r>
          </w:p>
        </w:tc>
        <w:tc>
          <w:tcPr>
            <w:tcW w:w="1800" w:type="dxa"/>
            <w:gridSpan w:val="2"/>
            <w:shd w:val="clear" w:color="auto" w:fill="auto"/>
          </w:tcPr>
          <w:p w:rsidR="00B05688" w:rsidRPr="00AA7DC6" w:rsidRDefault="00E43482" w:rsidP="006E5B24">
            <w:pPr>
              <w:pStyle w:val="TableText"/>
              <w:widowControl w:val="0"/>
              <w:rPr>
                <w:sz w:val="22"/>
                <w:szCs w:val="22"/>
              </w:rPr>
            </w:pPr>
            <w:r>
              <w:rPr>
                <w:sz w:val="22"/>
                <w:szCs w:val="22"/>
              </w:rPr>
              <w:t>10 hrs/week</w:t>
            </w:r>
          </w:p>
        </w:tc>
        <w:tc>
          <w:tcPr>
            <w:tcW w:w="2070" w:type="dxa"/>
            <w:shd w:val="clear" w:color="auto" w:fill="auto"/>
          </w:tcPr>
          <w:p w:rsidR="00B05688" w:rsidRPr="00AA7DC6" w:rsidRDefault="001A05EF" w:rsidP="006E5B24">
            <w:pPr>
              <w:widowControl w:val="0"/>
              <w:jc w:val="center"/>
              <w:rPr>
                <w:sz w:val="22"/>
                <w:szCs w:val="22"/>
              </w:rPr>
            </w:pPr>
            <w:r w:rsidRPr="001A05EF">
              <w:rPr>
                <w:sz w:val="22"/>
                <w:szCs w:val="22"/>
              </w:rPr>
              <w:t>Mar – Dec</w:t>
            </w:r>
          </w:p>
        </w:tc>
      </w:tr>
      <w:tr w:rsidR="00B05688" w:rsidRPr="00AA7DC6" w:rsidTr="006E5B24">
        <w:tblPrEx>
          <w:tblCellMar>
            <w:left w:w="80" w:type="dxa"/>
            <w:right w:w="80" w:type="dxa"/>
          </w:tblCellMar>
        </w:tblPrEx>
        <w:trPr>
          <w:gridBefore w:val="1"/>
          <w:wBefore w:w="1728" w:type="dxa"/>
          <w:cantSplit/>
        </w:trPr>
        <w:tc>
          <w:tcPr>
            <w:tcW w:w="2430" w:type="dxa"/>
            <w:shd w:val="clear" w:color="auto" w:fill="auto"/>
          </w:tcPr>
          <w:p w:rsidR="00B05688" w:rsidRPr="00AA7DC6" w:rsidRDefault="00B05688" w:rsidP="006E5B24">
            <w:pPr>
              <w:pStyle w:val="TableText"/>
              <w:widowControl w:val="0"/>
              <w:rPr>
                <w:sz w:val="22"/>
                <w:szCs w:val="22"/>
              </w:rPr>
            </w:pPr>
            <w:r w:rsidRPr="00AA7DC6">
              <w:rPr>
                <w:sz w:val="22"/>
                <w:szCs w:val="22"/>
              </w:rPr>
              <w:t>Headquarters Staff</w:t>
            </w:r>
          </w:p>
        </w:tc>
        <w:tc>
          <w:tcPr>
            <w:tcW w:w="1890" w:type="dxa"/>
            <w:shd w:val="clear" w:color="auto" w:fill="auto"/>
          </w:tcPr>
          <w:p w:rsidR="00B05688" w:rsidRPr="00AA7DC6" w:rsidRDefault="00B05688" w:rsidP="006E5B24">
            <w:pPr>
              <w:pStyle w:val="TableText"/>
              <w:widowControl w:val="0"/>
              <w:rPr>
                <w:sz w:val="22"/>
                <w:szCs w:val="22"/>
              </w:rPr>
            </w:pPr>
            <w:r w:rsidRPr="00AA7DC6">
              <w:rPr>
                <w:sz w:val="22"/>
                <w:szCs w:val="22"/>
              </w:rPr>
              <w:t>Rebecca Hillwig</w:t>
            </w:r>
            <w:r w:rsidR="001A05EF">
              <w:rPr>
                <w:sz w:val="22"/>
                <w:szCs w:val="22"/>
              </w:rPr>
              <w:t>,</w:t>
            </w:r>
          </w:p>
          <w:p w:rsidR="00B05688" w:rsidRDefault="001A05EF" w:rsidP="006E5B24">
            <w:pPr>
              <w:pStyle w:val="TableText"/>
              <w:widowControl w:val="0"/>
              <w:rPr>
                <w:sz w:val="22"/>
                <w:szCs w:val="22"/>
              </w:rPr>
            </w:pPr>
            <w:r>
              <w:rPr>
                <w:sz w:val="22"/>
                <w:szCs w:val="22"/>
              </w:rPr>
              <w:t>Nicole Vick,</w:t>
            </w:r>
          </w:p>
          <w:p w:rsidR="001A05EF" w:rsidRDefault="001A05EF" w:rsidP="006E5B24">
            <w:pPr>
              <w:pStyle w:val="TableText"/>
              <w:widowControl w:val="0"/>
              <w:rPr>
                <w:sz w:val="22"/>
                <w:szCs w:val="22"/>
              </w:rPr>
            </w:pPr>
            <w:r>
              <w:rPr>
                <w:sz w:val="22"/>
                <w:szCs w:val="22"/>
              </w:rPr>
              <w:t>Emma Snodgrass,</w:t>
            </w:r>
          </w:p>
          <w:p w:rsidR="001A05EF" w:rsidRPr="00AA7DC6" w:rsidRDefault="001A05EF" w:rsidP="006E5B24">
            <w:pPr>
              <w:pStyle w:val="TableText"/>
              <w:widowControl w:val="0"/>
              <w:rPr>
                <w:sz w:val="22"/>
                <w:szCs w:val="22"/>
              </w:rPr>
            </w:pPr>
            <w:r>
              <w:rPr>
                <w:sz w:val="22"/>
                <w:szCs w:val="22"/>
              </w:rPr>
              <w:t>Carol Thornberg</w:t>
            </w:r>
          </w:p>
        </w:tc>
        <w:tc>
          <w:tcPr>
            <w:tcW w:w="1800" w:type="dxa"/>
            <w:gridSpan w:val="2"/>
            <w:shd w:val="clear" w:color="auto" w:fill="auto"/>
          </w:tcPr>
          <w:p w:rsidR="00B05688" w:rsidRDefault="00E43482" w:rsidP="006E5B24">
            <w:pPr>
              <w:pStyle w:val="TableText"/>
              <w:widowControl w:val="0"/>
              <w:rPr>
                <w:sz w:val="22"/>
                <w:szCs w:val="22"/>
              </w:rPr>
            </w:pPr>
            <w:r>
              <w:rPr>
                <w:sz w:val="22"/>
                <w:szCs w:val="22"/>
              </w:rPr>
              <w:t>0.5 hrs/week</w:t>
            </w:r>
          </w:p>
          <w:p w:rsidR="00E43482" w:rsidRDefault="00E43482" w:rsidP="006E5B24">
            <w:pPr>
              <w:pStyle w:val="TableText"/>
              <w:widowControl w:val="0"/>
              <w:rPr>
                <w:sz w:val="22"/>
                <w:szCs w:val="22"/>
              </w:rPr>
            </w:pPr>
            <w:r>
              <w:rPr>
                <w:sz w:val="22"/>
                <w:szCs w:val="22"/>
              </w:rPr>
              <w:t>1.0 hrs/week</w:t>
            </w:r>
          </w:p>
          <w:p w:rsidR="00E43482" w:rsidRDefault="00E43482" w:rsidP="006E5B24">
            <w:pPr>
              <w:pStyle w:val="TableText"/>
              <w:widowControl w:val="0"/>
              <w:rPr>
                <w:sz w:val="22"/>
                <w:szCs w:val="22"/>
              </w:rPr>
            </w:pPr>
            <w:r>
              <w:rPr>
                <w:sz w:val="22"/>
                <w:szCs w:val="22"/>
              </w:rPr>
              <w:t>0.5 hrs/week</w:t>
            </w:r>
          </w:p>
          <w:p w:rsidR="00E43482" w:rsidRPr="00AA7DC6" w:rsidRDefault="00E43482" w:rsidP="006E5B24">
            <w:pPr>
              <w:pStyle w:val="TableText"/>
              <w:widowControl w:val="0"/>
              <w:rPr>
                <w:sz w:val="22"/>
                <w:szCs w:val="22"/>
              </w:rPr>
            </w:pPr>
            <w:r>
              <w:rPr>
                <w:sz w:val="22"/>
                <w:szCs w:val="22"/>
              </w:rPr>
              <w:t>0.5 hrs/week</w:t>
            </w:r>
          </w:p>
        </w:tc>
        <w:tc>
          <w:tcPr>
            <w:tcW w:w="2070" w:type="dxa"/>
            <w:shd w:val="clear" w:color="auto" w:fill="auto"/>
          </w:tcPr>
          <w:p w:rsidR="00B05688" w:rsidRDefault="001A05EF" w:rsidP="006E5B24">
            <w:pPr>
              <w:widowControl w:val="0"/>
              <w:jc w:val="center"/>
              <w:rPr>
                <w:sz w:val="22"/>
                <w:szCs w:val="22"/>
              </w:rPr>
            </w:pPr>
            <w:r w:rsidRPr="001A05EF">
              <w:rPr>
                <w:sz w:val="22"/>
                <w:szCs w:val="22"/>
              </w:rPr>
              <w:t>Mar – Dec</w:t>
            </w:r>
          </w:p>
          <w:p w:rsidR="00E43482" w:rsidRDefault="00E43482" w:rsidP="006E5B24">
            <w:pPr>
              <w:widowControl w:val="0"/>
              <w:jc w:val="center"/>
              <w:rPr>
                <w:sz w:val="22"/>
                <w:szCs w:val="22"/>
              </w:rPr>
            </w:pPr>
            <w:r w:rsidRPr="001A05EF">
              <w:rPr>
                <w:sz w:val="22"/>
                <w:szCs w:val="22"/>
              </w:rPr>
              <w:t>Mar – Dec</w:t>
            </w:r>
          </w:p>
          <w:p w:rsidR="00E43482" w:rsidRDefault="00E43482" w:rsidP="006E5B24">
            <w:pPr>
              <w:widowControl w:val="0"/>
              <w:jc w:val="center"/>
              <w:rPr>
                <w:sz w:val="22"/>
                <w:szCs w:val="22"/>
              </w:rPr>
            </w:pPr>
            <w:r w:rsidRPr="001A05EF">
              <w:rPr>
                <w:sz w:val="22"/>
                <w:szCs w:val="22"/>
              </w:rPr>
              <w:t>Mar – Dec</w:t>
            </w:r>
          </w:p>
          <w:p w:rsidR="00E43482" w:rsidRPr="00AA7DC6" w:rsidRDefault="00E43482" w:rsidP="006E5B24">
            <w:pPr>
              <w:widowControl w:val="0"/>
              <w:jc w:val="center"/>
              <w:rPr>
                <w:sz w:val="22"/>
                <w:szCs w:val="22"/>
              </w:rPr>
            </w:pPr>
            <w:r w:rsidRPr="001A05EF">
              <w:rPr>
                <w:sz w:val="22"/>
                <w:szCs w:val="22"/>
              </w:rPr>
              <w:t>Mar – Dec</w:t>
            </w:r>
          </w:p>
        </w:tc>
      </w:tr>
      <w:tr w:rsidR="00B05688" w:rsidRPr="00AA7DC6" w:rsidTr="006E5B24">
        <w:tblPrEx>
          <w:tblCellMar>
            <w:left w:w="80" w:type="dxa"/>
            <w:right w:w="80" w:type="dxa"/>
          </w:tblCellMar>
        </w:tblPrEx>
        <w:trPr>
          <w:gridBefore w:val="1"/>
          <w:wBefore w:w="1728" w:type="dxa"/>
          <w:cantSplit/>
        </w:trPr>
        <w:tc>
          <w:tcPr>
            <w:tcW w:w="2430" w:type="dxa"/>
            <w:shd w:val="clear" w:color="auto" w:fill="auto"/>
          </w:tcPr>
          <w:p w:rsidR="00B05688" w:rsidRPr="00AA7DC6" w:rsidRDefault="00B05688" w:rsidP="006E5B24">
            <w:pPr>
              <w:pStyle w:val="TableText"/>
              <w:widowControl w:val="0"/>
              <w:rPr>
                <w:sz w:val="22"/>
                <w:szCs w:val="22"/>
              </w:rPr>
            </w:pPr>
            <w:r w:rsidRPr="00AA7DC6">
              <w:rPr>
                <w:sz w:val="22"/>
                <w:szCs w:val="22"/>
              </w:rPr>
              <w:t>Regional Manager</w:t>
            </w:r>
          </w:p>
        </w:tc>
        <w:tc>
          <w:tcPr>
            <w:tcW w:w="1890" w:type="dxa"/>
            <w:shd w:val="clear" w:color="auto" w:fill="auto"/>
          </w:tcPr>
          <w:p w:rsidR="00B05688" w:rsidRPr="00AA7DC6" w:rsidRDefault="00CF3A8C" w:rsidP="006E5B24">
            <w:pPr>
              <w:pStyle w:val="TableText"/>
              <w:widowControl w:val="0"/>
              <w:rPr>
                <w:sz w:val="22"/>
                <w:szCs w:val="22"/>
              </w:rPr>
            </w:pPr>
            <w:r>
              <w:rPr>
                <w:sz w:val="22"/>
                <w:szCs w:val="22"/>
              </w:rPr>
              <w:t>Uri Papish</w:t>
            </w:r>
          </w:p>
        </w:tc>
        <w:tc>
          <w:tcPr>
            <w:tcW w:w="1800" w:type="dxa"/>
            <w:gridSpan w:val="2"/>
            <w:shd w:val="clear" w:color="auto" w:fill="auto"/>
          </w:tcPr>
          <w:p w:rsidR="00B05688" w:rsidRPr="00AA7DC6" w:rsidRDefault="00E43482" w:rsidP="006E5B24">
            <w:pPr>
              <w:pStyle w:val="TableText"/>
              <w:widowControl w:val="0"/>
              <w:rPr>
                <w:sz w:val="22"/>
                <w:szCs w:val="22"/>
              </w:rPr>
            </w:pPr>
            <w:r>
              <w:rPr>
                <w:sz w:val="22"/>
                <w:szCs w:val="22"/>
              </w:rPr>
              <w:t>0.5 hrs/week</w:t>
            </w:r>
          </w:p>
        </w:tc>
        <w:tc>
          <w:tcPr>
            <w:tcW w:w="2070" w:type="dxa"/>
            <w:shd w:val="clear" w:color="auto" w:fill="auto"/>
          </w:tcPr>
          <w:p w:rsidR="00B05688" w:rsidRPr="00AA7DC6" w:rsidRDefault="001A05EF" w:rsidP="006E5B24">
            <w:pPr>
              <w:widowControl w:val="0"/>
              <w:jc w:val="center"/>
              <w:rPr>
                <w:sz w:val="22"/>
                <w:szCs w:val="22"/>
              </w:rPr>
            </w:pPr>
            <w:r>
              <w:rPr>
                <w:sz w:val="22"/>
                <w:szCs w:val="22"/>
              </w:rPr>
              <w:t>Apr</w:t>
            </w:r>
            <w:r w:rsidRPr="001A05EF">
              <w:rPr>
                <w:sz w:val="22"/>
                <w:szCs w:val="22"/>
              </w:rPr>
              <w:t xml:space="preserve"> – Dec</w:t>
            </w:r>
          </w:p>
        </w:tc>
      </w:tr>
      <w:tr w:rsidR="00B05688" w:rsidRPr="00AA7DC6" w:rsidTr="006E5B24">
        <w:tblPrEx>
          <w:tblCellMar>
            <w:left w:w="80" w:type="dxa"/>
            <w:right w:w="80" w:type="dxa"/>
          </w:tblCellMar>
        </w:tblPrEx>
        <w:trPr>
          <w:gridBefore w:val="1"/>
          <w:wBefore w:w="1728" w:type="dxa"/>
          <w:cantSplit/>
        </w:trPr>
        <w:tc>
          <w:tcPr>
            <w:tcW w:w="2430" w:type="dxa"/>
            <w:shd w:val="clear" w:color="auto" w:fill="auto"/>
          </w:tcPr>
          <w:p w:rsidR="00B05688" w:rsidRPr="00AA7DC6" w:rsidRDefault="00B05688" w:rsidP="006E5B24">
            <w:pPr>
              <w:pStyle w:val="TableText"/>
              <w:widowControl w:val="0"/>
              <w:rPr>
                <w:sz w:val="22"/>
                <w:szCs w:val="22"/>
              </w:rPr>
            </w:pPr>
            <w:r w:rsidRPr="00AA7DC6">
              <w:rPr>
                <w:sz w:val="22"/>
                <w:szCs w:val="22"/>
              </w:rPr>
              <w:t>Regional staff</w:t>
            </w:r>
          </w:p>
        </w:tc>
        <w:tc>
          <w:tcPr>
            <w:tcW w:w="1890" w:type="dxa"/>
            <w:shd w:val="clear" w:color="auto" w:fill="auto"/>
          </w:tcPr>
          <w:p w:rsidR="00B05688" w:rsidRPr="00AA7DC6" w:rsidRDefault="00CF3A8C" w:rsidP="006E5B24">
            <w:pPr>
              <w:pStyle w:val="TableText"/>
              <w:widowControl w:val="0"/>
              <w:rPr>
                <w:sz w:val="22"/>
                <w:szCs w:val="22"/>
              </w:rPr>
            </w:pPr>
            <w:r>
              <w:rPr>
                <w:sz w:val="22"/>
                <w:szCs w:val="22"/>
              </w:rPr>
              <w:t>Johnny Baumgartner</w:t>
            </w:r>
            <w:r w:rsidR="00B05688" w:rsidRPr="00AA7DC6">
              <w:rPr>
                <w:sz w:val="22"/>
                <w:szCs w:val="22"/>
              </w:rPr>
              <w:t>,</w:t>
            </w:r>
          </w:p>
          <w:p w:rsidR="00B05688" w:rsidRPr="00AA7DC6" w:rsidRDefault="00CF3A8C" w:rsidP="006E5B24">
            <w:pPr>
              <w:pStyle w:val="TableText"/>
              <w:widowControl w:val="0"/>
              <w:rPr>
                <w:sz w:val="22"/>
                <w:szCs w:val="22"/>
              </w:rPr>
            </w:pPr>
            <w:r>
              <w:rPr>
                <w:sz w:val="22"/>
                <w:szCs w:val="22"/>
              </w:rPr>
              <w:t>Steve Croucher</w:t>
            </w:r>
            <w:r w:rsidR="00B05688" w:rsidRPr="00AA7DC6">
              <w:rPr>
                <w:sz w:val="22"/>
                <w:szCs w:val="22"/>
              </w:rPr>
              <w:t>,</w:t>
            </w:r>
          </w:p>
          <w:p w:rsidR="00B05688" w:rsidRPr="00AA7DC6" w:rsidRDefault="001A05EF" w:rsidP="006E5B24">
            <w:pPr>
              <w:pStyle w:val="TableText"/>
              <w:widowControl w:val="0"/>
              <w:rPr>
                <w:sz w:val="22"/>
                <w:szCs w:val="22"/>
              </w:rPr>
            </w:pPr>
            <w:r>
              <w:rPr>
                <w:sz w:val="22"/>
                <w:szCs w:val="22"/>
              </w:rPr>
              <w:t>Mark Fisher</w:t>
            </w:r>
          </w:p>
        </w:tc>
        <w:tc>
          <w:tcPr>
            <w:tcW w:w="1800" w:type="dxa"/>
            <w:gridSpan w:val="2"/>
            <w:shd w:val="clear" w:color="auto" w:fill="auto"/>
          </w:tcPr>
          <w:p w:rsidR="00B05688" w:rsidRDefault="00E43482" w:rsidP="006E5B24">
            <w:pPr>
              <w:pStyle w:val="TableText"/>
              <w:widowControl w:val="0"/>
              <w:rPr>
                <w:sz w:val="22"/>
                <w:szCs w:val="22"/>
              </w:rPr>
            </w:pPr>
            <w:r>
              <w:rPr>
                <w:sz w:val="22"/>
                <w:szCs w:val="22"/>
              </w:rPr>
              <w:t>0.5 hrs/week</w:t>
            </w:r>
          </w:p>
          <w:p w:rsidR="00E43482" w:rsidRDefault="00E43482" w:rsidP="006E5B24">
            <w:pPr>
              <w:pStyle w:val="TableText"/>
              <w:widowControl w:val="0"/>
              <w:rPr>
                <w:sz w:val="22"/>
                <w:szCs w:val="22"/>
              </w:rPr>
            </w:pPr>
          </w:p>
          <w:p w:rsidR="00E43482" w:rsidRDefault="00E43482" w:rsidP="006E5B24">
            <w:pPr>
              <w:pStyle w:val="TableText"/>
              <w:widowControl w:val="0"/>
              <w:rPr>
                <w:sz w:val="22"/>
                <w:szCs w:val="22"/>
              </w:rPr>
            </w:pPr>
            <w:r>
              <w:rPr>
                <w:sz w:val="22"/>
                <w:szCs w:val="22"/>
              </w:rPr>
              <w:t>0.5 hrs/week</w:t>
            </w:r>
          </w:p>
          <w:p w:rsidR="00E43482" w:rsidRPr="00AA7DC6" w:rsidRDefault="00E43482" w:rsidP="006E5B24">
            <w:pPr>
              <w:pStyle w:val="TableText"/>
              <w:widowControl w:val="0"/>
              <w:rPr>
                <w:sz w:val="22"/>
                <w:szCs w:val="22"/>
              </w:rPr>
            </w:pPr>
            <w:r>
              <w:rPr>
                <w:sz w:val="22"/>
                <w:szCs w:val="22"/>
              </w:rPr>
              <w:t>0.5 hrs/week</w:t>
            </w:r>
          </w:p>
        </w:tc>
        <w:tc>
          <w:tcPr>
            <w:tcW w:w="2070" w:type="dxa"/>
            <w:shd w:val="clear" w:color="auto" w:fill="auto"/>
          </w:tcPr>
          <w:p w:rsidR="00B05688" w:rsidRDefault="001A05EF" w:rsidP="006E5B24">
            <w:pPr>
              <w:widowControl w:val="0"/>
              <w:jc w:val="center"/>
              <w:rPr>
                <w:sz w:val="22"/>
                <w:szCs w:val="22"/>
              </w:rPr>
            </w:pPr>
            <w:r>
              <w:rPr>
                <w:sz w:val="22"/>
                <w:szCs w:val="22"/>
              </w:rPr>
              <w:t>Apr</w:t>
            </w:r>
            <w:r w:rsidRPr="001A05EF">
              <w:rPr>
                <w:sz w:val="22"/>
                <w:szCs w:val="22"/>
              </w:rPr>
              <w:t xml:space="preserve"> – Dec</w:t>
            </w:r>
          </w:p>
          <w:p w:rsidR="00E43482" w:rsidRDefault="00E43482" w:rsidP="006E5B24">
            <w:pPr>
              <w:widowControl w:val="0"/>
              <w:jc w:val="center"/>
              <w:rPr>
                <w:sz w:val="22"/>
                <w:szCs w:val="22"/>
              </w:rPr>
            </w:pPr>
          </w:p>
          <w:p w:rsidR="00E43482" w:rsidRDefault="00E43482" w:rsidP="006E5B24">
            <w:pPr>
              <w:widowControl w:val="0"/>
              <w:jc w:val="center"/>
              <w:rPr>
                <w:sz w:val="22"/>
                <w:szCs w:val="22"/>
              </w:rPr>
            </w:pPr>
            <w:r>
              <w:rPr>
                <w:sz w:val="22"/>
                <w:szCs w:val="22"/>
              </w:rPr>
              <w:t>Apr</w:t>
            </w:r>
            <w:r w:rsidRPr="001A05EF">
              <w:rPr>
                <w:sz w:val="22"/>
                <w:szCs w:val="22"/>
              </w:rPr>
              <w:t xml:space="preserve"> – Dec</w:t>
            </w:r>
          </w:p>
          <w:p w:rsidR="00E43482" w:rsidRPr="00AA7DC6" w:rsidRDefault="00E43482" w:rsidP="006E5B24">
            <w:pPr>
              <w:widowControl w:val="0"/>
              <w:jc w:val="center"/>
              <w:rPr>
                <w:sz w:val="22"/>
                <w:szCs w:val="22"/>
              </w:rPr>
            </w:pPr>
            <w:r>
              <w:rPr>
                <w:sz w:val="22"/>
                <w:szCs w:val="22"/>
              </w:rPr>
              <w:t>Apr</w:t>
            </w:r>
            <w:r w:rsidRPr="001A05EF">
              <w:rPr>
                <w:sz w:val="22"/>
                <w:szCs w:val="22"/>
              </w:rPr>
              <w:t xml:space="preserve"> – Dec</w:t>
            </w:r>
          </w:p>
        </w:tc>
      </w:tr>
      <w:tr w:rsidR="00A7658B" w:rsidRPr="00AA7DC6" w:rsidTr="006E5B24">
        <w:tblPrEx>
          <w:tblCellMar>
            <w:left w:w="80" w:type="dxa"/>
            <w:right w:w="80" w:type="dxa"/>
          </w:tblCellMar>
        </w:tblPrEx>
        <w:trPr>
          <w:gridBefore w:val="1"/>
          <w:wBefore w:w="1728" w:type="dxa"/>
          <w:cantSplit/>
        </w:trPr>
        <w:tc>
          <w:tcPr>
            <w:tcW w:w="2430" w:type="dxa"/>
            <w:shd w:val="clear" w:color="auto" w:fill="auto"/>
          </w:tcPr>
          <w:p w:rsidR="00A7658B" w:rsidRPr="00AA7DC6" w:rsidRDefault="00A7658B" w:rsidP="006E5B24">
            <w:pPr>
              <w:pStyle w:val="TableText"/>
              <w:widowControl w:val="0"/>
              <w:rPr>
                <w:sz w:val="22"/>
                <w:szCs w:val="22"/>
              </w:rPr>
            </w:pPr>
            <w:r w:rsidRPr="00AA7DC6">
              <w:rPr>
                <w:sz w:val="22"/>
                <w:szCs w:val="22"/>
              </w:rPr>
              <w:t>Other programs/divisions</w:t>
            </w:r>
          </w:p>
          <w:p w:rsidR="00645DE8" w:rsidRPr="00AA7DC6" w:rsidRDefault="00645DE8" w:rsidP="006E5B24">
            <w:pPr>
              <w:pStyle w:val="TableText"/>
              <w:widowControl w:val="0"/>
              <w:rPr>
                <w:sz w:val="22"/>
                <w:szCs w:val="22"/>
              </w:rPr>
            </w:pPr>
          </w:p>
        </w:tc>
        <w:tc>
          <w:tcPr>
            <w:tcW w:w="1890" w:type="dxa"/>
            <w:shd w:val="clear" w:color="auto" w:fill="auto"/>
          </w:tcPr>
          <w:p w:rsidR="001A05EF" w:rsidRDefault="001A05EF" w:rsidP="006E5B24">
            <w:pPr>
              <w:pStyle w:val="TableText"/>
              <w:widowControl w:val="0"/>
              <w:rPr>
                <w:sz w:val="22"/>
                <w:szCs w:val="22"/>
              </w:rPr>
            </w:pPr>
            <w:r>
              <w:rPr>
                <w:sz w:val="22"/>
                <w:szCs w:val="22"/>
              </w:rPr>
              <w:t>Robin Williams</w:t>
            </w:r>
          </w:p>
          <w:p w:rsidR="001A05EF" w:rsidRDefault="001A05EF" w:rsidP="006E5B24">
            <w:pPr>
              <w:pStyle w:val="TableText"/>
              <w:widowControl w:val="0"/>
              <w:rPr>
                <w:sz w:val="22"/>
                <w:szCs w:val="22"/>
              </w:rPr>
            </w:pPr>
            <w:r>
              <w:rPr>
                <w:sz w:val="22"/>
                <w:szCs w:val="22"/>
              </w:rPr>
              <w:t>Richard Lawrence</w:t>
            </w:r>
          </w:p>
          <w:p w:rsidR="001A05EF" w:rsidRDefault="001A05EF" w:rsidP="006E5B24">
            <w:pPr>
              <w:pStyle w:val="TableText"/>
              <w:widowControl w:val="0"/>
              <w:rPr>
                <w:sz w:val="22"/>
                <w:szCs w:val="22"/>
              </w:rPr>
            </w:pPr>
            <w:r>
              <w:rPr>
                <w:sz w:val="22"/>
                <w:szCs w:val="22"/>
              </w:rPr>
              <w:t>William Knight</w:t>
            </w:r>
          </w:p>
          <w:p w:rsidR="001A05EF" w:rsidRDefault="001A05EF" w:rsidP="006E5B24">
            <w:pPr>
              <w:pStyle w:val="TableText"/>
              <w:widowControl w:val="0"/>
              <w:rPr>
                <w:sz w:val="22"/>
                <w:szCs w:val="22"/>
              </w:rPr>
            </w:pPr>
            <w:r>
              <w:rPr>
                <w:sz w:val="22"/>
                <w:szCs w:val="22"/>
              </w:rPr>
              <w:t>Maggie Vandehey</w:t>
            </w:r>
          </w:p>
          <w:p w:rsidR="00A7658B" w:rsidRPr="00AA7DC6" w:rsidRDefault="001A05EF" w:rsidP="006E5B24">
            <w:pPr>
              <w:pStyle w:val="TableText"/>
              <w:widowControl w:val="0"/>
              <w:rPr>
                <w:sz w:val="22"/>
                <w:szCs w:val="22"/>
              </w:rPr>
            </w:pPr>
            <w:r>
              <w:rPr>
                <w:sz w:val="22"/>
                <w:szCs w:val="22"/>
              </w:rPr>
              <w:t>Andree Pollock</w:t>
            </w:r>
          </w:p>
        </w:tc>
        <w:tc>
          <w:tcPr>
            <w:tcW w:w="1800" w:type="dxa"/>
            <w:gridSpan w:val="2"/>
            <w:shd w:val="clear" w:color="auto" w:fill="auto"/>
          </w:tcPr>
          <w:p w:rsidR="00A7658B" w:rsidRDefault="00E43482" w:rsidP="006E5B24">
            <w:pPr>
              <w:pStyle w:val="TableText"/>
              <w:widowControl w:val="0"/>
              <w:rPr>
                <w:sz w:val="22"/>
                <w:szCs w:val="22"/>
              </w:rPr>
            </w:pPr>
            <w:r>
              <w:rPr>
                <w:sz w:val="22"/>
                <w:szCs w:val="22"/>
              </w:rPr>
              <w:t>0.5 hrs/week</w:t>
            </w:r>
          </w:p>
          <w:p w:rsidR="00E43482" w:rsidRDefault="00E43482" w:rsidP="006E5B24">
            <w:pPr>
              <w:pStyle w:val="TableText"/>
              <w:widowControl w:val="0"/>
              <w:rPr>
                <w:sz w:val="22"/>
                <w:szCs w:val="22"/>
              </w:rPr>
            </w:pPr>
            <w:r>
              <w:rPr>
                <w:sz w:val="22"/>
                <w:szCs w:val="22"/>
              </w:rPr>
              <w:t>0.5 hrs/week</w:t>
            </w:r>
          </w:p>
          <w:p w:rsidR="00E43482" w:rsidRDefault="00E43482" w:rsidP="006E5B24">
            <w:pPr>
              <w:pStyle w:val="TableText"/>
              <w:widowControl w:val="0"/>
              <w:rPr>
                <w:sz w:val="22"/>
                <w:szCs w:val="22"/>
              </w:rPr>
            </w:pPr>
            <w:r>
              <w:rPr>
                <w:sz w:val="22"/>
                <w:szCs w:val="22"/>
              </w:rPr>
              <w:t>0.5 hrs/week</w:t>
            </w:r>
          </w:p>
          <w:p w:rsidR="00E43482" w:rsidRDefault="00E43482" w:rsidP="006E5B24">
            <w:pPr>
              <w:pStyle w:val="TableText"/>
              <w:widowControl w:val="0"/>
              <w:rPr>
                <w:sz w:val="22"/>
                <w:szCs w:val="22"/>
              </w:rPr>
            </w:pPr>
            <w:r>
              <w:rPr>
                <w:sz w:val="22"/>
                <w:szCs w:val="22"/>
              </w:rPr>
              <w:t>1.0 hrs/week</w:t>
            </w:r>
          </w:p>
          <w:p w:rsidR="00E43482" w:rsidRPr="00AA7DC6" w:rsidRDefault="00E43482" w:rsidP="006E5B24">
            <w:pPr>
              <w:pStyle w:val="TableText"/>
              <w:widowControl w:val="0"/>
              <w:rPr>
                <w:sz w:val="22"/>
                <w:szCs w:val="22"/>
              </w:rPr>
            </w:pPr>
            <w:r>
              <w:rPr>
                <w:sz w:val="22"/>
                <w:szCs w:val="22"/>
              </w:rPr>
              <w:t>0.5 hrs/week</w:t>
            </w:r>
          </w:p>
        </w:tc>
        <w:tc>
          <w:tcPr>
            <w:tcW w:w="2070" w:type="dxa"/>
            <w:shd w:val="clear" w:color="auto" w:fill="auto"/>
          </w:tcPr>
          <w:p w:rsidR="00A7658B" w:rsidRDefault="001A05EF" w:rsidP="006E5B24">
            <w:pPr>
              <w:pStyle w:val="TableText"/>
              <w:widowControl w:val="0"/>
              <w:jc w:val="center"/>
              <w:rPr>
                <w:sz w:val="22"/>
                <w:szCs w:val="22"/>
              </w:rPr>
            </w:pPr>
            <w:r>
              <w:rPr>
                <w:sz w:val="22"/>
                <w:szCs w:val="22"/>
              </w:rPr>
              <w:t>Apr</w:t>
            </w:r>
            <w:r w:rsidRPr="00AA7DC6">
              <w:rPr>
                <w:sz w:val="22"/>
                <w:szCs w:val="22"/>
              </w:rPr>
              <w:t xml:space="preserve"> – </w:t>
            </w:r>
            <w:r>
              <w:rPr>
                <w:sz w:val="22"/>
                <w:szCs w:val="22"/>
              </w:rPr>
              <w:t>Dec</w:t>
            </w:r>
          </w:p>
          <w:p w:rsidR="00E43482" w:rsidRDefault="00E43482" w:rsidP="006E5B24">
            <w:pPr>
              <w:pStyle w:val="TableText"/>
              <w:widowControl w:val="0"/>
              <w:jc w:val="center"/>
              <w:rPr>
                <w:sz w:val="22"/>
                <w:szCs w:val="22"/>
              </w:rPr>
            </w:pPr>
            <w:r>
              <w:rPr>
                <w:sz w:val="22"/>
                <w:szCs w:val="22"/>
              </w:rPr>
              <w:t>Apr</w:t>
            </w:r>
            <w:r w:rsidRPr="00AA7DC6">
              <w:rPr>
                <w:sz w:val="22"/>
                <w:szCs w:val="22"/>
              </w:rPr>
              <w:t xml:space="preserve"> – </w:t>
            </w:r>
            <w:r>
              <w:rPr>
                <w:sz w:val="22"/>
                <w:szCs w:val="22"/>
              </w:rPr>
              <w:t>Dec</w:t>
            </w:r>
          </w:p>
          <w:p w:rsidR="00E43482" w:rsidRDefault="00E43482" w:rsidP="006E5B24">
            <w:pPr>
              <w:pStyle w:val="TableText"/>
              <w:widowControl w:val="0"/>
              <w:jc w:val="center"/>
              <w:rPr>
                <w:sz w:val="22"/>
                <w:szCs w:val="22"/>
              </w:rPr>
            </w:pPr>
            <w:r>
              <w:rPr>
                <w:sz w:val="22"/>
                <w:szCs w:val="22"/>
              </w:rPr>
              <w:t>Apr</w:t>
            </w:r>
            <w:r w:rsidRPr="00AA7DC6">
              <w:rPr>
                <w:sz w:val="22"/>
                <w:szCs w:val="22"/>
              </w:rPr>
              <w:t xml:space="preserve"> – </w:t>
            </w:r>
            <w:r>
              <w:rPr>
                <w:sz w:val="22"/>
                <w:szCs w:val="22"/>
              </w:rPr>
              <w:t>Dec</w:t>
            </w:r>
          </w:p>
          <w:p w:rsidR="00E43482" w:rsidRDefault="00E43482" w:rsidP="006E5B24">
            <w:pPr>
              <w:pStyle w:val="TableText"/>
              <w:widowControl w:val="0"/>
              <w:jc w:val="center"/>
              <w:rPr>
                <w:sz w:val="22"/>
                <w:szCs w:val="22"/>
              </w:rPr>
            </w:pPr>
            <w:r>
              <w:rPr>
                <w:sz w:val="22"/>
                <w:szCs w:val="22"/>
              </w:rPr>
              <w:t>Apr</w:t>
            </w:r>
            <w:r w:rsidRPr="00AA7DC6">
              <w:rPr>
                <w:sz w:val="22"/>
                <w:szCs w:val="22"/>
              </w:rPr>
              <w:t xml:space="preserve"> – </w:t>
            </w:r>
            <w:r>
              <w:rPr>
                <w:sz w:val="22"/>
                <w:szCs w:val="22"/>
              </w:rPr>
              <w:t>Dec</w:t>
            </w:r>
          </w:p>
          <w:p w:rsidR="00E43482" w:rsidRPr="00AA7DC6" w:rsidRDefault="00E43482" w:rsidP="006E5B24">
            <w:pPr>
              <w:pStyle w:val="TableText"/>
              <w:widowControl w:val="0"/>
              <w:jc w:val="center"/>
              <w:rPr>
                <w:sz w:val="22"/>
                <w:szCs w:val="22"/>
              </w:rPr>
            </w:pPr>
            <w:r>
              <w:rPr>
                <w:sz w:val="22"/>
                <w:szCs w:val="22"/>
              </w:rPr>
              <w:t>Apr</w:t>
            </w:r>
            <w:r w:rsidRPr="00AA7DC6">
              <w:rPr>
                <w:sz w:val="22"/>
                <w:szCs w:val="22"/>
              </w:rPr>
              <w:t xml:space="preserve"> – </w:t>
            </w:r>
            <w:r>
              <w:rPr>
                <w:sz w:val="22"/>
                <w:szCs w:val="22"/>
              </w:rPr>
              <w:t>Dec</w:t>
            </w:r>
          </w:p>
        </w:tc>
      </w:tr>
      <w:tr w:rsidR="00A7658B" w:rsidRPr="00AA7DC6" w:rsidTr="006E5B24">
        <w:tblPrEx>
          <w:tblCellMar>
            <w:left w:w="80" w:type="dxa"/>
            <w:right w:w="80" w:type="dxa"/>
          </w:tblCellMar>
        </w:tblPrEx>
        <w:trPr>
          <w:gridBefore w:val="1"/>
          <w:wBefore w:w="1728" w:type="dxa"/>
          <w:cantSplit/>
        </w:trPr>
        <w:tc>
          <w:tcPr>
            <w:tcW w:w="2430" w:type="dxa"/>
            <w:shd w:val="clear" w:color="auto" w:fill="auto"/>
          </w:tcPr>
          <w:p w:rsidR="00C13F67" w:rsidRPr="00AA7DC6" w:rsidRDefault="00A7658B" w:rsidP="006E5B24">
            <w:pPr>
              <w:pStyle w:val="TableText"/>
              <w:widowControl w:val="0"/>
              <w:rPr>
                <w:sz w:val="22"/>
                <w:szCs w:val="22"/>
              </w:rPr>
            </w:pPr>
            <w:r w:rsidRPr="00AA7DC6">
              <w:rPr>
                <w:sz w:val="22"/>
                <w:szCs w:val="22"/>
              </w:rPr>
              <w:t>Other agencies</w:t>
            </w:r>
          </w:p>
          <w:p w:rsidR="00645DE8" w:rsidRPr="00AA7DC6" w:rsidRDefault="00645DE8" w:rsidP="006E5B24">
            <w:pPr>
              <w:pStyle w:val="TableText"/>
              <w:widowControl w:val="0"/>
              <w:rPr>
                <w:sz w:val="22"/>
                <w:szCs w:val="22"/>
              </w:rPr>
            </w:pPr>
          </w:p>
        </w:tc>
        <w:tc>
          <w:tcPr>
            <w:tcW w:w="1890" w:type="dxa"/>
            <w:shd w:val="clear" w:color="auto" w:fill="auto"/>
          </w:tcPr>
          <w:p w:rsidR="00A7658B" w:rsidRPr="00AA7DC6" w:rsidRDefault="001A05EF" w:rsidP="006E5B24">
            <w:pPr>
              <w:pStyle w:val="TableText"/>
              <w:widowControl w:val="0"/>
              <w:rPr>
                <w:sz w:val="22"/>
                <w:szCs w:val="22"/>
              </w:rPr>
            </w:pPr>
            <w:r>
              <w:rPr>
                <w:sz w:val="22"/>
                <w:szCs w:val="22"/>
              </w:rPr>
              <w:t>Paul Logan</w:t>
            </w:r>
          </w:p>
        </w:tc>
        <w:tc>
          <w:tcPr>
            <w:tcW w:w="1800" w:type="dxa"/>
            <w:gridSpan w:val="2"/>
            <w:shd w:val="clear" w:color="auto" w:fill="auto"/>
          </w:tcPr>
          <w:p w:rsidR="00A7658B" w:rsidRPr="00AA7DC6" w:rsidRDefault="00E43482" w:rsidP="006E5B24">
            <w:pPr>
              <w:pStyle w:val="TableText"/>
              <w:widowControl w:val="0"/>
              <w:rPr>
                <w:sz w:val="22"/>
                <w:szCs w:val="22"/>
              </w:rPr>
            </w:pPr>
            <w:r>
              <w:rPr>
                <w:sz w:val="22"/>
                <w:szCs w:val="22"/>
              </w:rPr>
              <w:t>0.5 hrs/week</w:t>
            </w:r>
          </w:p>
        </w:tc>
        <w:tc>
          <w:tcPr>
            <w:tcW w:w="2070" w:type="dxa"/>
            <w:shd w:val="clear" w:color="auto" w:fill="auto"/>
          </w:tcPr>
          <w:p w:rsidR="00A7658B" w:rsidRPr="00AA7DC6" w:rsidRDefault="001A05EF" w:rsidP="006E5B24">
            <w:pPr>
              <w:pStyle w:val="TableText"/>
              <w:widowControl w:val="0"/>
              <w:jc w:val="center"/>
              <w:rPr>
                <w:sz w:val="22"/>
                <w:szCs w:val="22"/>
              </w:rPr>
            </w:pPr>
            <w:r>
              <w:rPr>
                <w:sz w:val="22"/>
                <w:szCs w:val="22"/>
              </w:rPr>
              <w:t>Apr</w:t>
            </w:r>
            <w:r w:rsidRPr="00AA7DC6">
              <w:rPr>
                <w:sz w:val="22"/>
                <w:szCs w:val="22"/>
              </w:rPr>
              <w:t xml:space="preserve"> – </w:t>
            </w:r>
            <w:r>
              <w:rPr>
                <w:sz w:val="22"/>
                <w:szCs w:val="22"/>
              </w:rPr>
              <w:t>Dec</w:t>
            </w:r>
          </w:p>
        </w:tc>
      </w:tr>
      <w:tr w:rsidR="00A7658B" w:rsidRPr="00AA7DC6" w:rsidTr="006E5B24">
        <w:trPr>
          <w:cantSplit/>
        </w:trPr>
        <w:tc>
          <w:tcPr>
            <w:tcW w:w="1728" w:type="dxa"/>
            <w:shd w:val="clear" w:color="auto" w:fill="auto"/>
          </w:tcPr>
          <w:p w:rsidR="00A7658B" w:rsidRPr="00AA7DC6" w:rsidRDefault="00A7658B" w:rsidP="006E5B24">
            <w:pPr>
              <w:pStyle w:val="Heading5"/>
              <w:widowControl w:val="0"/>
              <w:rPr>
                <w:szCs w:val="22"/>
              </w:rPr>
            </w:pPr>
            <w:r w:rsidRPr="00AA7DC6">
              <w:rPr>
                <w:szCs w:val="22"/>
              </w:rPr>
              <w:t>Advisory Process</w:t>
            </w:r>
          </w:p>
        </w:tc>
        <w:tc>
          <w:tcPr>
            <w:tcW w:w="8190" w:type="dxa"/>
            <w:gridSpan w:val="5"/>
            <w:shd w:val="clear" w:color="auto" w:fill="auto"/>
          </w:tcPr>
          <w:p w:rsidR="00A7658B" w:rsidRPr="00AA7DC6" w:rsidRDefault="00A7658B" w:rsidP="006E5B24">
            <w:pPr>
              <w:pStyle w:val="BlockText"/>
              <w:widowControl w:val="0"/>
              <w:rPr>
                <w:i/>
                <w:sz w:val="22"/>
                <w:szCs w:val="22"/>
              </w:rPr>
            </w:pPr>
            <w:r w:rsidRPr="00AA7DC6">
              <w:rPr>
                <w:sz w:val="22"/>
                <w:szCs w:val="22"/>
              </w:rPr>
              <w:t xml:space="preserve">No official advisory committee will be used for this rulemaking because DEQ is not proposing to go beyond the federal regulations. The standing committee that has and will be consulted during this rulemaking is the </w:t>
            </w:r>
            <w:r w:rsidR="00DF3F61" w:rsidRPr="00AA7DC6">
              <w:rPr>
                <w:sz w:val="22"/>
                <w:szCs w:val="22"/>
              </w:rPr>
              <w:t xml:space="preserve">small business </w:t>
            </w:r>
            <w:r w:rsidR="00373A65" w:rsidRPr="00AA7DC6">
              <w:rPr>
                <w:sz w:val="22"/>
                <w:szCs w:val="22"/>
              </w:rPr>
              <w:t>c</w:t>
            </w:r>
            <w:r w:rsidRPr="00AA7DC6">
              <w:rPr>
                <w:sz w:val="22"/>
                <w:szCs w:val="22"/>
              </w:rPr>
              <w:t xml:space="preserve">ompliance </w:t>
            </w:r>
            <w:r w:rsidR="00373A65" w:rsidRPr="00AA7DC6">
              <w:rPr>
                <w:sz w:val="22"/>
                <w:szCs w:val="22"/>
              </w:rPr>
              <w:t>a</w:t>
            </w:r>
            <w:r w:rsidRPr="00AA7DC6">
              <w:rPr>
                <w:sz w:val="22"/>
                <w:szCs w:val="22"/>
              </w:rPr>
              <w:t xml:space="preserve">dvisory </w:t>
            </w:r>
            <w:r w:rsidR="00373A65" w:rsidRPr="00AA7DC6">
              <w:rPr>
                <w:sz w:val="22"/>
                <w:szCs w:val="22"/>
              </w:rPr>
              <w:t>p</w:t>
            </w:r>
            <w:r w:rsidRPr="00AA7DC6">
              <w:rPr>
                <w:sz w:val="22"/>
                <w:szCs w:val="22"/>
              </w:rPr>
              <w:t xml:space="preserve">anel. The purpose of addressing this committee is to present DEQ’s implementation strategy for the new area source </w:t>
            </w:r>
            <w:r w:rsidR="00373A65" w:rsidRPr="00AA7DC6">
              <w:rPr>
                <w:sz w:val="22"/>
                <w:szCs w:val="22"/>
              </w:rPr>
              <w:t>n</w:t>
            </w:r>
            <w:r w:rsidRPr="00AA7DC6">
              <w:rPr>
                <w:sz w:val="22"/>
                <w:szCs w:val="22"/>
              </w:rPr>
              <w:t xml:space="preserve">ational </w:t>
            </w:r>
            <w:r w:rsidR="00373A65" w:rsidRPr="00AA7DC6">
              <w:rPr>
                <w:sz w:val="22"/>
                <w:szCs w:val="22"/>
              </w:rPr>
              <w:t>e</w:t>
            </w:r>
            <w:r w:rsidRPr="00AA7DC6">
              <w:rPr>
                <w:sz w:val="22"/>
                <w:szCs w:val="22"/>
              </w:rPr>
              <w:t xml:space="preserve">mission </w:t>
            </w:r>
            <w:r w:rsidR="00373A65" w:rsidRPr="00AA7DC6">
              <w:rPr>
                <w:sz w:val="22"/>
                <w:szCs w:val="22"/>
              </w:rPr>
              <w:t>s</w:t>
            </w:r>
            <w:r w:rsidRPr="00AA7DC6">
              <w:rPr>
                <w:sz w:val="22"/>
                <w:szCs w:val="22"/>
              </w:rPr>
              <w:t xml:space="preserve">tandards for </w:t>
            </w:r>
            <w:r w:rsidR="00373A65" w:rsidRPr="00AA7DC6">
              <w:rPr>
                <w:sz w:val="22"/>
                <w:szCs w:val="22"/>
              </w:rPr>
              <w:t>h</w:t>
            </w:r>
            <w:r w:rsidRPr="00AA7DC6">
              <w:rPr>
                <w:sz w:val="22"/>
                <w:szCs w:val="22"/>
              </w:rPr>
              <w:t xml:space="preserve">azardous </w:t>
            </w:r>
            <w:r w:rsidR="00373A65" w:rsidRPr="00AA7DC6">
              <w:rPr>
                <w:sz w:val="22"/>
                <w:szCs w:val="22"/>
              </w:rPr>
              <w:t>a</w:t>
            </w:r>
            <w:r w:rsidRPr="00AA7DC6">
              <w:rPr>
                <w:sz w:val="22"/>
                <w:szCs w:val="22"/>
              </w:rPr>
              <w:t xml:space="preserve">ir </w:t>
            </w:r>
            <w:r w:rsidR="00373A65" w:rsidRPr="00AA7DC6">
              <w:rPr>
                <w:sz w:val="22"/>
                <w:szCs w:val="22"/>
              </w:rPr>
              <w:t>p</w:t>
            </w:r>
            <w:r w:rsidRPr="00AA7DC6">
              <w:rPr>
                <w:sz w:val="22"/>
                <w:szCs w:val="22"/>
              </w:rPr>
              <w:t>ollutants and receive the committees’ input and/or recommendations. DEQ will also continue to meet with impacted business associations.</w:t>
            </w:r>
          </w:p>
          <w:p w:rsidR="00A7658B" w:rsidRPr="00AA7DC6" w:rsidRDefault="00A7658B" w:rsidP="006E5B24">
            <w:pPr>
              <w:pStyle w:val="BlockText"/>
              <w:widowControl w:val="0"/>
              <w:rPr>
                <w:sz w:val="22"/>
                <w:szCs w:val="22"/>
              </w:rPr>
            </w:pPr>
          </w:p>
        </w:tc>
      </w:tr>
      <w:tr w:rsidR="00A7658B" w:rsidRPr="00AA7DC6" w:rsidTr="006E5B24">
        <w:trPr>
          <w:cantSplit/>
        </w:trPr>
        <w:tc>
          <w:tcPr>
            <w:tcW w:w="1728" w:type="dxa"/>
            <w:shd w:val="clear" w:color="auto" w:fill="auto"/>
          </w:tcPr>
          <w:p w:rsidR="00A7658B" w:rsidRPr="00AA7DC6" w:rsidRDefault="00A7658B" w:rsidP="006E5B24">
            <w:pPr>
              <w:pStyle w:val="Heading5"/>
              <w:widowControl w:val="0"/>
              <w:rPr>
                <w:szCs w:val="22"/>
              </w:rPr>
            </w:pPr>
            <w:r w:rsidRPr="00AA7DC6">
              <w:rPr>
                <w:szCs w:val="22"/>
              </w:rPr>
              <w:t>Public Involvement</w:t>
            </w:r>
          </w:p>
        </w:tc>
        <w:tc>
          <w:tcPr>
            <w:tcW w:w="8190" w:type="dxa"/>
            <w:gridSpan w:val="5"/>
            <w:shd w:val="clear" w:color="auto" w:fill="auto"/>
          </w:tcPr>
          <w:p w:rsidR="00A7658B" w:rsidRPr="00AA7DC6" w:rsidRDefault="00A7658B" w:rsidP="006E5B24">
            <w:pPr>
              <w:pStyle w:val="BlockText"/>
              <w:widowControl w:val="0"/>
              <w:rPr>
                <w:i/>
                <w:sz w:val="22"/>
                <w:szCs w:val="22"/>
              </w:rPr>
            </w:pPr>
            <w:r w:rsidRPr="00AA7DC6">
              <w:rPr>
                <w:sz w:val="22"/>
                <w:szCs w:val="22"/>
              </w:rPr>
              <w:t>This rulemaking will involve the public through the required public notice and comment process.</w:t>
            </w:r>
          </w:p>
          <w:p w:rsidR="00A7658B" w:rsidRPr="00AA7DC6" w:rsidRDefault="00A7658B" w:rsidP="006E5B24">
            <w:pPr>
              <w:pStyle w:val="BlockText"/>
              <w:widowControl w:val="0"/>
              <w:rPr>
                <w:sz w:val="22"/>
                <w:szCs w:val="22"/>
              </w:rPr>
            </w:pPr>
          </w:p>
        </w:tc>
      </w:tr>
      <w:tr w:rsidR="00A7658B" w:rsidRPr="00AA7DC6" w:rsidTr="006E5B24">
        <w:trPr>
          <w:cantSplit/>
        </w:trPr>
        <w:tc>
          <w:tcPr>
            <w:tcW w:w="1728" w:type="dxa"/>
            <w:shd w:val="clear" w:color="auto" w:fill="auto"/>
          </w:tcPr>
          <w:p w:rsidR="00A7658B" w:rsidRPr="00AA7DC6" w:rsidRDefault="00A7658B" w:rsidP="006E5B24">
            <w:pPr>
              <w:pStyle w:val="Heading5"/>
              <w:widowControl w:val="0"/>
              <w:rPr>
                <w:szCs w:val="22"/>
              </w:rPr>
            </w:pPr>
            <w:r w:rsidRPr="00AA7DC6">
              <w:rPr>
                <w:szCs w:val="22"/>
              </w:rPr>
              <w:t>EQC Involvement</w:t>
            </w:r>
          </w:p>
        </w:tc>
        <w:tc>
          <w:tcPr>
            <w:tcW w:w="8190" w:type="dxa"/>
            <w:gridSpan w:val="5"/>
            <w:shd w:val="clear" w:color="auto" w:fill="auto"/>
          </w:tcPr>
          <w:p w:rsidR="00A7658B" w:rsidRPr="00AA7DC6" w:rsidRDefault="00A7658B" w:rsidP="006E5B24">
            <w:pPr>
              <w:pStyle w:val="BlockText"/>
              <w:widowControl w:val="0"/>
              <w:rPr>
                <w:i/>
                <w:sz w:val="22"/>
                <w:szCs w:val="22"/>
              </w:rPr>
            </w:pPr>
            <w:r w:rsidRPr="00AA7DC6">
              <w:rPr>
                <w:sz w:val="22"/>
                <w:szCs w:val="22"/>
              </w:rPr>
              <w:t xml:space="preserve">There is no plan for EQC involvement for this rulemaking. However, this is part </w:t>
            </w:r>
            <w:r w:rsidR="00474DA6">
              <w:rPr>
                <w:sz w:val="22"/>
                <w:szCs w:val="22"/>
              </w:rPr>
              <w:t>4</w:t>
            </w:r>
            <w:r w:rsidRPr="00AA7DC6">
              <w:rPr>
                <w:sz w:val="22"/>
                <w:szCs w:val="22"/>
              </w:rPr>
              <w:t xml:space="preserve"> of a </w:t>
            </w:r>
            <w:r w:rsidR="00474DA6">
              <w:rPr>
                <w:sz w:val="22"/>
                <w:szCs w:val="22"/>
              </w:rPr>
              <w:t>5</w:t>
            </w:r>
            <w:r w:rsidR="00C13F67" w:rsidRPr="00AA7DC6">
              <w:rPr>
                <w:sz w:val="22"/>
                <w:szCs w:val="22"/>
              </w:rPr>
              <w:t xml:space="preserve"> </w:t>
            </w:r>
            <w:r w:rsidRPr="00AA7DC6">
              <w:rPr>
                <w:sz w:val="22"/>
                <w:szCs w:val="22"/>
              </w:rPr>
              <w:t xml:space="preserve">part rulemaking to adopt the new area source </w:t>
            </w:r>
            <w:r w:rsidR="00373A65" w:rsidRPr="00AA7DC6">
              <w:rPr>
                <w:sz w:val="22"/>
                <w:szCs w:val="22"/>
              </w:rPr>
              <w:t>n</w:t>
            </w:r>
            <w:r w:rsidRPr="00AA7DC6">
              <w:rPr>
                <w:sz w:val="22"/>
                <w:szCs w:val="22"/>
              </w:rPr>
              <w:t xml:space="preserve">ational </w:t>
            </w:r>
            <w:r w:rsidR="00373A65" w:rsidRPr="00AA7DC6">
              <w:rPr>
                <w:sz w:val="22"/>
                <w:szCs w:val="22"/>
              </w:rPr>
              <w:t>e</w:t>
            </w:r>
            <w:r w:rsidRPr="00AA7DC6">
              <w:rPr>
                <w:sz w:val="22"/>
                <w:szCs w:val="22"/>
              </w:rPr>
              <w:t xml:space="preserve">mission </w:t>
            </w:r>
            <w:r w:rsidR="00373A65" w:rsidRPr="00AA7DC6">
              <w:rPr>
                <w:sz w:val="22"/>
                <w:szCs w:val="22"/>
              </w:rPr>
              <w:t>s</w:t>
            </w:r>
            <w:r w:rsidRPr="00AA7DC6">
              <w:rPr>
                <w:sz w:val="22"/>
                <w:szCs w:val="22"/>
              </w:rPr>
              <w:t xml:space="preserve">tandards for </w:t>
            </w:r>
            <w:r w:rsidR="00373A65" w:rsidRPr="00AA7DC6">
              <w:rPr>
                <w:sz w:val="22"/>
                <w:szCs w:val="22"/>
              </w:rPr>
              <w:t>h</w:t>
            </w:r>
            <w:r w:rsidRPr="00AA7DC6">
              <w:rPr>
                <w:sz w:val="22"/>
                <w:szCs w:val="22"/>
              </w:rPr>
              <w:t xml:space="preserve">azardous </w:t>
            </w:r>
            <w:r w:rsidR="00373A65" w:rsidRPr="00AA7DC6">
              <w:rPr>
                <w:sz w:val="22"/>
                <w:szCs w:val="22"/>
              </w:rPr>
              <w:t>a</w:t>
            </w:r>
            <w:r w:rsidRPr="00AA7DC6">
              <w:rPr>
                <w:sz w:val="22"/>
                <w:szCs w:val="22"/>
              </w:rPr>
              <w:t xml:space="preserve">ir </w:t>
            </w:r>
            <w:r w:rsidR="00373A65" w:rsidRPr="00AA7DC6">
              <w:rPr>
                <w:sz w:val="22"/>
                <w:szCs w:val="22"/>
              </w:rPr>
              <w:t>p</w:t>
            </w:r>
            <w:r w:rsidRPr="00AA7DC6">
              <w:rPr>
                <w:sz w:val="22"/>
                <w:szCs w:val="22"/>
              </w:rPr>
              <w:t>ollutants. The EQC has already adopted parts 1</w:t>
            </w:r>
            <w:r w:rsidR="00B05688" w:rsidRPr="00AA7DC6">
              <w:rPr>
                <w:sz w:val="22"/>
                <w:szCs w:val="22"/>
              </w:rPr>
              <w:t>,</w:t>
            </w:r>
            <w:r w:rsidRPr="00AA7DC6">
              <w:rPr>
                <w:sz w:val="22"/>
                <w:szCs w:val="22"/>
              </w:rPr>
              <w:t xml:space="preserve"> 2</w:t>
            </w:r>
            <w:r w:rsidR="00B05688" w:rsidRPr="00AA7DC6">
              <w:rPr>
                <w:sz w:val="22"/>
                <w:szCs w:val="22"/>
              </w:rPr>
              <w:t xml:space="preserve">, </w:t>
            </w:r>
            <w:r w:rsidR="00F16E3C">
              <w:rPr>
                <w:sz w:val="22"/>
                <w:szCs w:val="22"/>
              </w:rPr>
              <w:t xml:space="preserve">and </w:t>
            </w:r>
            <w:r w:rsidR="00474DA6">
              <w:rPr>
                <w:sz w:val="22"/>
                <w:szCs w:val="22"/>
              </w:rPr>
              <w:t>3</w:t>
            </w:r>
            <w:r w:rsidR="00B05688" w:rsidRPr="00AA7DC6">
              <w:rPr>
                <w:sz w:val="22"/>
                <w:szCs w:val="22"/>
              </w:rPr>
              <w:t xml:space="preserve"> </w:t>
            </w:r>
            <w:r w:rsidRPr="00AA7DC6">
              <w:rPr>
                <w:sz w:val="22"/>
                <w:szCs w:val="22"/>
              </w:rPr>
              <w:t xml:space="preserve">and therefore </w:t>
            </w:r>
            <w:r w:rsidR="00F16E3C">
              <w:rPr>
                <w:sz w:val="22"/>
                <w:szCs w:val="22"/>
              </w:rPr>
              <w:t xml:space="preserve">is </w:t>
            </w:r>
            <w:r w:rsidRPr="00AA7DC6">
              <w:rPr>
                <w:sz w:val="22"/>
                <w:szCs w:val="22"/>
              </w:rPr>
              <w:t>aware of this topic.</w:t>
            </w:r>
            <w:r w:rsidRPr="00AA7DC6">
              <w:rPr>
                <w:i/>
                <w:sz w:val="22"/>
                <w:szCs w:val="22"/>
              </w:rPr>
              <w:t xml:space="preserve"> </w:t>
            </w:r>
          </w:p>
          <w:p w:rsidR="00C13F67" w:rsidRPr="00AA7DC6" w:rsidRDefault="00C13F67" w:rsidP="006E5B24">
            <w:pPr>
              <w:pStyle w:val="BlockText"/>
              <w:widowControl w:val="0"/>
              <w:rPr>
                <w:i/>
                <w:sz w:val="22"/>
                <w:szCs w:val="22"/>
              </w:rPr>
            </w:pPr>
          </w:p>
        </w:tc>
      </w:tr>
      <w:tr w:rsidR="00C13F67" w:rsidRPr="00AA7DC6" w:rsidTr="006E5B24">
        <w:trPr>
          <w:cantSplit/>
        </w:trPr>
        <w:tc>
          <w:tcPr>
            <w:tcW w:w="1728" w:type="dxa"/>
            <w:vMerge w:val="restart"/>
            <w:shd w:val="clear" w:color="auto" w:fill="auto"/>
          </w:tcPr>
          <w:p w:rsidR="00C13F67" w:rsidRPr="00AA7DC6" w:rsidRDefault="00C13F67" w:rsidP="006E5B24">
            <w:pPr>
              <w:widowControl w:val="0"/>
              <w:rPr>
                <w:b/>
                <w:sz w:val="22"/>
                <w:szCs w:val="22"/>
              </w:rPr>
            </w:pPr>
            <w:r w:rsidRPr="00AA7DC6">
              <w:rPr>
                <w:b/>
                <w:sz w:val="22"/>
                <w:szCs w:val="22"/>
              </w:rPr>
              <w:lastRenderedPageBreak/>
              <w:t>Rulemaking Target Dates</w:t>
            </w:r>
          </w:p>
        </w:tc>
        <w:tc>
          <w:tcPr>
            <w:tcW w:w="4500" w:type="dxa"/>
            <w:gridSpan w:val="3"/>
            <w:shd w:val="clear" w:color="auto" w:fill="auto"/>
          </w:tcPr>
          <w:p w:rsidR="00C13F67" w:rsidRPr="00AA7DC6" w:rsidRDefault="00C13F67" w:rsidP="006E5B24">
            <w:pPr>
              <w:pStyle w:val="TableHeaderText"/>
              <w:widowControl w:val="0"/>
              <w:rPr>
                <w:sz w:val="22"/>
                <w:szCs w:val="22"/>
              </w:rPr>
            </w:pPr>
            <w:r w:rsidRPr="00AA7DC6">
              <w:rPr>
                <w:sz w:val="22"/>
                <w:szCs w:val="22"/>
              </w:rPr>
              <w:t xml:space="preserve"> Milestone</w:t>
            </w:r>
          </w:p>
        </w:tc>
        <w:tc>
          <w:tcPr>
            <w:tcW w:w="3690" w:type="dxa"/>
            <w:gridSpan w:val="2"/>
            <w:shd w:val="clear" w:color="auto" w:fill="auto"/>
          </w:tcPr>
          <w:p w:rsidR="00C13F67" w:rsidRPr="00AA7DC6" w:rsidRDefault="00C13F67" w:rsidP="006E5B24">
            <w:pPr>
              <w:pStyle w:val="TableHeaderText"/>
              <w:widowControl w:val="0"/>
              <w:rPr>
                <w:sz w:val="22"/>
                <w:szCs w:val="22"/>
              </w:rPr>
            </w:pPr>
            <w:r w:rsidRPr="00AA7DC6">
              <w:rPr>
                <w:sz w:val="22"/>
                <w:szCs w:val="22"/>
              </w:rPr>
              <w:t>Target Dates</w:t>
            </w:r>
          </w:p>
        </w:tc>
      </w:tr>
      <w:tr w:rsidR="00A7658B" w:rsidRPr="00AA7DC6" w:rsidTr="006E5B24">
        <w:trPr>
          <w:cantSplit/>
        </w:trPr>
        <w:tc>
          <w:tcPr>
            <w:tcW w:w="1728" w:type="dxa"/>
            <w:vMerge/>
            <w:shd w:val="clear" w:color="auto" w:fill="auto"/>
          </w:tcPr>
          <w:p w:rsidR="00A7658B" w:rsidRPr="00AA7DC6" w:rsidRDefault="00A7658B" w:rsidP="006E5B24">
            <w:pPr>
              <w:widowControl w:val="0"/>
              <w:rPr>
                <w:sz w:val="22"/>
                <w:szCs w:val="22"/>
              </w:rPr>
            </w:pPr>
          </w:p>
        </w:tc>
        <w:tc>
          <w:tcPr>
            <w:tcW w:w="4500" w:type="dxa"/>
            <w:gridSpan w:val="3"/>
            <w:shd w:val="clear" w:color="auto" w:fill="auto"/>
          </w:tcPr>
          <w:p w:rsidR="00A7658B" w:rsidRPr="00AA7DC6" w:rsidRDefault="00A7658B" w:rsidP="006E5B24">
            <w:pPr>
              <w:pStyle w:val="TableText"/>
              <w:widowControl w:val="0"/>
              <w:rPr>
                <w:sz w:val="22"/>
                <w:szCs w:val="22"/>
              </w:rPr>
            </w:pPr>
            <w:r w:rsidRPr="00AA7DC6">
              <w:rPr>
                <w:sz w:val="22"/>
                <w:szCs w:val="22"/>
              </w:rPr>
              <w:t>Advisory Process (e.g., committees; workgroups)</w:t>
            </w:r>
          </w:p>
        </w:tc>
        <w:tc>
          <w:tcPr>
            <w:tcW w:w="3690" w:type="dxa"/>
            <w:gridSpan w:val="2"/>
            <w:shd w:val="clear" w:color="auto" w:fill="auto"/>
          </w:tcPr>
          <w:p w:rsidR="00A7658B" w:rsidRPr="00AA7DC6" w:rsidRDefault="00C13F67" w:rsidP="006E5B24">
            <w:pPr>
              <w:pStyle w:val="TableHeaderText"/>
              <w:widowControl w:val="0"/>
              <w:rPr>
                <w:sz w:val="22"/>
                <w:szCs w:val="22"/>
              </w:rPr>
            </w:pPr>
            <w:r w:rsidRPr="00AA7DC6">
              <w:rPr>
                <w:b w:val="0"/>
                <w:sz w:val="22"/>
                <w:szCs w:val="22"/>
              </w:rPr>
              <w:t>Ongoing</w:t>
            </w:r>
          </w:p>
        </w:tc>
      </w:tr>
      <w:tr w:rsidR="00A7658B" w:rsidRPr="00AA7DC6" w:rsidTr="006E5B24">
        <w:trPr>
          <w:cantSplit/>
        </w:trPr>
        <w:tc>
          <w:tcPr>
            <w:tcW w:w="1728" w:type="dxa"/>
            <w:vMerge/>
            <w:shd w:val="clear" w:color="auto" w:fill="auto"/>
          </w:tcPr>
          <w:p w:rsidR="00A7658B" w:rsidRPr="00AA7DC6" w:rsidRDefault="00A7658B" w:rsidP="006E5B24">
            <w:pPr>
              <w:widowControl w:val="0"/>
              <w:rPr>
                <w:sz w:val="22"/>
                <w:szCs w:val="22"/>
              </w:rPr>
            </w:pPr>
          </w:p>
        </w:tc>
        <w:tc>
          <w:tcPr>
            <w:tcW w:w="4500" w:type="dxa"/>
            <w:gridSpan w:val="3"/>
            <w:shd w:val="clear" w:color="auto" w:fill="auto"/>
          </w:tcPr>
          <w:p w:rsidR="00A7658B" w:rsidRPr="00AA7DC6" w:rsidRDefault="00A7658B" w:rsidP="006E5B24">
            <w:pPr>
              <w:pStyle w:val="TableText"/>
              <w:widowControl w:val="0"/>
              <w:rPr>
                <w:sz w:val="22"/>
                <w:szCs w:val="22"/>
              </w:rPr>
            </w:pPr>
            <w:r w:rsidRPr="00AA7DC6">
              <w:rPr>
                <w:sz w:val="22"/>
                <w:szCs w:val="22"/>
              </w:rPr>
              <w:t>Publication in SOS Bulletin</w:t>
            </w:r>
          </w:p>
        </w:tc>
        <w:tc>
          <w:tcPr>
            <w:tcW w:w="3690" w:type="dxa"/>
            <w:gridSpan w:val="2"/>
            <w:shd w:val="clear" w:color="auto" w:fill="auto"/>
          </w:tcPr>
          <w:p w:rsidR="00A7658B" w:rsidRPr="00AA7DC6" w:rsidRDefault="003072A4" w:rsidP="006E5B24">
            <w:pPr>
              <w:pStyle w:val="TableHeaderText"/>
              <w:widowControl w:val="0"/>
              <w:rPr>
                <w:b w:val="0"/>
                <w:sz w:val="22"/>
                <w:szCs w:val="22"/>
              </w:rPr>
            </w:pPr>
            <w:r>
              <w:rPr>
                <w:b w:val="0"/>
                <w:sz w:val="22"/>
                <w:szCs w:val="22"/>
              </w:rPr>
              <w:t>August</w:t>
            </w:r>
            <w:r w:rsidR="00C13F67" w:rsidRPr="00AA7DC6">
              <w:rPr>
                <w:b w:val="0"/>
                <w:sz w:val="22"/>
                <w:szCs w:val="22"/>
              </w:rPr>
              <w:t xml:space="preserve"> 201</w:t>
            </w:r>
            <w:r w:rsidR="00B05688" w:rsidRPr="00AA7DC6">
              <w:rPr>
                <w:b w:val="0"/>
                <w:sz w:val="22"/>
                <w:szCs w:val="22"/>
              </w:rPr>
              <w:t>2</w:t>
            </w:r>
          </w:p>
        </w:tc>
      </w:tr>
      <w:tr w:rsidR="00A7658B" w:rsidRPr="00AA7DC6" w:rsidTr="006E5B24">
        <w:trPr>
          <w:cantSplit/>
        </w:trPr>
        <w:tc>
          <w:tcPr>
            <w:tcW w:w="1728" w:type="dxa"/>
            <w:vMerge/>
            <w:shd w:val="clear" w:color="auto" w:fill="auto"/>
          </w:tcPr>
          <w:p w:rsidR="00A7658B" w:rsidRPr="00AA7DC6" w:rsidRDefault="00A7658B" w:rsidP="006E5B24">
            <w:pPr>
              <w:widowControl w:val="0"/>
              <w:rPr>
                <w:sz w:val="22"/>
                <w:szCs w:val="22"/>
              </w:rPr>
            </w:pPr>
          </w:p>
        </w:tc>
        <w:tc>
          <w:tcPr>
            <w:tcW w:w="4500" w:type="dxa"/>
            <w:gridSpan w:val="3"/>
            <w:shd w:val="clear" w:color="auto" w:fill="auto"/>
          </w:tcPr>
          <w:p w:rsidR="00A7658B" w:rsidRPr="00AA7DC6" w:rsidRDefault="00A7658B" w:rsidP="006E5B24">
            <w:pPr>
              <w:pStyle w:val="TableText"/>
              <w:widowControl w:val="0"/>
              <w:rPr>
                <w:sz w:val="22"/>
                <w:szCs w:val="22"/>
              </w:rPr>
            </w:pPr>
            <w:r w:rsidRPr="00AA7DC6">
              <w:rPr>
                <w:sz w:val="22"/>
                <w:szCs w:val="22"/>
              </w:rPr>
              <w:t>EQC rule adoption</w:t>
            </w:r>
          </w:p>
        </w:tc>
        <w:tc>
          <w:tcPr>
            <w:tcW w:w="3690" w:type="dxa"/>
            <w:gridSpan w:val="2"/>
            <w:shd w:val="clear" w:color="auto" w:fill="auto"/>
          </w:tcPr>
          <w:p w:rsidR="00A7658B" w:rsidRPr="00AA7DC6" w:rsidRDefault="003072A4" w:rsidP="006E5B24">
            <w:pPr>
              <w:pStyle w:val="TableText"/>
              <w:widowControl w:val="0"/>
              <w:jc w:val="center"/>
              <w:rPr>
                <w:sz w:val="22"/>
                <w:szCs w:val="22"/>
              </w:rPr>
            </w:pPr>
            <w:r>
              <w:rPr>
                <w:sz w:val="22"/>
                <w:szCs w:val="22"/>
              </w:rPr>
              <w:t>December</w:t>
            </w:r>
            <w:r w:rsidR="00A7658B" w:rsidRPr="00AA7DC6">
              <w:rPr>
                <w:sz w:val="22"/>
                <w:szCs w:val="22"/>
              </w:rPr>
              <w:t xml:space="preserve"> 201</w:t>
            </w:r>
            <w:r w:rsidR="00B05688" w:rsidRPr="00AA7DC6">
              <w:rPr>
                <w:sz w:val="22"/>
                <w:szCs w:val="22"/>
              </w:rPr>
              <w:t>2</w:t>
            </w:r>
          </w:p>
        </w:tc>
      </w:tr>
    </w:tbl>
    <w:p w:rsidR="00A91039" w:rsidRPr="00AA7DC6" w:rsidRDefault="00A91039" w:rsidP="006E5B24">
      <w:pPr>
        <w:widowControl w:val="0"/>
        <w:rPr>
          <w:b/>
          <w:sz w:val="22"/>
          <w:szCs w:val="22"/>
        </w:rPr>
      </w:pPr>
      <w:r w:rsidRPr="00AA7DC6">
        <w:rPr>
          <w:b/>
          <w:sz w:val="22"/>
          <w:szCs w:val="22"/>
        </w:rPr>
        <w:t>Attachment:  Opt In/Out Form</w:t>
      </w:r>
    </w:p>
    <w:sectPr w:rsidR="00A91039" w:rsidRPr="00AA7DC6" w:rsidSect="00C24D35">
      <w:headerReference w:type="even" r:id="rId7"/>
      <w:headerReference w:type="default" r:id="rId8"/>
      <w:footerReference w:type="even" r:id="rId9"/>
      <w:footerReference w:type="default" r:id="rId10"/>
      <w:pgSz w:w="12240" w:h="15840"/>
      <w:pgMar w:top="990" w:right="1440" w:bottom="108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70B" w:rsidRDefault="00CA470B">
      <w:r>
        <w:separator/>
      </w:r>
    </w:p>
  </w:endnote>
  <w:endnote w:type="continuationSeparator" w:id="0">
    <w:p w:rsidR="00CA470B" w:rsidRDefault="00CA4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5A" w:rsidRDefault="00C7535C">
    <w:pPr>
      <w:pStyle w:val="Footer"/>
      <w:framePr w:wrap="around" w:vAnchor="text" w:hAnchor="margin" w:xAlign="right" w:y="1"/>
    </w:pPr>
    <w:r>
      <w:fldChar w:fldCharType="begin"/>
    </w:r>
    <w:r w:rsidR="0083535A">
      <w:instrText xml:space="preserve">PAGE  </w:instrText>
    </w:r>
    <w:r>
      <w:fldChar w:fldCharType="end"/>
    </w:r>
  </w:p>
  <w:p w:rsidR="0083535A" w:rsidRDefault="0083535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5A" w:rsidRPr="00BB1B35" w:rsidRDefault="0083535A">
    <w:pPr>
      <w:pStyle w:val="Footer"/>
      <w:tabs>
        <w:tab w:val="clear" w:pos="4320"/>
        <w:tab w:val="clear" w:pos="8640"/>
        <w:tab w:val="center" w:pos="4680"/>
      </w:tabs>
      <w:ind w:right="90"/>
      <w:rPr>
        <w:color w:val="808080"/>
        <w:sz w:val="20"/>
      </w:rPr>
    </w:pPr>
    <w:r>
      <w:rPr>
        <w:color w:val="808080"/>
        <w:sz w:val="20"/>
      </w:rPr>
      <w:t>8/11/09</w:t>
    </w:r>
    <w:r>
      <w:rPr>
        <w:color w:val="808080"/>
        <w:sz w:val="20"/>
      </w:rPr>
      <w:tab/>
    </w:r>
    <w:r>
      <w:rPr>
        <w:color w:val="808080"/>
        <w:sz w:val="20"/>
      </w:rPr>
      <w:tab/>
    </w:r>
    <w:r>
      <w:rPr>
        <w:color w:val="808080"/>
        <w:sz w:val="20"/>
      </w:rPr>
      <w:tab/>
    </w:r>
    <w:r>
      <w:rPr>
        <w:color w:val="808080"/>
        <w:sz w:val="20"/>
      </w:rPr>
      <w:tab/>
    </w:r>
    <w:r>
      <w:rPr>
        <w:color w:val="808080"/>
        <w:sz w:val="20"/>
      </w:rPr>
      <w:tab/>
    </w:r>
    <w:r>
      <w:rPr>
        <w:color w:val="808080"/>
        <w:sz w:val="20"/>
      </w:rPr>
      <w:tab/>
    </w:r>
    <w:r>
      <w:rPr>
        <w:color w:val="808080"/>
        <w:sz w:val="20"/>
      </w:rPr>
      <w:tab/>
    </w:r>
    <w:r w:rsidR="00C7535C" w:rsidRPr="00BB1B35">
      <w:rPr>
        <w:rStyle w:val="PageNumber"/>
        <w:sz w:val="20"/>
      </w:rPr>
      <w:fldChar w:fldCharType="begin"/>
    </w:r>
    <w:r w:rsidRPr="00BB1B35">
      <w:rPr>
        <w:rStyle w:val="PageNumber"/>
        <w:sz w:val="20"/>
      </w:rPr>
      <w:instrText xml:space="preserve"> PAGE </w:instrText>
    </w:r>
    <w:r w:rsidR="00C7535C" w:rsidRPr="00BB1B35">
      <w:rPr>
        <w:rStyle w:val="PageNumber"/>
        <w:sz w:val="20"/>
      </w:rPr>
      <w:fldChar w:fldCharType="separate"/>
    </w:r>
    <w:r w:rsidR="00E43482">
      <w:rPr>
        <w:rStyle w:val="PageNumber"/>
        <w:noProof/>
        <w:sz w:val="20"/>
      </w:rPr>
      <w:t>1</w:t>
    </w:r>
    <w:r w:rsidR="00C7535C" w:rsidRPr="00BB1B35">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70B" w:rsidRDefault="00CA470B">
      <w:r>
        <w:separator/>
      </w:r>
    </w:p>
  </w:footnote>
  <w:footnote w:type="continuationSeparator" w:id="0">
    <w:p w:rsidR="00CA470B" w:rsidRDefault="00CA4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5A" w:rsidRDefault="00C7535C">
    <w:pPr>
      <w:pStyle w:val="Header"/>
      <w:framePr w:wrap="around" w:vAnchor="text" w:hAnchor="margin" w:xAlign="center" w:y="1"/>
      <w:rPr>
        <w:rStyle w:val="PageNumber"/>
      </w:rPr>
    </w:pPr>
    <w:r>
      <w:rPr>
        <w:rStyle w:val="PageNumber"/>
      </w:rPr>
      <w:fldChar w:fldCharType="begin"/>
    </w:r>
    <w:r w:rsidR="0083535A">
      <w:rPr>
        <w:rStyle w:val="PageNumber"/>
      </w:rPr>
      <w:instrText xml:space="preserve">PAGE  </w:instrText>
    </w:r>
    <w:r>
      <w:rPr>
        <w:rStyle w:val="PageNumber"/>
      </w:rPr>
      <w:fldChar w:fldCharType="separate"/>
    </w:r>
    <w:r w:rsidR="0083535A">
      <w:rPr>
        <w:rStyle w:val="PageNumber"/>
        <w:noProof/>
      </w:rPr>
      <w:t>1</w:t>
    </w:r>
    <w:r>
      <w:rPr>
        <w:rStyle w:val="PageNumber"/>
      </w:rPr>
      <w:fldChar w:fldCharType="end"/>
    </w:r>
  </w:p>
  <w:p w:rsidR="0083535A" w:rsidRDefault="008353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5A" w:rsidRDefault="0083535A">
    <w:pPr>
      <w:pStyle w:val="Header"/>
      <w:tabs>
        <w:tab w:val="clear" w:pos="4320"/>
        <w:tab w:val="clear" w:pos="8640"/>
        <w:tab w:val="center" w:pos="468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0CB6EB1"/>
    <w:multiLevelType w:val="singleLevel"/>
    <w:tmpl w:val="DAD6EE5E"/>
    <w:lvl w:ilvl="0">
      <w:start w:val="1"/>
      <w:numFmt w:val="bullet"/>
      <w:pStyle w:val="BulletText2"/>
      <w:lvlText w:val=""/>
      <w:lvlJc w:val="left"/>
      <w:pPr>
        <w:tabs>
          <w:tab w:val="num" w:pos="533"/>
        </w:tabs>
        <w:ind w:left="360" w:hanging="187"/>
      </w:pPr>
      <w:rPr>
        <w:rFonts w:ascii="Symbol" w:hAnsi="Symbol" w:hint="default"/>
      </w:rPr>
    </w:lvl>
  </w:abstractNum>
  <w:abstractNum w:abstractNumId="2">
    <w:nsid w:val="18DF4AB5"/>
    <w:multiLevelType w:val="hybridMultilevel"/>
    <w:tmpl w:val="804EA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2C0D51"/>
    <w:multiLevelType w:val="singleLevel"/>
    <w:tmpl w:val="ED6027DE"/>
    <w:lvl w:ilvl="0">
      <w:start w:val="1"/>
      <w:numFmt w:val="bullet"/>
      <w:lvlText w:val=""/>
      <w:lvlJc w:val="left"/>
      <w:pPr>
        <w:tabs>
          <w:tab w:val="num" w:pos="360"/>
        </w:tabs>
        <w:ind w:left="360" w:hanging="360"/>
      </w:pPr>
      <w:rPr>
        <w:rFonts w:ascii="Symbol" w:hAnsi="Symbol" w:hint="default"/>
      </w:rPr>
    </w:lvl>
  </w:abstractNum>
  <w:abstractNum w:abstractNumId="4">
    <w:nsid w:val="36CE47DB"/>
    <w:multiLevelType w:val="hybridMultilevel"/>
    <w:tmpl w:val="B896D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2479D6"/>
    <w:multiLevelType w:val="singleLevel"/>
    <w:tmpl w:val="8B98BB10"/>
    <w:lvl w:ilvl="0">
      <w:start w:val="1"/>
      <w:numFmt w:val="bullet"/>
      <w:lvlText w:val=""/>
      <w:lvlJc w:val="left"/>
      <w:pPr>
        <w:tabs>
          <w:tab w:val="num" w:pos="360"/>
        </w:tabs>
        <w:ind w:left="360" w:hanging="360"/>
      </w:pPr>
      <w:rPr>
        <w:rFonts w:ascii="Symbol" w:hAnsi="Symbol" w:hint="default"/>
        <w:sz w:val="18"/>
      </w:rPr>
    </w:lvl>
  </w:abstractNum>
  <w:abstractNum w:abstractNumId="6">
    <w:nsid w:val="48A06BB5"/>
    <w:multiLevelType w:val="hybridMultilevel"/>
    <w:tmpl w:val="BBD089A2"/>
    <w:lvl w:ilvl="0" w:tplc="E1786FDE">
      <w:start w:val="1"/>
      <w:numFmt w:val="bullet"/>
      <w:lvlText w:val=""/>
      <w:lvlJc w:val="left"/>
      <w:pPr>
        <w:tabs>
          <w:tab w:val="num" w:pos="261"/>
        </w:tabs>
        <w:ind w:left="261" w:hanging="216"/>
      </w:pPr>
      <w:rPr>
        <w:rFonts w:ascii="Wingdings" w:hAnsi="Wingdings" w:hint="default"/>
        <w:b w:val="0"/>
        <w:i w:val="0"/>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4B763D12"/>
    <w:multiLevelType w:val="hybridMultilevel"/>
    <w:tmpl w:val="26F268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2126E3"/>
    <w:multiLevelType w:val="hybridMultilevel"/>
    <w:tmpl w:val="31889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67548D"/>
    <w:multiLevelType w:val="hybridMultilevel"/>
    <w:tmpl w:val="F5461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11">
    <w:nsid w:val="65356D52"/>
    <w:multiLevelType w:val="hybridMultilevel"/>
    <w:tmpl w:val="78967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0"/>
    <w:lvlOverride w:ilvl="0">
      <w:lvl w:ilvl="0">
        <w:start w:val="1"/>
        <w:numFmt w:val="bullet"/>
        <w:lvlText w:val="-"/>
        <w:legacy w:legacy="1" w:legacySpace="0" w:legacyIndent="187"/>
        <w:lvlJc w:val="left"/>
        <w:pPr>
          <w:ind w:left="360" w:hanging="187"/>
        </w:pPr>
        <w:rPr>
          <w:rFonts w:ascii="Times New Roman" w:hAnsi="Times New Roman" w:hint="default"/>
          <w:sz w:val="24"/>
        </w:rPr>
      </w:lvl>
    </w:lvlOverride>
  </w:num>
  <w:num w:numId="4">
    <w:abstractNumId w:val="3"/>
  </w:num>
  <w:num w:numId="5">
    <w:abstractNumId w:val="0"/>
    <w:lvlOverride w:ilvl="0">
      <w:lvl w:ilvl="0">
        <w:start w:val="1"/>
        <w:numFmt w:val="bullet"/>
        <w:lvlText w:val="·"/>
        <w:legacy w:legacy="1" w:legacySpace="0" w:legacyIndent="187"/>
        <w:lvlJc w:val="left"/>
        <w:pPr>
          <w:ind w:left="360" w:hanging="187"/>
        </w:pPr>
        <w:rPr>
          <w:rFonts w:ascii="Symbol" w:hAnsi="Symbol" w:hint="default"/>
          <w:sz w:val="20"/>
        </w:rPr>
      </w:lvl>
    </w:lvlOverride>
  </w:num>
  <w:num w:numId="6">
    <w:abstractNumId w:val="0"/>
    <w:lvlOverride w:ilvl="0">
      <w:lvl w:ilvl="0">
        <w:start w:val="1"/>
        <w:numFmt w:val="bullet"/>
        <w:lvlText w:val="·"/>
        <w:legacy w:legacy="1" w:legacySpace="0" w:legacyIndent="187"/>
        <w:lvlJc w:val="left"/>
        <w:pPr>
          <w:ind w:left="360" w:hanging="187"/>
        </w:pPr>
        <w:rPr>
          <w:rFonts w:ascii="Arial" w:hAnsi="Arial" w:hint="default"/>
          <w:sz w:val="20"/>
        </w:rPr>
      </w:lvl>
    </w:lvlOverride>
  </w:num>
  <w:num w:numId="7">
    <w:abstractNumId w:val="1"/>
  </w:num>
  <w:num w:numId="8">
    <w:abstractNumId w:val="8"/>
  </w:num>
  <w:num w:numId="9">
    <w:abstractNumId w:val="2"/>
  </w:num>
  <w:num w:numId="10">
    <w:abstractNumId w:val="9"/>
  </w:num>
  <w:num w:numId="11">
    <w:abstractNumId w:val="4"/>
  </w:num>
  <w:num w:numId="12">
    <w:abstractNumId w:val="6"/>
  </w:num>
  <w:num w:numId="13">
    <w:abstractNumId w:val="7"/>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91039"/>
    <w:rsid w:val="00030A30"/>
    <w:rsid w:val="00032588"/>
    <w:rsid w:val="00032BDC"/>
    <w:rsid w:val="000526B9"/>
    <w:rsid w:val="00052E43"/>
    <w:rsid w:val="00053D21"/>
    <w:rsid w:val="00055DC0"/>
    <w:rsid w:val="000572DB"/>
    <w:rsid w:val="00071967"/>
    <w:rsid w:val="000871A8"/>
    <w:rsid w:val="000946FB"/>
    <w:rsid w:val="00096033"/>
    <w:rsid w:val="000A6647"/>
    <w:rsid w:val="000C6F69"/>
    <w:rsid w:val="000E13CD"/>
    <w:rsid w:val="000E1B5A"/>
    <w:rsid w:val="000E7CE8"/>
    <w:rsid w:val="001006E1"/>
    <w:rsid w:val="001109FD"/>
    <w:rsid w:val="0011284C"/>
    <w:rsid w:val="00124457"/>
    <w:rsid w:val="00126178"/>
    <w:rsid w:val="00134F4C"/>
    <w:rsid w:val="00154B55"/>
    <w:rsid w:val="00194A27"/>
    <w:rsid w:val="001A05EF"/>
    <w:rsid w:val="001A2461"/>
    <w:rsid w:val="001A25D5"/>
    <w:rsid w:val="001A3C6D"/>
    <w:rsid w:val="001A405A"/>
    <w:rsid w:val="001A5BFF"/>
    <w:rsid w:val="001C2085"/>
    <w:rsid w:val="001C5100"/>
    <w:rsid w:val="001D25F1"/>
    <w:rsid w:val="001D40BB"/>
    <w:rsid w:val="001E2CE4"/>
    <w:rsid w:val="001F441D"/>
    <w:rsid w:val="00200ACA"/>
    <w:rsid w:val="002013C0"/>
    <w:rsid w:val="0021275C"/>
    <w:rsid w:val="0021413A"/>
    <w:rsid w:val="00226464"/>
    <w:rsid w:val="00236C8E"/>
    <w:rsid w:val="00250856"/>
    <w:rsid w:val="00256032"/>
    <w:rsid w:val="002725A6"/>
    <w:rsid w:val="002A277D"/>
    <w:rsid w:val="002A7771"/>
    <w:rsid w:val="002C5891"/>
    <w:rsid w:val="002E3758"/>
    <w:rsid w:val="002F5A43"/>
    <w:rsid w:val="003004AC"/>
    <w:rsid w:val="00303E38"/>
    <w:rsid w:val="003060B3"/>
    <w:rsid w:val="003072A4"/>
    <w:rsid w:val="00323B00"/>
    <w:rsid w:val="00330705"/>
    <w:rsid w:val="00331688"/>
    <w:rsid w:val="00332295"/>
    <w:rsid w:val="00343E61"/>
    <w:rsid w:val="00346539"/>
    <w:rsid w:val="00352849"/>
    <w:rsid w:val="00372E34"/>
    <w:rsid w:val="00373A65"/>
    <w:rsid w:val="003960C3"/>
    <w:rsid w:val="003A07F4"/>
    <w:rsid w:val="003A1252"/>
    <w:rsid w:val="003B2C5A"/>
    <w:rsid w:val="003B3C55"/>
    <w:rsid w:val="003B4390"/>
    <w:rsid w:val="003B6373"/>
    <w:rsid w:val="003C15F3"/>
    <w:rsid w:val="003C2F54"/>
    <w:rsid w:val="003E6B14"/>
    <w:rsid w:val="003F2365"/>
    <w:rsid w:val="00410F7E"/>
    <w:rsid w:val="004217A1"/>
    <w:rsid w:val="004316FD"/>
    <w:rsid w:val="00457546"/>
    <w:rsid w:val="00464C36"/>
    <w:rsid w:val="00470C1A"/>
    <w:rsid w:val="0047123F"/>
    <w:rsid w:val="00472823"/>
    <w:rsid w:val="004748B0"/>
    <w:rsid w:val="00474DA6"/>
    <w:rsid w:val="00484A9C"/>
    <w:rsid w:val="0048515F"/>
    <w:rsid w:val="004869EF"/>
    <w:rsid w:val="00487EB4"/>
    <w:rsid w:val="00496F79"/>
    <w:rsid w:val="004A275A"/>
    <w:rsid w:val="004A2BC3"/>
    <w:rsid w:val="004B5903"/>
    <w:rsid w:val="004B66A7"/>
    <w:rsid w:val="004C5041"/>
    <w:rsid w:val="004C69E7"/>
    <w:rsid w:val="004D1955"/>
    <w:rsid w:val="004D5612"/>
    <w:rsid w:val="004E30D6"/>
    <w:rsid w:val="00536E40"/>
    <w:rsid w:val="00556A24"/>
    <w:rsid w:val="00557D17"/>
    <w:rsid w:val="005632F6"/>
    <w:rsid w:val="005A4493"/>
    <w:rsid w:val="005D0A9D"/>
    <w:rsid w:val="005D22D6"/>
    <w:rsid w:val="005E35AF"/>
    <w:rsid w:val="0064068E"/>
    <w:rsid w:val="00645DE8"/>
    <w:rsid w:val="00655ED2"/>
    <w:rsid w:val="00660A13"/>
    <w:rsid w:val="0066396C"/>
    <w:rsid w:val="00664C8B"/>
    <w:rsid w:val="00675E37"/>
    <w:rsid w:val="00681AC9"/>
    <w:rsid w:val="006A2B5C"/>
    <w:rsid w:val="006A54A6"/>
    <w:rsid w:val="006B17C9"/>
    <w:rsid w:val="006B7B92"/>
    <w:rsid w:val="006D277A"/>
    <w:rsid w:val="006D2A53"/>
    <w:rsid w:val="006D64F8"/>
    <w:rsid w:val="006E26DB"/>
    <w:rsid w:val="006E5B24"/>
    <w:rsid w:val="006F16AF"/>
    <w:rsid w:val="006F6E2A"/>
    <w:rsid w:val="007147D1"/>
    <w:rsid w:val="00715ED3"/>
    <w:rsid w:val="00724560"/>
    <w:rsid w:val="0072613E"/>
    <w:rsid w:val="0073481B"/>
    <w:rsid w:val="00745E2B"/>
    <w:rsid w:val="00751F43"/>
    <w:rsid w:val="0075660E"/>
    <w:rsid w:val="0076310A"/>
    <w:rsid w:val="00773EB0"/>
    <w:rsid w:val="00795061"/>
    <w:rsid w:val="00796058"/>
    <w:rsid w:val="00796073"/>
    <w:rsid w:val="007A0613"/>
    <w:rsid w:val="007A7E47"/>
    <w:rsid w:val="007A7FFB"/>
    <w:rsid w:val="007B1E9F"/>
    <w:rsid w:val="007B5C01"/>
    <w:rsid w:val="007D10D0"/>
    <w:rsid w:val="007E1726"/>
    <w:rsid w:val="007E5E8D"/>
    <w:rsid w:val="007F2849"/>
    <w:rsid w:val="007F5F94"/>
    <w:rsid w:val="00806DC8"/>
    <w:rsid w:val="00813F7E"/>
    <w:rsid w:val="00834505"/>
    <w:rsid w:val="00834A48"/>
    <w:rsid w:val="0083535A"/>
    <w:rsid w:val="00843105"/>
    <w:rsid w:val="00850A3D"/>
    <w:rsid w:val="008730DE"/>
    <w:rsid w:val="008765AD"/>
    <w:rsid w:val="008811D6"/>
    <w:rsid w:val="008815C0"/>
    <w:rsid w:val="00881F55"/>
    <w:rsid w:val="008834FB"/>
    <w:rsid w:val="008843E5"/>
    <w:rsid w:val="0088748B"/>
    <w:rsid w:val="00893A39"/>
    <w:rsid w:val="008B75E1"/>
    <w:rsid w:val="008C6917"/>
    <w:rsid w:val="008D1781"/>
    <w:rsid w:val="008E01BC"/>
    <w:rsid w:val="008E2995"/>
    <w:rsid w:val="008E4149"/>
    <w:rsid w:val="008E79E8"/>
    <w:rsid w:val="008F4F01"/>
    <w:rsid w:val="008F5472"/>
    <w:rsid w:val="00907447"/>
    <w:rsid w:val="009114F8"/>
    <w:rsid w:val="00913A72"/>
    <w:rsid w:val="00914089"/>
    <w:rsid w:val="00935896"/>
    <w:rsid w:val="0093791F"/>
    <w:rsid w:val="00937BDF"/>
    <w:rsid w:val="00950060"/>
    <w:rsid w:val="00970B63"/>
    <w:rsid w:val="00982C03"/>
    <w:rsid w:val="00982C2E"/>
    <w:rsid w:val="00985D81"/>
    <w:rsid w:val="00986A5B"/>
    <w:rsid w:val="00987EB3"/>
    <w:rsid w:val="00990AA9"/>
    <w:rsid w:val="00997412"/>
    <w:rsid w:val="009C1204"/>
    <w:rsid w:val="009C21A4"/>
    <w:rsid w:val="009C402D"/>
    <w:rsid w:val="009C4EAA"/>
    <w:rsid w:val="009E649C"/>
    <w:rsid w:val="00A01872"/>
    <w:rsid w:val="00A11734"/>
    <w:rsid w:val="00A13884"/>
    <w:rsid w:val="00A2178F"/>
    <w:rsid w:val="00A460A8"/>
    <w:rsid w:val="00A535F7"/>
    <w:rsid w:val="00A6008A"/>
    <w:rsid w:val="00A61D1C"/>
    <w:rsid w:val="00A7658B"/>
    <w:rsid w:val="00A770F4"/>
    <w:rsid w:val="00A85FC4"/>
    <w:rsid w:val="00A87DCE"/>
    <w:rsid w:val="00A91039"/>
    <w:rsid w:val="00AA54EA"/>
    <w:rsid w:val="00AA7DC6"/>
    <w:rsid w:val="00AC0647"/>
    <w:rsid w:val="00AC103B"/>
    <w:rsid w:val="00AD7202"/>
    <w:rsid w:val="00AD7B08"/>
    <w:rsid w:val="00AE2A9A"/>
    <w:rsid w:val="00AE489A"/>
    <w:rsid w:val="00AE65D1"/>
    <w:rsid w:val="00AF06DB"/>
    <w:rsid w:val="00AF36D3"/>
    <w:rsid w:val="00AF3D1A"/>
    <w:rsid w:val="00B021D9"/>
    <w:rsid w:val="00B05688"/>
    <w:rsid w:val="00B076D7"/>
    <w:rsid w:val="00B155A4"/>
    <w:rsid w:val="00B3149B"/>
    <w:rsid w:val="00B35C1C"/>
    <w:rsid w:val="00B41311"/>
    <w:rsid w:val="00B72BDE"/>
    <w:rsid w:val="00B874B7"/>
    <w:rsid w:val="00B92E2A"/>
    <w:rsid w:val="00B960DA"/>
    <w:rsid w:val="00BA4B30"/>
    <w:rsid w:val="00BA6985"/>
    <w:rsid w:val="00BB1B35"/>
    <w:rsid w:val="00BB6CD0"/>
    <w:rsid w:val="00BD1EC4"/>
    <w:rsid w:val="00BD3B0B"/>
    <w:rsid w:val="00BE10AB"/>
    <w:rsid w:val="00BE2ABD"/>
    <w:rsid w:val="00BE5ECD"/>
    <w:rsid w:val="00BF43EF"/>
    <w:rsid w:val="00BF4585"/>
    <w:rsid w:val="00C0469F"/>
    <w:rsid w:val="00C05733"/>
    <w:rsid w:val="00C07FF2"/>
    <w:rsid w:val="00C124D9"/>
    <w:rsid w:val="00C13F67"/>
    <w:rsid w:val="00C236EE"/>
    <w:rsid w:val="00C24362"/>
    <w:rsid w:val="00C24D35"/>
    <w:rsid w:val="00C2550E"/>
    <w:rsid w:val="00C3598F"/>
    <w:rsid w:val="00C5065F"/>
    <w:rsid w:val="00C56EEF"/>
    <w:rsid w:val="00C717A2"/>
    <w:rsid w:val="00C7535C"/>
    <w:rsid w:val="00C76CEB"/>
    <w:rsid w:val="00C96707"/>
    <w:rsid w:val="00CA470B"/>
    <w:rsid w:val="00CB77E3"/>
    <w:rsid w:val="00CC1205"/>
    <w:rsid w:val="00CC54F4"/>
    <w:rsid w:val="00CD79D0"/>
    <w:rsid w:val="00CE7B97"/>
    <w:rsid w:val="00CF3A8C"/>
    <w:rsid w:val="00CF6684"/>
    <w:rsid w:val="00D1139B"/>
    <w:rsid w:val="00D16049"/>
    <w:rsid w:val="00D31503"/>
    <w:rsid w:val="00D43030"/>
    <w:rsid w:val="00D46D3B"/>
    <w:rsid w:val="00D47261"/>
    <w:rsid w:val="00D54327"/>
    <w:rsid w:val="00D5734A"/>
    <w:rsid w:val="00D612CB"/>
    <w:rsid w:val="00D7058F"/>
    <w:rsid w:val="00D74AAA"/>
    <w:rsid w:val="00D76A16"/>
    <w:rsid w:val="00DC5522"/>
    <w:rsid w:val="00DC5A3E"/>
    <w:rsid w:val="00DD396A"/>
    <w:rsid w:val="00DE19CE"/>
    <w:rsid w:val="00DF3F61"/>
    <w:rsid w:val="00E13542"/>
    <w:rsid w:val="00E1798B"/>
    <w:rsid w:val="00E26C5A"/>
    <w:rsid w:val="00E3332E"/>
    <w:rsid w:val="00E43482"/>
    <w:rsid w:val="00E5167E"/>
    <w:rsid w:val="00E5216E"/>
    <w:rsid w:val="00E54835"/>
    <w:rsid w:val="00E67E70"/>
    <w:rsid w:val="00E72DAA"/>
    <w:rsid w:val="00E75404"/>
    <w:rsid w:val="00E7686E"/>
    <w:rsid w:val="00E81836"/>
    <w:rsid w:val="00E82BD9"/>
    <w:rsid w:val="00E84E69"/>
    <w:rsid w:val="00E972E8"/>
    <w:rsid w:val="00E97F45"/>
    <w:rsid w:val="00EC4535"/>
    <w:rsid w:val="00EE2156"/>
    <w:rsid w:val="00EE2559"/>
    <w:rsid w:val="00EE28B1"/>
    <w:rsid w:val="00F01C97"/>
    <w:rsid w:val="00F16E3C"/>
    <w:rsid w:val="00F24502"/>
    <w:rsid w:val="00F317F2"/>
    <w:rsid w:val="00F34F60"/>
    <w:rsid w:val="00F3564F"/>
    <w:rsid w:val="00F422A5"/>
    <w:rsid w:val="00F431BB"/>
    <w:rsid w:val="00F526FA"/>
    <w:rsid w:val="00F53C10"/>
    <w:rsid w:val="00F718D4"/>
    <w:rsid w:val="00F7211C"/>
    <w:rsid w:val="00F7413B"/>
    <w:rsid w:val="00F74C15"/>
    <w:rsid w:val="00F94B68"/>
    <w:rsid w:val="00F9764E"/>
    <w:rsid w:val="00FA4BE5"/>
    <w:rsid w:val="00FA6F2C"/>
    <w:rsid w:val="00FA701C"/>
    <w:rsid w:val="00FB7CF0"/>
    <w:rsid w:val="00FE5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CA"/>
    <w:rPr>
      <w:sz w:val="24"/>
    </w:rPr>
  </w:style>
  <w:style w:type="paragraph" w:styleId="Heading1">
    <w:name w:val="heading 1"/>
    <w:aliases w:val="Part"/>
    <w:basedOn w:val="Normal"/>
    <w:next w:val="Heading2"/>
    <w:qFormat/>
    <w:rsid w:val="00200ACA"/>
    <w:pPr>
      <w:spacing w:after="240"/>
      <w:jc w:val="center"/>
      <w:outlineLvl w:val="0"/>
    </w:pPr>
    <w:rPr>
      <w:rFonts w:ascii="Arial" w:hAnsi="Arial"/>
      <w:b/>
      <w:sz w:val="32"/>
    </w:rPr>
  </w:style>
  <w:style w:type="paragraph" w:styleId="Heading2">
    <w:name w:val="heading 2"/>
    <w:aliases w:val="Chapter Title"/>
    <w:basedOn w:val="Normal"/>
    <w:next w:val="Heading4"/>
    <w:qFormat/>
    <w:rsid w:val="00200ACA"/>
    <w:pPr>
      <w:spacing w:after="240"/>
      <w:jc w:val="center"/>
      <w:outlineLvl w:val="1"/>
    </w:pPr>
    <w:rPr>
      <w:rFonts w:ascii="Arial" w:hAnsi="Arial"/>
      <w:b/>
      <w:sz w:val="32"/>
    </w:rPr>
  </w:style>
  <w:style w:type="paragraph" w:styleId="Heading3">
    <w:name w:val="heading 3"/>
    <w:aliases w:val="Section"/>
    <w:basedOn w:val="Normal"/>
    <w:next w:val="Heading4"/>
    <w:qFormat/>
    <w:rsid w:val="00200ACA"/>
    <w:pPr>
      <w:spacing w:after="240"/>
      <w:jc w:val="center"/>
      <w:outlineLvl w:val="2"/>
    </w:pPr>
    <w:rPr>
      <w:rFonts w:ascii="Arial" w:hAnsi="Arial"/>
      <w:b/>
      <w:sz w:val="32"/>
    </w:rPr>
  </w:style>
  <w:style w:type="paragraph" w:styleId="Heading4">
    <w:name w:val="heading 4"/>
    <w:aliases w:val="Map Title"/>
    <w:basedOn w:val="Normal"/>
    <w:next w:val="Normal"/>
    <w:qFormat/>
    <w:rsid w:val="00200ACA"/>
    <w:pPr>
      <w:spacing w:after="240"/>
      <w:outlineLvl w:val="3"/>
    </w:pPr>
    <w:rPr>
      <w:rFonts w:ascii="Arial" w:hAnsi="Arial"/>
      <w:b/>
      <w:sz w:val="32"/>
    </w:rPr>
  </w:style>
  <w:style w:type="paragraph" w:styleId="Heading5">
    <w:name w:val="heading 5"/>
    <w:aliases w:val="Block Label"/>
    <w:basedOn w:val="Normal"/>
    <w:next w:val="Normal"/>
    <w:qFormat/>
    <w:rsid w:val="00200ACA"/>
    <w:pPr>
      <w:outlineLvl w:val="4"/>
    </w:pPr>
    <w:rPr>
      <w:b/>
      <w:sz w:val="22"/>
    </w:rPr>
  </w:style>
  <w:style w:type="paragraph" w:styleId="Heading6">
    <w:name w:val="heading 6"/>
    <w:basedOn w:val="Normal"/>
    <w:next w:val="Normal"/>
    <w:qFormat/>
    <w:rsid w:val="00200ACA"/>
    <w:pPr>
      <w:spacing w:before="240" w:after="60"/>
      <w:outlineLvl w:val="5"/>
    </w:pPr>
    <w:rPr>
      <w:i/>
      <w:sz w:val="22"/>
    </w:rPr>
  </w:style>
  <w:style w:type="paragraph" w:styleId="Heading7">
    <w:name w:val="heading 7"/>
    <w:basedOn w:val="Normal"/>
    <w:next w:val="Normal"/>
    <w:qFormat/>
    <w:rsid w:val="00200ACA"/>
    <w:pPr>
      <w:spacing w:before="240" w:after="60"/>
      <w:outlineLvl w:val="6"/>
    </w:pPr>
    <w:rPr>
      <w:rFonts w:ascii="Arial" w:hAnsi="Arial"/>
      <w:sz w:val="20"/>
    </w:rPr>
  </w:style>
  <w:style w:type="paragraph" w:styleId="Heading8">
    <w:name w:val="heading 8"/>
    <w:basedOn w:val="Normal"/>
    <w:next w:val="Normal"/>
    <w:qFormat/>
    <w:rsid w:val="00200ACA"/>
    <w:pPr>
      <w:spacing w:before="240" w:after="60"/>
      <w:outlineLvl w:val="7"/>
    </w:pPr>
    <w:rPr>
      <w:rFonts w:ascii="Arial" w:hAnsi="Arial"/>
      <w:i/>
      <w:sz w:val="20"/>
    </w:rPr>
  </w:style>
  <w:style w:type="paragraph" w:styleId="Heading9">
    <w:name w:val="heading 9"/>
    <w:basedOn w:val="Normal"/>
    <w:next w:val="Normal"/>
    <w:qFormat/>
    <w:rsid w:val="00200AC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0ACA"/>
    <w:pPr>
      <w:tabs>
        <w:tab w:val="center" w:pos="4320"/>
        <w:tab w:val="right" w:pos="8640"/>
      </w:tabs>
    </w:pPr>
  </w:style>
  <w:style w:type="paragraph" w:styleId="MacroText">
    <w:name w:val="macro"/>
    <w:semiHidden/>
    <w:rsid w:val="00200A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200ACA"/>
    <w:pPr>
      <w:pBdr>
        <w:top w:val="single" w:sz="6" w:space="1" w:color="auto"/>
        <w:between w:val="single" w:sz="6" w:space="1" w:color="auto"/>
      </w:pBdr>
      <w:spacing w:before="240"/>
      <w:ind w:left="1700"/>
    </w:pPr>
  </w:style>
  <w:style w:type="paragraph" w:styleId="BlockText">
    <w:name w:val="Block Text"/>
    <w:basedOn w:val="Normal"/>
    <w:rsid w:val="00200ACA"/>
  </w:style>
  <w:style w:type="paragraph" w:customStyle="1" w:styleId="BulletText1">
    <w:name w:val="Bullet Text 1"/>
    <w:basedOn w:val="Normal"/>
    <w:rsid w:val="00200ACA"/>
    <w:pPr>
      <w:numPr>
        <w:numId w:val="2"/>
      </w:numPr>
      <w:tabs>
        <w:tab w:val="clear" w:pos="360"/>
      </w:tabs>
      <w:ind w:left="187" w:hanging="187"/>
    </w:pPr>
  </w:style>
  <w:style w:type="paragraph" w:customStyle="1" w:styleId="BulletText2">
    <w:name w:val="Bullet Text 2"/>
    <w:basedOn w:val="BulletText1"/>
    <w:rsid w:val="00200ACA"/>
    <w:pPr>
      <w:numPr>
        <w:numId w:val="7"/>
      </w:numPr>
      <w:tabs>
        <w:tab w:val="clear" w:pos="533"/>
      </w:tabs>
    </w:pPr>
  </w:style>
  <w:style w:type="paragraph" w:customStyle="1" w:styleId="ContinuedOnNextPa">
    <w:name w:val="Continued On Next Pa"/>
    <w:basedOn w:val="Normal"/>
    <w:next w:val="Normal"/>
    <w:rsid w:val="00200ACA"/>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200ACA"/>
    <w:rPr>
      <w:sz w:val="22"/>
    </w:rPr>
  </w:style>
  <w:style w:type="paragraph" w:customStyle="1" w:styleId="MapTitleContinued">
    <w:name w:val="Map Title. Continued"/>
    <w:basedOn w:val="Normal"/>
    <w:rsid w:val="00200ACA"/>
    <w:pPr>
      <w:spacing w:after="240"/>
    </w:pPr>
    <w:rPr>
      <w:rFonts w:ascii="Arial" w:hAnsi="Arial"/>
      <w:b/>
      <w:sz w:val="32"/>
    </w:rPr>
  </w:style>
  <w:style w:type="paragraph" w:customStyle="1" w:styleId="MemoLine">
    <w:name w:val="Memo Line"/>
    <w:basedOn w:val="BlockLine"/>
    <w:next w:val="Normal"/>
    <w:rsid w:val="00200ACA"/>
    <w:pPr>
      <w:ind w:left="0"/>
    </w:pPr>
  </w:style>
  <w:style w:type="paragraph" w:styleId="Footer">
    <w:name w:val="footer"/>
    <w:basedOn w:val="Normal"/>
    <w:rsid w:val="00200ACA"/>
    <w:pPr>
      <w:tabs>
        <w:tab w:val="center" w:pos="4320"/>
        <w:tab w:val="right" w:pos="8640"/>
      </w:tabs>
    </w:pPr>
  </w:style>
  <w:style w:type="character" w:styleId="PageNumber">
    <w:name w:val="page number"/>
    <w:basedOn w:val="DefaultParagraphFont"/>
    <w:rsid w:val="00200ACA"/>
  </w:style>
  <w:style w:type="paragraph" w:customStyle="1" w:styleId="TableText">
    <w:name w:val="Table Text"/>
    <w:basedOn w:val="Normal"/>
    <w:rsid w:val="00200ACA"/>
  </w:style>
  <w:style w:type="paragraph" w:customStyle="1" w:styleId="NoteText">
    <w:name w:val="Note Text"/>
    <w:basedOn w:val="BlockText"/>
    <w:rsid w:val="00200ACA"/>
  </w:style>
  <w:style w:type="paragraph" w:customStyle="1" w:styleId="TableHeaderText">
    <w:name w:val="Table Header Text"/>
    <w:basedOn w:val="TableText"/>
    <w:rsid w:val="00200ACA"/>
    <w:pPr>
      <w:jc w:val="center"/>
    </w:pPr>
    <w:rPr>
      <w:b/>
    </w:rPr>
  </w:style>
  <w:style w:type="paragraph" w:customStyle="1" w:styleId="EmbeddedText">
    <w:name w:val="Embedded Text"/>
    <w:basedOn w:val="TableText"/>
    <w:rsid w:val="00200ACA"/>
  </w:style>
  <w:style w:type="paragraph" w:styleId="TOC1">
    <w:name w:val="toc 1"/>
    <w:basedOn w:val="Normal"/>
    <w:next w:val="Normal"/>
    <w:autoRedefine/>
    <w:semiHidden/>
    <w:rsid w:val="00200ACA"/>
  </w:style>
  <w:style w:type="paragraph" w:styleId="TOC2">
    <w:name w:val="toc 2"/>
    <w:basedOn w:val="Normal"/>
    <w:next w:val="Normal"/>
    <w:autoRedefine/>
    <w:semiHidden/>
    <w:rsid w:val="00200ACA"/>
    <w:pPr>
      <w:ind w:left="240"/>
    </w:pPr>
  </w:style>
  <w:style w:type="paragraph" w:styleId="TOC3">
    <w:name w:val="toc 3"/>
    <w:basedOn w:val="Normal"/>
    <w:next w:val="Normal"/>
    <w:autoRedefine/>
    <w:semiHidden/>
    <w:rsid w:val="00200ACA"/>
    <w:pPr>
      <w:ind w:left="480"/>
    </w:pPr>
  </w:style>
  <w:style w:type="paragraph" w:styleId="TOC4">
    <w:name w:val="toc 4"/>
    <w:basedOn w:val="Normal"/>
    <w:next w:val="Normal"/>
    <w:autoRedefine/>
    <w:semiHidden/>
    <w:rsid w:val="00200ACA"/>
    <w:pPr>
      <w:ind w:left="720"/>
    </w:pPr>
  </w:style>
  <w:style w:type="paragraph" w:styleId="TOC5">
    <w:name w:val="toc 5"/>
    <w:basedOn w:val="Normal"/>
    <w:next w:val="Normal"/>
    <w:autoRedefine/>
    <w:semiHidden/>
    <w:rsid w:val="00200ACA"/>
    <w:pPr>
      <w:ind w:left="960"/>
    </w:pPr>
  </w:style>
  <w:style w:type="paragraph" w:styleId="TOC6">
    <w:name w:val="toc 6"/>
    <w:basedOn w:val="Normal"/>
    <w:next w:val="Normal"/>
    <w:autoRedefine/>
    <w:semiHidden/>
    <w:rsid w:val="00200ACA"/>
    <w:pPr>
      <w:ind w:left="1200"/>
    </w:pPr>
  </w:style>
  <w:style w:type="paragraph" w:styleId="TOC7">
    <w:name w:val="toc 7"/>
    <w:basedOn w:val="Normal"/>
    <w:next w:val="Normal"/>
    <w:autoRedefine/>
    <w:semiHidden/>
    <w:rsid w:val="00200ACA"/>
    <w:pPr>
      <w:ind w:left="1440"/>
    </w:pPr>
  </w:style>
  <w:style w:type="paragraph" w:styleId="TOC8">
    <w:name w:val="toc 8"/>
    <w:basedOn w:val="Normal"/>
    <w:next w:val="Normal"/>
    <w:autoRedefine/>
    <w:semiHidden/>
    <w:rsid w:val="00200ACA"/>
    <w:pPr>
      <w:ind w:left="1680"/>
    </w:pPr>
  </w:style>
  <w:style w:type="paragraph" w:styleId="TOC9">
    <w:name w:val="toc 9"/>
    <w:basedOn w:val="Normal"/>
    <w:next w:val="Normal"/>
    <w:autoRedefine/>
    <w:semiHidden/>
    <w:rsid w:val="00200ACA"/>
    <w:pPr>
      <w:ind w:left="1920"/>
    </w:pPr>
  </w:style>
  <w:style w:type="paragraph" w:styleId="BodyText">
    <w:name w:val="Body Text"/>
    <w:basedOn w:val="Normal"/>
    <w:rsid w:val="00200ACA"/>
    <w:rPr>
      <w:i/>
      <w:sz w:val="22"/>
    </w:rPr>
  </w:style>
  <w:style w:type="paragraph" w:customStyle="1" w:styleId="DEQCAPTIONS">
    <w:name w:val="(DEQ) CAPTIONS"/>
    <w:basedOn w:val="Normal"/>
    <w:rsid w:val="00E13542"/>
    <w:rPr>
      <w:rFonts w:ascii="Times" w:eastAsia="Times" w:hAnsi="Times"/>
      <w:i/>
      <w:sz w:val="18"/>
    </w:rPr>
  </w:style>
  <w:style w:type="paragraph" w:customStyle="1" w:styleId="DEQSMALLHEADLINES">
    <w:name w:val="(DEQ)SMALL HEADLINES"/>
    <w:basedOn w:val="Normal"/>
    <w:rsid w:val="001109FD"/>
    <w:rPr>
      <w:rFonts w:ascii="Arial" w:eastAsia="Times" w:hAnsi="Arial"/>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CA"/>
    <w:rPr>
      <w:sz w:val="24"/>
    </w:rPr>
  </w:style>
  <w:style w:type="paragraph" w:styleId="Heading1">
    <w:name w:val="heading 1"/>
    <w:aliases w:val="Part"/>
    <w:basedOn w:val="Normal"/>
    <w:next w:val="Heading2"/>
    <w:qFormat/>
    <w:rsid w:val="00200ACA"/>
    <w:pPr>
      <w:spacing w:after="240"/>
      <w:jc w:val="center"/>
      <w:outlineLvl w:val="0"/>
    </w:pPr>
    <w:rPr>
      <w:rFonts w:ascii="Arial" w:hAnsi="Arial"/>
      <w:b/>
      <w:sz w:val="32"/>
    </w:rPr>
  </w:style>
  <w:style w:type="paragraph" w:styleId="Heading2">
    <w:name w:val="heading 2"/>
    <w:aliases w:val="Chapter Title"/>
    <w:basedOn w:val="Normal"/>
    <w:next w:val="Heading4"/>
    <w:qFormat/>
    <w:rsid w:val="00200ACA"/>
    <w:pPr>
      <w:spacing w:after="240"/>
      <w:jc w:val="center"/>
      <w:outlineLvl w:val="1"/>
    </w:pPr>
    <w:rPr>
      <w:rFonts w:ascii="Arial" w:hAnsi="Arial"/>
      <w:b/>
      <w:sz w:val="32"/>
    </w:rPr>
  </w:style>
  <w:style w:type="paragraph" w:styleId="Heading3">
    <w:name w:val="heading 3"/>
    <w:aliases w:val="Section"/>
    <w:basedOn w:val="Normal"/>
    <w:next w:val="Heading4"/>
    <w:qFormat/>
    <w:rsid w:val="00200ACA"/>
    <w:pPr>
      <w:spacing w:after="240"/>
      <w:jc w:val="center"/>
      <w:outlineLvl w:val="2"/>
    </w:pPr>
    <w:rPr>
      <w:rFonts w:ascii="Arial" w:hAnsi="Arial"/>
      <w:b/>
      <w:sz w:val="32"/>
    </w:rPr>
  </w:style>
  <w:style w:type="paragraph" w:styleId="Heading4">
    <w:name w:val="heading 4"/>
    <w:aliases w:val="Map Title"/>
    <w:basedOn w:val="Normal"/>
    <w:next w:val="Normal"/>
    <w:qFormat/>
    <w:rsid w:val="00200ACA"/>
    <w:pPr>
      <w:spacing w:after="240"/>
      <w:outlineLvl w:val="3"/>
    </w:pPr>
    <w:rPr>
      <w:rFonts w:ascii="Arial" w:hAnsi="Arial"/>
      <w:b/>
      <w:sz w:val="32"/>
    </w:rPr>
  </w:style>
  <w:style w:type="paragraph" w:styleId="Heading5">
    <w:name w:val="heading 5"/>
    <w:aliases w:val="Block Label"/>
    <w:basedOn w:val="Normal"/>
    <w:next w:val="Normal"/>
    <w:qFormat/>
    <w:rsid w:val="00200ACA"/>
    <w:pPr>
      <w:outlineLvl w:val="4"/>
    </w:pPr>
    <w:rPr>
      <w:b/>
      <w:sz w:val="22"/>
    </w:rPr>
  </w:style>
  <w:style w:type="paragraph" w:styleId="Heading6">
    <w:name w:val="heading 6"/>
    <w:basedOn w:val="Normal"/>
    <w:next w:val="Normal"/>
    <w:qFormat/>
    <w:rsid w:val="00200ACA"/>
    <w:pPr>
      <w:spacing w:before="240" w:after="60"/>
      <w:outlineLvl w:val="5"/>
    </w:pPr>
    <w:rPr>
      <w:i/>
      <w:sz w:val="22"/>
    </w:rPr>
  </w:style>
  <w:style w:type="paragraph" w:styleId="Heading7">
    <w:name w:val="heading 7"/>
    <w:basedOn w:val="Normal"/>
    <w:next w:val="Normal"/>
    <w:qFormat/>
    <w:rsid w:val="00200ACA"/>
    <w:pPr>
      <w:spacing w:before="240" w:after="60"/>
      <w:outlineLvl w:val="6"/>
    </w:pPr>
    <w:rPr>
      <w:rFonts w:ascii="Arial" w:hAnsi="Arial"/>
      <w:sz w:val="20"/>
    </w:rPr>
  </w:style>
  <w:style w:type="paragraph" w:styleId="Heading8">
    <w:name w:val="heading 8"/>
    <w:basedOn w:val="Normal"/>
    <w:next w:val="Normal"/>
    <w:qFormat/>
    <w:rsid w:val="00200ACA"/>
    <w:pPr>
      <w:spacing w:before="240" w:after="60"/>
      <w:outlineLvl w:val="7"/>
    </w:pPr>
    <w:rPr>
      <w:rFonts w:ascii="Arial" w:hAnsi="Arial"/>
      <w:i/>
      <w:sz w:val="20"/>
    </w:rPr>
  </w:style>
  <w:style w:type="paragraph" w:styleId="Heading9">
    <w:name w:val="heading 9"/>
    <w:basedOn w:val="Normal"/>
    <w:next w:val="Normal"/>
    <w:qFormat/>
    <w:rsid w:val="00200AC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0ACA"/>
    <w:pPr>
      <w:tabs>
        <w:tab w:val="center" w:pos="4320"/>
        <w:tab w:val="right" w:pos="8640"/>
      </w:tabs>
    </w:pPr>
  </w:style>
  <w:style w:type="paragraph" w:styleId="MacroText">
    <w:name w:val="macro"/>
    <w:semiHidden/>
    <w:rsid w:val="00200A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200ACA"/>
    <w:pPr>
      <w:pBdr>
        <w:top w:val="single" w:sz="6" w:space="1" w:color="auto"/>
        <w:between w:val="single" w:sz="6" w:space="1" w:color="auto"/>
      </w:pBdr>
      <w:spacing w:before="240"/>
      <w:ind w:left="1700"/>
    </w:pPr>
  </w:style>
  <w:style w:type="paragraph" w:styleId="BlockText">
    <w:name w:val="Block Text"/>
    <w:basedOn w:val="Normal"/>
    <w:rsid w:val="00200ACA"/>
  </w:style>
  <w:style w:type="paragraph" w:customStyle="1" w:styleId="BulletText1">
    <w:name w:val="Bullet Text 1"/>
    <w:basedOn w:val="Normal"/>
    <w:rsid w:val="00200ACA"/>
    <w:pPr>
      <w:numPr>
        <w:numId w:val="2"/>
      </w:numPr>
      <w:tabs>
        <w:tab w:val="clear" w:pos="360"/>
      </w:tabs>
      <w:ind w:left="187" w:hanging="187"/>
    </w:pPr>
  </w:style>
  <w:style w:type="paragraph" w:customStyle="1" w:styleId="BulletText2">
    <w:name w:val="Bullet Text 2"/>
    <w:basedOn w:val="BulletText1"/>
    <w:rsid w:val="00200ACA"/>
    <w:pPr>
      <w:numPr>
        <w:numId w:val="7"/>
      </w:numPr>
      <w:tabs>
        <w:tab w:val="clear" w:pos="533"/>
      </w:tabs>
    </w:pPr>
  </w:style>
  <w:style w:type="paragraph" w:customStyle="1" w:styleId="ContinuedOnNextPa">
    <w:name w:val="Continued On Next Pa"/>
    <w:basedOn w:val="Normal"/>
    <w:next w:val="Normal"/>
    <w:rsid w:val="00200ACA"/>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200ACA"/>
    <w:rPr>
      <w:sz w:val="22"/>
    </w:rPr>
  </w:style>
  <w:style w:type="paragraph" w:customStyle="1" w:styleId="MapTitleContinued">
    <w:name w:val="Map Title. Continued"/>
    <w:basedOn w:val="Normal"/>
    <w:rsid w:val="00200ACA"/>
    <w:pPr>
      <w:spacing w:after="240"/>
    </w:pPr>
    <w:rPr>
      <w:rFonts w:ascii="Arial" w:hAnsi="Arial"/>
      <w:b/>
      <w:sz w:val="32"/>
    </w:rPr>
  </w:style>
  <w:style w:type="paragraph" w:customStyle="1" w:styleId="MemoLine">
    <w:name w:val="Memo Line"/>
    <w:basedOn w:val="BlockLine"/>
    <w:next w:val="Normal"/>
    <w:rsid w:val="00200ACA"/>
    <w:pPr>
      <w:ind w:left="0"/>
    </w:pPr>
  </w:style>
  <w:style w:type="paragraph" w:styleId="Footer">
    <w:name w:val="footer"/>
    <w:basedOn w:val="Normal"/>
    <w:rsid w:val="00200ACA"/>
    <w:pPr>
      <w:tabs>
        <w:tab w:val="center" w:pos="4320"/>
        <w:tab w:val="right" w:pos="8640"/>
      </w:tabs>
    </w:pPr>
  </w:style>
  <w:style w:type="character" w:styleId="PageNumber">
    <w:name w:val="page number"/>
    <w:basedOn w:val="DefaultParagraphFont"/>
    <w:rsid w:val="00200ACA"/>
  </w:style>
  <w:style w:type="paragraph" w:customStyle="1" w:styleId="TableText">
    <w:name w:val="Table Text"/>
    <w:basedOn w:val="Normal"/>
    <w:rsid w:val="00200ACA"/>
  </w:style>
  <w:style w:type="paragraph" w:customStyle="1" w:styleId="NoteText">
    <w:name w:val="Note Text"/>
    <w:basedOn w:val="BlockText"/>
    <w:rsid w:val="00200ACA"/>
  </w:style>
  <w:style w:type="paragraph" w:customStyle="1" w:styleId="TableHeaderText">
    <w:name w:val="Table Header Text"/>
    <w:basedOn w:val="TableText"/>
    <w:rsid w:val="00200ACA"/>
    <w:pPr>
      <w:jc w:val="center"/>
    </w:pPr>
    <w:rPr>
      <w:b/>
    </w:rPr>
  </w:style>
  <w:style w:type="paragraph" w:customStyle="1" w:styleId="EmbeddedText">
    <w:name w:val="Embedded Text"/>
    <w:basedOn w:val="TableText"/>
    <w:rsid w:val="00200ACA"/>
  </w:style>
  <w:style w:type="paragraph" w:styleId="TOC1">
    <w:name w:val="toc 1"/>
    <w:basedOn w:val="Normal"/>
    <w:next w:val="Normal"/>
    <w:autoRedefine/>
    <w:semiHidden/>
    <w:rsid w:val="00200ACA"/>
  </w:style>
  <w:style w:type="paragraph" w:styleId="TOC2">
    <w:name w:val="toc 2"/>
    <w:basedOn w:val="Normal"/>
    <w:next w:val="Normal"/>
    <w:autoRedefine/>
    <w:semiHidden/>
    <w:rsid w:val="00200ACA"/>
    <w:pPr>
      <w:ind w:left="240"/>
    </w:pPr>
  </w:style>
  <w:style w:type="paragraph" w:styleId="TOC3">
    <w:name w:val="toc 3"/>
    <w:basedOn w:val="Normal"/>
    <w:next w:val="Normal"/>
    <w:autoRedefine/>
    <w:semiHidden/>
    <w:rsid w:val="00200ACA"/>
    <w:pPr>
      <w:ind w:left="480"/>
    </w:pPr>
  </w:style>
  <w:style w:type="paragraph" w:styleId="TOC4">
    <w:name w:val="toc 4"/>
    <w:basedOn w:val="Normal"/>
    <w:next w:val="Normal"/>
    <w:autoRedefine/>
    <w:semiHidden/>
    <w:rsid w:val="00200ACA"/>
    <w:pPr>
      <w:ind w:left="720"/>
    </w:pPr>
  </w:style>
  <w:style w:type="paragraph" w:styleId="TOC5">
    <w:name w:val="toc 5"/>
    <w:basedOn w:val="Normal"/>
    <w:next w:val="Normal"/>
    <w:autoRedefine/>
    <w:semiHidden/>
    <w:rsid w:val="00200ACA"/>
    <w:pPr>
      <w:ind w:left="960"/>
    </w:pPr>
  </w:style>
  <w:style w:type="paragraph" w:styleId="TOC6">
    <w:name w:val="toc 6"/>
    <w:basedOn w:val="Normal"/>
    <w:next w:val="Normal"/>
    <w:autoRedefine/>
    <w:semiHidden/>
    <w:rsid w:val="00200ACA"/>
    <w:pPr>
      <w:ind w:left="1200"/>
    </w:pPr>
  </w:style>
  <w:style w:type="paragraph" w:styleId="TOC7">
    <w:name w:val="toc 7"/>
    <w:basedOn w:val="Normal"/>
    <w:next w:val="Normal"/>
    <w:autoRedefine/>
    <w:semiHidden/>
    <w:rsid w:val="00200ACA"/>
    <w:pPr>
      <w:ind w:left="1440"/>
    </w:pPr>
  </w:style>
  <w:style w:type="paragraph" w:styleId="TOC8">
    <w:name w:val="toc 8"/>
    <w:basedOn w:val="Normal"/>
    <w:next w:val="Normal"/>
    <w:autoRedefine/>
    <w:semiHidden/>
    <w:rsid w:val="00200ACA"/>
    <w:pPr>
      <w:ind w:left="1680"/>
    </w:pPr>
  </w:style>
  <w:style w:type="paragraph" w:styleId="TOC9">
    <w:name w:val="toc 9"/>
    <w:basedOn w:val="Normal"/>
    <w:next w:val="Normal"/>
    <w:autoRedefine/>
    <w:semiHidden/>
    <w:rsid w:val="00200ACA"/>
    <w:pPr>
      <w:ind w:left="1920"/>
    </w:pPr>
  </w:style>
  <w:style w:type="paragraph" w:styleId="BodyText">
    <w:name w:val="Body Text"/>
    <w:basedOn w:val="Normal"/>
    <w:rsid w:val="00200ACA"/>
    <w:rPr>
      <w:i/>
      <w:sz w:val="22"/>
    </w:rPr>
  </w:style>
  <w:style w:type="paragraph" w:customStyle="1" w:styleId="DEQCAPTIONS">
    <w:name w:val="(DEQ) CAPTIONS"/>
    <w:basedOn w:val="Normal"/>
    <w:rsid w:val="00E13542"/>
    <w:rPr>
      <w:rFonts w:ascii="Times" w:eastAsia="Times" w:hAnsi="Times"/>
      <w:i/>
      <w:sz w:val="18"/>
    </w:rPr>
  </w:style>
  <w:style w:type="paragraph" w:customStyle="1" w:styleId="DEQSMALLHEADLINES">
    <w:name w:val="(DEQ)SMALL HEADLINES"/>
    <w:basedOn w:val="Normal"/>
    <w:rsid w:val="001109FD"/>
    <w:rPr>
      <w:rFonts w:ascii="Arial" w:eastAsia="Times" w:hAnsi="Arial"/>
      <w:b/>
      <w:sz w:val="20"/>
    </w:rPr>
  </w:style>
</w:styles>
</file>

<file path=word/webSettings.xml><?xml version="1.0" encoding="utf-8"?>
<w:webSettings xmlns:r="http://schemas.openxmlformats.org/officeDocument/2006/relationships" xmlns:w="http://schemas.openxmlformats.org/wordprocessingml/2006/main">
  <w:divs>
    <w:div w:id="101800662">
      <w:bodyDiv w:val="1"/>
      <w:marLeft w:val="0"/>
      <w:marRight w:val="0"/>
      <w:marTop w:val="0"/>
      <w:marBottom w:val="0"/>
      <w:divBdr>
        <w:top w:val="none" w:sz="0" w:space="0" w:color="auto"/>
        <w:left w:val="none" w:sz="0" w:space="0" w:color="auto"/>
        <w:bottom w:val="none" w:sz="0" w:space="0" w:color="auto"/>
        <w:right w:val="none" w:sz="0" w:space="0" w:color="auto"/>
      </w:divBdr>
    </w:div>
    <w:div w:id="47075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nformation%20Mapping\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infomap</Template>
  <TotalTime>8</TotalTime>
  <Pages>8</Pages>
  <Words>3116</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Start Rulemaking Proposal (SRP)</vt:lpstr>
    </vt:vector>
  </TitlesOfParts>
  <Company>State of Oregon Department of Environmental Quality</Company>
  <LinksUpToDate>false</LinksUpToDate>
  <CharactersWithSpaces>21200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Rulemaking Proposal (SRP)</dc:title>
  <dc:subject>Rulemaking Docket</dc:subject>
  <dc:creator>DEQ</dc:creator>
  <cp:lastModifiedBy>GEberso</cp:lastModifiedBy>
  <cp:revision>3</cp:revision>
  <cp:lastPrinted>2012-01-24T00:30:00Z</cp:lastPrinted>
  <dcterms:created xsi:type="dcterms:W3CDTF">2012-03-02T17:42:00Z</dcterms:created>
  <dcterms:modified xsi:type="dcterms:W3CDTF">2012-03-02T19:24:00Z</dcterms:modified>
</cp:coreProperties>
</file>