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D33" w:rsidRPr="00D6172F" w:rsidRDefault="00540D33" w:rsidP="00540D33">
      <w:pPr>
        <w:spacing w:after="0" w:line="240" w:lineRule="auto"/>
        <w:jc w:val="center"/>
        <w:rPr>
          <w:rFonts w:ascii="Times New Roman" w:hAnsi="Times New Roman" w:cs="Times New Roman"/>
          <w:b/>
        </w:rPr>
      </w:pPr>
      <w:r w:rsidRPr="00D6172F">
        <w:rPr>
          <w:rFonts w:ascii="Times New Roman" w:hAnsi="Times New Roman" w:cs="Times New Roman"/>
          <w:b/>
        </w:rPr>
        <w:t>NESHAP/NSPS Rulemaking</w:t>
      </w:r>
    </w:p>
    <w:p w:rsidR="00272FC9" w:rsidRPr="00D6172F" w:rsidRDefault="003E4DFA" w:rsidP="00540D33">
      <w:pPr>
        <w:spacing w:after="0" w:line="240" w:lineRule="auto"/>
        <w:jc w:val="center"/>
        <w:rPr>
          <w:rFonts w:ascii="Times New Roman" w:hAnsi="Times New Roman" w:cs="Times New Roman"/>
          <w:b/>
        </w:rPr>
      </w:pPr>
      <w:r w:rsidRPr="00D6172F">
        <w:rPr>
          <w:rFonts w:ascii="Times New Roman" w:hAnsi="Times New Roman" w:cs="Times New Roman"/>
          <w:b/>
        </w:rPr>
        <w:t>Implementation Outline</w:t>
      </w:r>
    </w:p>
    <w:p w:rsidR="00540D33" w:rsidRPr="00731717" w:rsidRDefault="00540D33" w:rsidP="00540D33">
      <w:pPr>
        <w:spacing w:after="0" w:line="240" w:lineRule="auto"/>
        <w:jc w:val="center"/>
        <w:rPr>
          <w:b/>
        </w:rPr>
      </w:pPr>
    </w:p>
    <w:p w:rsidR="00A36EF5" w:rsidRPr="00A36EF5" w:rsidRDefault="00A36EF5" w:rsidP="00A36EF5">
      <w:pPr>
        <w:spacing w:after="0" w:line="240" w:lineRule="auto"/>
        <w:rPr>
          <w:rFonts w:ascii="Times New Roman" w:hAnsi="Times New Roman" w:cs="Times New Roman"/>
        </w:rPr>
      </w:pPr>
      <w:r w:rsidRPr="00A36EF5">
        <w:rPr>
          <w:rFonts w:ascii="Times New Roman" w:hAnsi="Times New Roman" w:cs="Times New Roman"/>
        </w:rPr>
        <w:t>The proposed rule changes will update DEQ’s rules to reflect new federal standards and also allow DEQ to: better manage workload; space out permitting; focus on federal standards with the greatest environmental benefit; decline to implement federal standards that are not substantive or that are better implemented by EPA on the federal level; and ensure that the adoption of the area source NESHAP for boilers will not result in any new permittees. The following summarizes the proposed changes.</w:t>
      </w:r>
    </w:p>
    <w:p w:rsidR="00A36EF5" w:rsidRPr="00A36EF5" w:rsidRDefault="00A36EF5" w:rsidP="00A36EF5">
      <w:pPr>
        <w:spacing w:after="0" w:line="240" w:lineRule="auto"/>
        <w:jc w:val="both"/>
        <w:outlineLvl w:val="0"/>
        <w:rPr>
          <w:rFonts w:ascii="Times New Roman" w:eastAsia="Times New Roman" w:hAnsi="Times New Roman" w:cs="Times New Roman"/>
          <w:color w:val="000000"/>
          <w:u w:val="single"/>
        </w:rPr>
      </w:pPr>
    </w:p>
    <w:p w:rsidR="00A36EF5" w:rsidRPr="00A36EF5" w:rsidRDefault="00A36EF5" w:rsidP="00A36EF5">
      <w:pPr>
        <w:spacing w:after="0" w:line="240" w:lineRule="auto"/>
        <w:jc w:val="both"/>
        <w:outlineLvl w:val="0"/>
        <w:rPr>
          <w:rFonts w:ascii="Times New Roman" w:eastAsia="Times New Roman" w:hAnsi="Times New Roman" w:cs="Times New Roman"/>
          <w:color w:val="000000"/>
          <w:u w:val="single"/>
        </w:rPr>
      </w:pPr>
      <w:r w:rsidRPr="00A36EF5">
        <w:rPr>
          <w:rFonts w:ascii="Times New Roman" w:eastAsia="Times New Roman" w:hAnsi="Times New Roman" w:cs="Times New Roman"/>
          <w:color w:val="000000"/>
          <w:u w:val="single"/>
        </w:rPr>
        <w:t>Provide for Better Management of DEQ Workload</w:t>
      </w:r>
    </w:p>
    <w:p w:rsidR="00A36EF5" w:rsidRPr="00A36EF5" w:rsidRDefault="00A36EF5" w:rsidP="00A36EF5">
      <w:pPr>
        <w:pStyle w:val="ListParagraph"/>
        <w:numPr>
          <w:ilvl w:val="0"/>
          <w:numId w:val="5"/>
        </w:num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Change applicable requirement definition to exclude, for Air Contaminant Discharge Permits only, the federal accidental release program, National Emission Standards for Hazardous Air Pollutants, and New Source Performance Standards not adopted by the EQC</w:t>
      </w:r>
    </w:p>
    <w:p w:rsidR="00A36EF5" w:rsidRPr="00A36EF5" w:rsidRDefault="00A36EF5" w:rsidP="00A36EF5">
      <w:pPr>
        <w:pStyle w:val="ListParagraph"/>
        <w:numPr>
          <w:ilvl w:val="0"/>
          <w:numId w:val="5"/>
        </w:num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Require EQC adoption of NSPSs before affected facilities are required to obtain an ACDP permit</w:t>
      </w:r>
    </w:p>
    <w:p w:rsidR="00A36EF5" w:rsidRPr="00A36EF5" w:rsidRDefault="00A36EF5" w:rsidP="00A36EF5">
      <w:pPr>
        <w:pStyle w:val="ListParagraph"/>
        <w:numPr>
          <w:ilvl w:val="0"/>
          <w:numId w:val="5"/>
        </w:num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 xml:space="preserve">Exempt boilers with less than 10 MMBTU per hour heat input and subject to an area source NESHAP from permitting </w:t>
      </w:r>
    </w:p>
    <w:p w:rsidR="00A36EF5" w:rsidRPr="00A36EF5" w:rsidRDefault="00A36EF5" w:rsidP="00A36EF5">
      <w:pPr>
        <w:spacing w:after="0" w:line="240" w:lineRule="auto"/>
        <w:outlineLvl w:val="0"/>
        <w:rPr>
          <w:rFonts w:ascii="Times New Roman" w:eastAsia="Times New Roman" w:hAnsi="Times New Roman" w:cs="Times New Roman"/>
          <w:color w:val="000000"/>
          <w:u w:val="single"/>
        </w:rPr>
      </w:pPr>
    </w:p>
    <w:p w:rsidR="00A36EF5" w:rsidRPr="00A36EF5" w:rsidRDefault="00A36EF5" w:rsidP="00A36EF5">
      <w:pPr>
        <w:spacing w:after="0" w:line="240" w:lineRule="auto"/>
        <w:outlineLvl w:val="0"/>
        <w:rPr>
          <w:rFonts w:ascii="Times New Roman" w:eastAsia="Times New Roman" w:hAnsi="Times New Roman" w:cs="Times New Roman"/>
          <w:color w:val="000000"/>
          <w:u w:val="single"/>
        </w:rPr>
      </w:pPr>
      <w:r w:rsidRPr="00A36EF5">
        <w:rPr>
          <w:rFonts w:ascii="Times New Roman" w:eastAsia="Times New Roman" w:hAnsi="Times New Roman" w:cs="Times New Roman"/>
          <w:color w:val="000000"/>
          <w:u w:val="single"/>
        </w:rPr>
        <w:t>Reduce th</w:t>
      </w:r>
      <w:r>
        <w:rPr>
          <w:rFonts w:ascii="Times New Roman" w:eastAsia="Times New Roman" w:hAnsi="Times New Roman" w:cs="Times New Roman"/>
          <w:color w:val="000000"/>
          <w:u w:val="single"/>
        </w:rPr>
        <w:t>e Regulatory Burden on Business</w:t>
      </w:r>
    </w:p>
    <w:p w:rsidR="00A36EF5" w:rsidRPr="00A36EF5" w:rsidRDefault="00A36EF5" w:rsidP="00A36EF5">
      <w:p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 xml:space="preserve">Exempt from permitting: </w:t>
      </w:r>
    </w:p>
    <w:p w:rsidR="00A36EF5" w:rsidRPr="00A36EF5" w:rsidRDefault="00A36EF5" w:rsidP="00A36EF5">
      <w:pPr>
        <w:pStyle w:val="ListParagraph"/>
        <w:numPr>
          <w:ilvl w:val="0"/>
          <w:numId w:val="5"/>
        </w:num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Facilities affected by a NESHAP or NSPS, but subject to only procedural requirements</w:t>
      </w:r>
    </w:p>
    <w:p w:rsidR="00A36EF5" w:rsidRPr="00A36EF5" w:rsidRDefault="00A36EF5" w:rsidP="00A36EF5">
      <w:pPr>
        <w:pStyle w:val="ListParagraph"/>
        <w:numPr>
          <w:ilvl w:val="0"/>
          <w:numId w:val="5"/>
        </w:num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Chemical manufacturing facilities only subject to work practice standards</w:t>
      </w:r>
    </w:p>
    <w:p w:rsidR="00A36EF5" w:rsidRPr="00A36EF5" w:rsidRDefault="00A36EF5" w:rsidP="00A36EF5">
      <w:pPr>
        <w:pStyle w:val="ListParagraph"/>
        <w:numPr>
          <w:ilvl w:val="0"/>
          <w:numId w:val="5"/>
        </w:num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Mobile equipment surface coating operations using less than 20 gallons of coating per year</w:t>
      </w:r>
    </w:p>
    <w:p w:rsidR="00A36EF5" w:rsidRPr="00A36EF5" w:rsidRDefault="00A36EF5" w:rsidP="00A36EF5">
      <w:pPr>
        <w:spacing w:after="0" w:line="240" w:lineRule="auto"/>
        <w:outlineLvl w:val="0"/>
        <w:rPr>
          <w:rFonts w:ascii="Times New Roman" w:eastAsia="Times New Roman" w:hAnsi="Times New Roman" w:cs="Times New Roman"/>
          <w:color w:val="000000"/>
          <w:u w:val="single"/>
        </w:rPr>
      </w:pPr>
    </w:p>
    <w:p w:rsidR="00A36EF5" w:rsidRPr="00A36EF5" w:rsidRDefault="00A36EF5" w:rsidP="00A36EF5">
      <w:pPr>
        <w:spacing w:after="0" w:line="240" w:lineRule="auto"/>
        <w:jc w:val="both"/>
        <w:outlineLvl w:val="0"/>
        <w:rPr>
          <w:rFonts w:ascii="Times New Roman" w:eastAsia="Times New Roman" w:hAnsi="Times New Roman" w:cs="Times New Roman"/>
          <w:color w:val="000000"/>
          <w:u w:val="single"/>
        </w:rPr>
      </w:pPr>
      <w:r w:rsidRPr="00A36EF5">
        <w:rPr>
          <w:rFonts w:ascii="Times New Roman" w:eastAsia="Times New Roman" w:hAnsi="Times New Roman" w:cs="Times New Roman"/>
          <w:color w:val="000000"/>
          <w:u w:val="single"/>
        </w:rPr>
        <w:t xml:space="preserve">Align Oregon Rules with Changes to Existing Federal Regulations </w:t>
      </w:r>
    </w:p>
    <w:p w:rsidR="00A36EF5" w:rsidRPr="00A36EF5" w:rsidRDefault="00A36EF5" w:rsidP="00A36EF5">
      <w:pPr>
        <w:pStyle w:val="ListParagraph"/>
        <w:numPr>
          <w:ilvl w:val="0"/>
          <w:numId w:val="5"/>
        </w:num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Incorporate changes EPA made to the federal gasoline dispensing facility NESHAP</w:t>
      </w:r>
    </w:p>
    <w:p w:rsidR="00A36EF5" w:rsidRPr="00A36EF5" w:rsidRDefault="00A36EF5" w:rsidP="00A36EF5">
      <w:pPr>
        <w:pStyle w:val="ListParagraph"/>
        <w:numPr>
          <w:ilvl w:val="0"/>
          <w:numId w:val="5"/>
        </w:num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Update the adoption by reference of previously adopted NESHAPs and NSPSs</w:t>
      </w:r>
    </w:p>
    <w:p w:rsidR="00A36EF5" w:rsidRPr="00A36EF5" w:rsidRDefault="00A36EF5" w:rsidP="00A36EF5">
      <w:pPr>
        <w:pStyle w:val="ListParagraph"/>
        <w:numPr>
          <w:ilvl w:val="0"/>
          <w:numId w:val="5"/>
        </w:num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 xml:space="preserve">Adopt rules to implement </w:t>
      </w:r>
      <w:r>
        <w:rPr>
          <w:rFonts w:ascii="Times New Roman" w:eastAsia="Times New Roman" w:hAnsi="Times New Roman" w:cs="Times New Roman"/>
          <w:color w:val="000000"/>
        </w:rPr>
        <w:t xml:space="preserve">the amended </w:t>
      </w:r>
      <w:r w:rsidRPr="00A36EF5">
        <w:rPr>
          <w:rFonts w:ascii="Times New Roman" w:eastAsia="Times New Roman" w:hAnsi="Times New Roman" w:cs="Times New Roman"/>
          <w:color w:val="000000"/>
        </w:rPr>
        <w:t>federal emission guidelines for commercial and industrial solid waste incinerators.</w:t>
      </w:r>
    </w:p>
    <w:p w:rsidR="00A36EF5" w:rsidRDefault="00A36EF5" w:rsidP="00A36EF5">
      <w:pPr>
        <w:spacing w:after="0" w:line="240" w:lineRule="auto"/>
        <w:rPr>
          <w:rFonts w:ascii="Times New Roman" w:hAnsi="Times New Roman" w:cs="Times New Roman"/>
          <w:b/>
        </w:rPr>
      </w:pPr>
    </w:p>
    <w:p w:rsidR="00A36EF5" w:rsidRPr="00A36EF5" w:rsidRDefault="00A36EF5" w:rsidP="00A36EF5">
      <w:pPr>
        <w:spacing w:after="0" w:line="240" w:lineRule="auto"/>
        <w:outlineLvl w:val="0"/>
        <w:rPr>
          <w:rFonts w:ascii="Times New Roman" w:eastAsia="Times New Roman" w:hAnsi="Times New Roman" w:cs="Times New Roman"/>
          <w:color w:val="000000"/>
          <w:u w:val="single"/>
        </w:rPr>
      </w:pPr>
      <w:r w:rsidRPr="00A36EF5">
        <w:rPr>
          <w:rFonts w:ascii="Times New Roman" w:eastAsia="Times New Roman" w:hAnsi="Times New Roman" w:cs="Times New Roman"/>
          <w:color w:val="000000"/>
          <w:u w:val="single"/>
        </w:rPr>
        <w:t>Align Oregon Rules New Federal Regulations</w:t>
      </w:r>
    </w:p>
    <w:p w:rsidR="00A36EF5" w:rsidRPr="00A36EF5" w:rsidRDefault="00A36EF5" w:rsidP="00A36EF5">
      <w:pPr>
        <w:pStyle w:val="ListParagraph"/>
        <w:numPr>
          <w:ilvl w:val="0"/>
          <w:numId w:val="6"/>
        </w:num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 xml:space="preserve">Adopt by reference: </w:t>
      </w:r>
    </w:p>
    <w:p w:rsidR="00A36EF5" w:rsidRDefault="00A36EF5" w:rsidP="00A36EF5">
      <w:pPr>
        <w:pStyle w:val="ListParagraph"/>
        <w:numPr>
          <w:ilvl w:val="1"/>
          <w:numId w:val="6"/>
        </w:numPr>
        <w:spacing w:after="0" w:line="240" w:lineRule="auto"/>
        <w:ind w:left="900"/>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New federal area source NESHAPs for gold mine ore processing and production</w:t>
      </w:r>
    </w:p>
    <w:p w:rsidR="00A36EF5" w:rsidRPr="00A36EF5" w:rsidRDefault="00A36EF5" w:rsidP="00A36EF5">
      <w:pPr>
        <w:pStyle w:val="ListParagraph"/>
        <w:numPr>
          <w:ilvl w:val="1"/>
          <w:numId w:val="6"/>
        </w:numPr>
        <w:spacing w:after="0" w:line="240" w:lineRule="auto"/>
        <w:ind w:left="900"/>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 xml:space="preserve">New federal area source NESHAPs </w:t>
      </w:r>
      <w:r>
        <w:rPr>
          <w:rFonts w:ascii="Times New Roman" w:eastAsia="Times New Roman" w:hAnsi="Times New Roman" w:cs="Times New Roman"/>
          <w:color w:val="000000"/>
        </w:rPr>
        <w:t xml:space="preserve">for </w:t>
      </w:r>
      <w:r w:rsidRPr="00A36EF5">
        <w:rPr>
          <w:rFonts w:ascii="Times New Roman" w:eastAsia="Times New Roman" w:hAnsi="Times New Roman" w:cs="Times New Roman"/>
          <w:color w:val="000000"/>
        </w:rPr>
        <w:t>boilers</w:t>
      </w:r>
    </w:p>
    <w:p w:rsidR="00A36EF5" w:rsidRPr="00A36EF5" w:rsidRDefault="00A36EF5" w:rsidP="00A36EF5">
      <w:pPr>
        <w:pStyle w:val="ListParagraph"/>
        <w:numPr>
          <w:ilvl w:val="1"/>
          <w:numId w:val="6"/>
        </w:numPr>
        <w:spacing w:after="0" w:line="240" w:lineRule="auto"/>
        <w:ind w:left="900"/>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New federal major source NESHAP for boilers and process heaters</w:t>
      </w:r>
    </w:p>
    <w:p w:rsidR="00A36EF5" w:rsidRPr="00A36EF5" w:rsidRDefault="00A36EF5" w:rsidP="00A36EF5">
      <w:pPr>
        <w:pStyle w:val="ListParagraph"/>
        <w:numPr>
          <w:ilvl w:val="1"/>
          <w:numId w:val="6"/>
        </w:numPr>
        <w:spacing w:after="0" w:line="240" w:lineRule="auto"/>
        <w:ind w:left="900"/>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New federal major source NESHAP for electric utility boilers</w:t>
      </w:r>
    </w:p>
    <w:p w:rsidR="00A36EF5" w:rsidRDefault="00A36EF5" w:rsidP="00A36EF5">
      <w:pPr>
        <w:pStyle w:val="ListParagraph"/>
        <w:numPr>
          <w:ilvl w:val="1"/>
          <w:numId w:val="6"/>
        </w:numPr>
        <w:spacing w:after="0" w:line="240" w:lineRule="auto"/>
        <w:ind w:left="900"/>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New federal NSPS for sewage sludge incineration units</w:t>
      </w:r>
    </w:p>
    <w:p w:rsidR="00A36EF5" w:rsidRDefault="00A36EF5" w:rsidP="00A36EF5">
      <w:pPr>
        <w:spacing w:after="0" w:line="240" w:lineRule="auto"/>
        <w:outlineLvl w:val="0"/>
        <w:rPr>
          <w:rFonts w:ascii="Times New Roman" w:eastAsia="Times New Roman" w:hAnsi="Times New Roman" w:cs="Times New Roman"/>
          <w:color w:val="000000"/>
        </w:rPr>
      </w:pPr>
    </w:p>
    <w:p w:rsidR="00A36EF5" w:rsidRPr="00A36EF5" w:rsidRDefault="00A36EF5" w:rsidP="00A36EF5">
      <w:pPr>
        <w:spacing w:after="0" w:line="240" w:lineRule="auto"/>
        <w:outlineLvl w:val="0"/>
        <w:rPr>
          <w:rFonts w:ascii="Times New Roman" w:eastAsia="Times New Roman" w:hAnsi="Times New Roman" w:cs="Times New Roman"/>
          <w:color w:val="000000"/>
          <w:u w:val="single"/>
        </w:rPr>
      </w:pPr>
      <w:bookmarkStart w:id="0" w:name="_GoBack"/>
      <w:bookmarkEnd w:id="0"/>
      <w:r w:rsidRPr="00A36EF5">
        <w:rPr>
          <w:rFonts w:ascii="Times New Roman" w:eastAsia="Times New Roman" w:hAnsi="Times New Roman" w:cs="Times New Roman"/>
          <w:color w:val="000000"/>
          <w:u w:val="single"/>
        </w:rPr>
        <w:t>Clarify and Cleanup Rules</w:t>
      </w:r>
    </w:p>
    <w:p w:rsidR="00A36EF5" w:rsidRPr="00A36EF5" w:rsidRDefault="00A36EF5" w:rsidP="00A36EF5">
      <w:pPr>
        <w:pStyle w:val="ListParagraph"/>
        <w:numPr>
          <w:ilvl w:val="0"/>
          <w:numId w:val="6"/>
        </w:numPr>
        <w:spacing w:after="0" w:line="240" w:lineRule="auto"/>
        <w:outlineLvl w:val="0"/>
        <w:rPr>
          <w:rFonts w:ascii="Times New Roman" w:eastAsia="Times New Roman" w:hAnsi="Times New Roman" w:cs="Times New Roman"/>
          <w:color w:val="000000"/>
        </w:rPr>
      </w:pPr>
      <w:bookmarkStart w:id="1" w:name="RANGE!C34"/>
      <w:r w:rsidRPr="00A36EF5">
        <w:rPr>
          <w:rFonts w:ascii="Times New Roman" w:eastAsia="Times New Roman" w:hAnsi="Times New Roman" w:cs="Times New Roman"/>
          <w:color w:val="000000"/>
        </w:rPr>
        <w:t>Clarify the permitting requirements for metal fabrication and finishing operations</w:t>
      </w:r>
    </w:p>
    <w:p w:rsidR="00A36EF5" w:rsidRPr="00A36EF5" w:rsidRDefault="00A36EF5" w:rsidP="00A36EF5">
      <w:pPr>
        <w:pStyle w:val="ListParagraph"/>
        <w:numPr>
          <w:ilvl w:val="0"/>
          <w:numId w:val="6"/>
        </w:num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Remove redundant general permit fee class assignments for halogenated solvent cleaners</w:t>
      </w:r>
    </w:p>
    <w:p w:rsidR="00A36EF5" w:rsidRPr="00A36EF5" w:rsidRDefault="00A36EF5" w:rsidP="00A36EF5">
      <w:pPr>
        <w:pStyle w:val="ListParagraph"/>
        <w:numPr>
          <w:ilvl w:val="0"/>
          <w:numId w:val="6"/>
        </w:num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 xml:space="preserve">Remove </w:t>
      </w:r>
      <w:r w:rsidR="0033339E">
        <w:rPr>
          <w:rFonts w:ascii="Times New Roman" w:eastAsia="Times New Roman" w:hAnsi="Times New Roman" w:cs="Times New Roman"/>
          <w:color w:val="000000"/>
        </w:rPr>
        <w:t xml:space="preserve">redundant </w:t>
      </w:r>
      <w:r w:rsidRPr="00A36EF5">
        <w:rPr>
          <w:rFonts w:ascii="Times New Roman" w:eastAsia="Times New Roman" w:hAnsi="Times New Roman" w:cs="Times New Roman"/>
          <w:color w:val="000000"/>
        </w:rPr>
        <w:t xml:space="preserve">gasoline dispensing facility submerged requirement in OAR 340 </w:t>
      </w:r>
      <w:r w:rsidR="0033339E">
        <w:rPr>
          <w:rFonts w:ascii="Times New Roman" w:eastAsia="Times New Roman" w:hAnsi="Times New Roman" w:cs="Times New Roman"/>
          <w:color w:val="000000"/>
        </w:rPr>
        <w:t>Division</w:t>
      </w:r>
      <w:r w:rsidRPr="00A36EF5">
        <w:rPr>
          <w:rFonts w:ascii="Times New Roman" w:eastAsia="Times New Roman" w:hAnsi="Times New Roman" w:cs="Times New Roman"/>
          <w:color w:val="000000"/>
        </w:rPr>
        <w:t xml:space="preserve"> 232</w:t>
      </w:r>
    </w:p>
    <w:p w:rsidR="00A36EF5" w:rsidRPr="00A36EF5" w:rsidRDefault="00A36EF5" w:rsidP="00A36EF5">
      <w:pPr>
        <w:pStyle w:val="ListParagraph"/>
        <w:numPr>
          <w:ilvl w:val="0"/>
          <w:numId w:val="6"/>
        </w:numPr>
        <w:spacing w:after="0" w:line="240" w:lineRule="auto"/>
        <w:outlineLvl w:val="0"/>
        <w:rPr>
          <w:rFonts w:ascii="Times New Roman" w:eastAsia="Times New Roman" w:hAnsi="Times New Roman" w:cs="Times New Roman"/>
          <w:color w:val="000000"/>
        </w:rPr>
      </w:pPr>
      <w:r w:rsidRPr="00A36EF5">
        <w:rPr>
          <w:rFonts w:ascii="Times New Roman" w:eastAsia="Times New Roman" w:hAnsi="Times New Roman" w:cs="Times New Roman"/>
          <w:color w:val="000000"/>
        </w:rPr>
        <w:t>Reassign crematories from fee class two to fee class one</w:t>
      </w:r>
    </w:p>
    <w:p w:rsidR="00A36EF5" w:rsidRPr="00A36EF5" w:rsidRDefault="00A36EF5" w:rsidP="00A36EF5">
      <w:pPr>
        <w:pStyle w:val="ListParagraph"/>
        <w:numPr>
          <w:ilvl w:val="0"/>
          <w:numId w:val="6"/>
        </w:numPr>
        <w:spacing w:after="0" w:line="240" w:lineRule="auto"/>
        <w:outlineLvl w:val="0"/>
        <w:rPr>
          <w:rFonts w:ascii="Times New Roman" w:hAnsi="Times New Roman" w:cs="Times New Roman"/>
        </w:rPr>
      </w:pPr>
      <w:r w:rsidRPr="00A36EF5">
        <w:rPr>
          <w:rFonts w:ascii="Times New Roman" w:eastAsia="Times New Roman" w:hAnsi="Times New Roman" w:cs="Times New Roman"/>
          <w:color w:val="000000"/>
        </w:rPr>
        <w:t>Remove the accidental release prevention rule</w:t>
      </w:r>
      <w:bookmarkEnd w:id="1"/>
    </w:p>
    <w:p w:rsidR="00A36EF5" w:rsidRPr="00A36EF5" w:rsidRDefault="00A36EF5" w:rsidP="00A36EF5">
      <w:pPr>
        <w:spacing w:after="0" w:line="240" w:lineRule="auto"/>
        <w:outlineLvl w:val="0"/>
        <w:rPr>
          <w:rFonts w:ascii="Times New Roman" w:hAnsi="Times New Roman" w:cs="Times New Roman"/>
        </w:rPr>
      </w:pPr>
    </w:p>
    <w:p w:rsidR="00A36EF5" w:rsidRPr="00A36EF5" w:rsidRDefault="00A36EF5" w:rsidP="00A36EF5">
      <w:pPr>
        <w:spacing w:after="0" w:line="240" w:lineRule="auto"/>
      </w:pPr>
      <w:r w:rsidRPr="00A36EF5">
        <w:rPr>
          <w:rFonts w:ascii="Times New Roman" w:hAnsi="Times New Roman" w:cs="Times New Roman"/>
        </w:rPr>
        <w:t>These rule changes will further DEQ’s strategic direction to protect Oregonian’s from toxic pollutants by reducing toxic air pollution and risk to public health.</w:t>
      </w:r>
    </w:p>
    <w:p w:rsidR="00A36EF5" w:rsidRDefault="00A36EF5" w:rsidP="00A36EF5">
      <w:pPr>
        <w:spacing w:after="0" w:line="240" w:lineRule="auto"/>
        <w:rPr>
          <w:rFonts w:ascii="Times New Roman" w:hAnsi="Times New Roman" w:cs="Times New Roman"/>
          <w:b/>
        </w:rPr>
      </w:pPr>
    </w:p>
    <w:p w:rsidR="00A36EF5" w:rsidRDefault="00A36EF5">
      <w:pPr>
        <w:rPr>
          <w:rFonts w:ascii="Times New Roman" w:hAnsi="Times New Roman" w:cs="Times New Roman"/>
          <w:b/>
        </w:rPr>
      </w:pPr>
      <w:r>
        <w:rPr>
          <w:rFonts w:ascii="Times New Roman" w:hAnsi="Times New Roman" w:cs="Times New Roman"/>
          <w:b/>
        </w:rPr>
        <w:br w:type="page"/>
      </w:r>
    </w:p>
    <w:p w:rsidR="00540D33" w:rsidRPr="00D6172F" w:rsidRDefault="00540D33" w:rsidP="003E4DFA">
      <w:pPr>
        <w:rPr>
          <w:rFonts w:ascii="Times New Roman" w:hAnsi="Times New Roman" w:cs="Times New Roman"/>
        </w:rPr>
      </w:pPr>
      <w:r w:rsidRPr="00D6172F">
        <w:rPr>
          <w:rFonts w:ascii="Times New Roman" w:hAnsi="Times New Roman" w:cs="Times New Roman"/>
          <w:b/>
        </w:rPr>
        <w:lastRenderedPageBreak/>
        <w:t>Boiler NESHAP for Area Source</w:t>
      </w:r>
    </w:p>
    <w:p w:rsidR="00527C72" w:rsidRDefault="00527C72" w:rsidP="003E4DFA">
      <w:pPr>
        <w:rPr>
          <w:rFonts w:ascii="Times New Roman" w:hAnsi="Times New Roman" w:cs="Times New Roman"/>
        </w:rPr>
      </w:pPr>
      <w:r>
        <w:rPr>
          <w:rFonts w:ascii="Times New Roman" w:hAnsi="Times New Roman" w:cs="Times New Roman"/>
        </w:rPr>
        <w:t>Proposed Action: Adopt NESHAP by reference</w:t>
      </w:r>
    </w:p>
    <w:p w:rsidR="003E4DFA" w:rsidRPr="00D6172F" w:rsidRDefault="003E4DFA" w:rsidP="003E4DFA">
      <w:pPr>
        <w:rPr>
          <w:rFonts w:ascii="Times New Roman" w:hAnsi="Times New Roman" w:cs="Times New Roman"/>
        </w:rPr>
      </w:pPr>
      <w:r w:rsidRPr="00D6172F">
        <w:rPr>
          <w:rFonts w:ascii="Times New Roman" w:hAnsi="Times New Roman" w:cs="Times New Roman"/>
        </w:rPr>
        <w:t>Simple/Standard ACDP – 3</w:t>
      </w:r>
      <w:r w:rsidR="005D0464" w:rsidRPr="00D6172F">
        <w:rPr>
          <w:rFonts w:ascii="Times New Roman" w:hAnsi="Times New Roman" w:cs="Times New Roman"/>
        </w:rPr>
        <w:t>1</w:t>
      </w:r>
      <w:r w:rsidR="00540D33" w:rsidRPr="00D6172F">
        <w:rPr>
          <w:rFonts w:ascii="Times New Roman" w:hAnsi="Times New Roman" w:cs="Times New Roman"/>
        </w:rPr>
        <w:t xml:space="preserve"> permits</w:t>
      </w:r>
    </w:p>
    <w:p w:rsidR="00B22BFB" w:rsidRDefault="00B22BFB" w:rsidP="00DB27EA">
      <w:pPr>
        <w:pStyle w:val="ListParagraph"/>
        <w:numPr>
          <w:ilvl w:val="0"/>
          <w:numId w:val="1"/>
        </w:numPr>
        <w:rPr>
          <w:rFonts w:ascii="Times New Roman" w:hAnsi="Times New Roman" w:cs="Times New Roman"/>
        </w:rPr>
      </w:pPr>
      <w:r w:rsidRPr="00B22BFB">
        <w:rPr>
          <w:rFonts w:ascii="Times New Roman" w:hAnsi="Times New Roman" w:cs="Times New Roman"/>
          <w:u w:val="single"/>
        </w:rPr>
        <w:t>Proposed implementation</w:t>
      </w:r>
    </w:p>
    <w:p w:rsidR="00DB27EA" w:rsidRPr="00D6172F" w:rsidRDefault="00DB27EA" w:rsidP="00B22BFB">
      <w:pPr>
        <w:pStyle w:val="ListParagraph"/>
        <w:numPr>
          <w:ilvl w:val="1"/>
          <w:numId w:val="1"/>
        </w:numPr>
        <w:rPr>
          <w:rFonts w:ascii="Times New Roman" w:hAnsi="Times New Roman" w:cs="Times New Roman"/>
        </w:rPr>
      </w:pPr>
      <w:r w:rsidRPr="00D6172F">
        <w:rPr>
          <w:rFonts w:ascii="Times New Roman" w:hAnsi="Times New Roman" w:cs="Times New Roman"/>
        </w:rPr>
        <w:t>Incorporate NESHAP upon renewal if permit expires before January 1, 2014</w:t>
      </w:r>
    </w:p>
    <w:p w:rsidR="00DB27EA" w:rsidRPr="00D6172F" w:rsidRDefault="00DB27EA" w:rsidP="00B22BFB">
      <w:pPr>
        <w:pStyle w:val="ListParagraph"/>
        <w:numPr>
          <w:ilvl w:val="1"/>
          <w:numId w:val="1"/>
        </w:numPr>
        <w:rPr>
          <w:rFonts w:ascii="Times New Roman" w:hAnsi="Times New Roman" w:cs="Times New Roman"/>
          <w:u w:val="single"/>
        </w:rPr>
      </w:pPr>
      <w:r w:rsidRPr="00D6172F">
        <w:rPr>
          <w:rFonts w:ascii="Times New Roman" w:hAnsi="Times New Roman" w:cs="Times New Roman"/>
        </w:rPr>
        <w:t>Reopen to incorporate NESHAP if permit expires after January 1, 2014</w:t>
      </w:r>
    </w:p>
    <w:p w:rsidR="00DB27EA" w:rsidRPr="00D6172F" w:rsidRDefault="00DB27EA" w:rsidP="00B22BFB">
      <w:pPr>
        <w:pStyle w:val="ListParagraph"/>
        <w:numPr>
          <w:ilvl w:val="1"/>
          <w:numId w:val="1"/>
        </w:numPr>
        <w:rPr>
          <w:rFonts w:ascii="Times New Roman" w:hAnsi="Times New Roman" w:cs="Times New Roman"/>
          <w:u w:val="single"/>
        </w:rPr>
      </w:pPr>
      <w:r w:rsidRPr="00D6172F">
        <w:rPr>
          <w:rFonts w:ascii="Times New Roman" w:hAnsi="Times New Roman" w:cs="Times New Roman"/>
        </w:rPr>
        <w:t>Incorporate NESHAP exemption language upon renewal</w:t>
      </w:r>
    </w:p>
    <w:p w:rsidR="00B22BFB" w:rsidRDefault="00B22BFB" w:rsidP="003E4DFA">
      <w:pPr>
        <w:pStyle w:val="ListParagraph"/>
        <w:numPr>
          <w:ilvl w:val="0"/>
          <w:numId w:val="1"/>
        </w:numPr>
        <w:rPr>
          <w:rFonts w:ascii="Times New Roman" w:hAnsi="Times New Roman" w:cs="Times New Roman"/>
          <w:u w:val="single"/>
        </w:rPr>
      </w:pPr>
      <w:r>
        <w:rPr>
          <w:rFonts w:ascii="Times New Roman" w:hAnsi="Times New Roman" w:cs="Times New Roman"/>
          <w:u w:val="single"/>
        </w:rPr>
        <w:t>Workload</w:t>
      </w:r>
    </w:p>
    <w:p w:rsidR="003E4DFA" w:rsidRPr="00D6172F" w:rsidRDefault="003E4DFA" w:rsidP="00B22BFB">
      <w:pPr>
        <w:pStyle w:val="ListParagraph"/>
        <w:numPr>
          <w:ilvl w:val="1"/>
          <w:numId w:val="1"/>
        </w:numPr>
        <w:rPr>
          <w:rFonts w:ascii="Times New Roman" w:hAnsi="Times New Roman" w:cs="Times New Roman"/>
          <w:u w:val="single"/>
        </w:rPr>
      </w:pPr>
      <w:r w:rsidRPr="00D6172F">
        <w:rPr>
          <w:rFonts w:ascii="Times New Roman" w:hAnsi="Times New Roman" w:cs="Times New Roman"/>
          <w:u w:val="single"/>
        </w:rPr>
        <w:t xml:space="preserve">NESHAP Incorporation </w:t>
      </w:r>
      <w:r w:rsidR="00DE5C53" w:rsidRPr="00D6172F">
        <w:rPr>
          <w:rFonts w:ascii="Times New Roman" w:hAnsi="Times New Roman" w:cs="Times New Roman"/>
          <w:u w:val="single"/>
        </w:rPr>
        <w:t>– primary fuel</w:t>
      </w:r>
      <w:r w:rsidR="00CA5EDF" w:rsidRPr="00D6172F">
        <w:rPr>
          <w:rFonts w:ascii="Times New Roman" w:hAnsi="Times New Roman" w:cs="Times New Roman"/>
          <w:u w:val="single"/>
        </w:rPr>
        <w:t xml:space="preserve"> is biomass or oil</w:t>
      </w:r>
    </w:p>
    <w:p w:rsidR="00DE5C53" w:rsidRPr="00D6172F" w:rsidRDefault="00DE5C53" w:rsidP="00B22BFB">
      <w:pPr>
        <w:pStyle w:val="ListParagraph"/>
        <w:numPr>
          <w:ilvl w:val="2"/>
          <w:numId w:val="1"/>
        </w:numPr>
        <w:rPr>
          <w:rFonts w:ascii="Times New Roman" w:hAnsi="Times New Roman" w:cs="Times New Roman"/>
        </w:rPr>
      </w:pPr>
      <w:r w:rsidRPr="00D6172F">
        <w:rPr>
          <w:rFonts w:ascii="Times New Roman" w:hAnsi="Times New Roman" w:cs="Times New Roman"/>
        </w:rPr>
        <w:t xml:space="preserve">Already incorporated </w:t>
      </w:r>
      <w:r w:rsidR="00B22BFB">
        <w:rPr>
          <w:rFonts w:ascii="Times New Roman" w:hAnsi="Times New Roman" w:cs="Times New Roman"/>
        </w:rPr>
        <w:tab/>
      </w:r>
      <w:r w:rsidRPr="00D6172F">
        <w:rPr>
          <w:rFonts w:ascii="Times New Roman" w:hAnsi="Times New Roman" w:cs="Times New Roman"/>
        </w:rPr>
        <w:t>– 2</w:t>
      </w:r>
    </w:p>
    <w:p w:rsidR="00DE5C53" w:rsidRPr="00D6172F" w:rsidRDefault="00DE5C53" w:rsidP="00B22BFB">
      <w:pPr>
        <w:pStyle w:val="ListParagraph"/>
        <w:numPr>
          <w:ilvl w:val="2"/>
          <w:numId w:val="1"/>
        </w:numPr>
        <w:rPr>
          <w:rFonts w:ascii="Times New Roman" w:hAnsi="Times New Roman" w:cs="Times New Roman"/>
        </w:rPr>
      </w:pPr>
      <w:r w:rsidRPr="00D6172F">
        <w:rPr>
          <w:rFonts w:ascii="Times New Roman" w:hAnsi="Times New Roman" w:cs="Times New Roman"/>
        </w:rPr>
        <w:t xml:space="preserve">Permit expired </w:t>
      </w:r>
      <w:r w:rsidR="00B22BFB">
        <w:rPr>
          <w:rFonts w:ascii="Times New Roman" w:hAnsi="Times New Roman" w:cs="Times New Roman"/>
        </w:rPr>
        <w:tab/>
      </w:r>
      <w:r w:rsidR="00B22BFB">
        <w:rPr>
          <w:rFonts w:ascii="Times New Roman" w:hAnsi="Times New Roman" w:cs="Times New Roman"/>
        </w:rPr>
        <w:tab/>
      </w:r>
      <w:r w:rsidRPr="00D6172F">
        <w:rPr>
          <w:rFonts w:ascii="Times New Roman" w:hAnsi="Times New Roman" w:cs="Times New Roman"/>
        </w:rPr>
        <w:t>– 3</w:t>
      </w:r>
    </w:p>
    <w:p w:rsidR="00DE5C53" w:rsidRPr="00D6172F" w:rsidRDefault="00DE5C53" w:rsidP="00B22BFB">
      <w:pPr>
        <w:pStyle w:val="ListParagraph"/>
        <w:numPr>
          <w:ilvl w:val="2"/>
          <w:numId w:val="1"/>
        </w:numPr>
        <w:rPr>
          <w:rFonts w:ascii="Times New Roman" w:hAnsi="Times New Roman" w:cs="Times New Roman"/>
        </w:rPr>
      </w:pPr>
      <w:r w:rsidRPr="00D6172F">
        <w:rPr>
          <w:rFonts w:ascii="Times New Roman" w:hAnsi="Times New Roman" w:cs="Times New Roman"/>
        </w:rPr>
        <w:t xml:space="preserve">Expiring 2012 </w:t>
      </w:r>
      <w:r w:rsidR="00B22BFB">
        <w:rPr>
          <w:rFonts w:ascii="Times New Roman" w:hAnsi="Times New Roman" w:cs="Times New Roman"/>
        </w:rPr>
        <w:tab/>
      </w:r>
      <w:r w:rsidR="00B22BFB">
        <w:rPr>
          <w:rFonts w:ascii="Times New Roman" w:hAnsi="Times New Roman" w:cs="Times New Roman"/>
        </w:rPr>
        <w:tab/>
      </w:r>
      <w:r w:rsidRPr="00D6172F">
        <w:rPr>
          <w:rFonts w:ascii="Times New Roman" w:hAnsi="Times New Roman" w:cs="Times New Roman"/>
        </w:rPr>
        <w:t xml:space="preserve">– </w:t>
      </w:r>
      <w:r w:rsidR="005D0464" w:rsidRPr="00D6172F">
        <w:rPr>
          <w:rFonts w:ascii="Times New Roman" w:hAnsi="Times New Roman" w:cs="Times New Roman"/>
        </w:rPr>
        <w:t>3</w:t>
      </w:r>
    </w:p>
    <w:p w:rsidR="00DE5C53" w:rsidRPr="00D6172F" w:rsidRDefault="00DE5C53" w:rsidP="00B22BFB">
      <w:pPr>
        <w:pStyle w:val="ListParagraph"/>
        <w:numPr>
          <w:ilvl w:val="2"/>
          <w:numId w:val="1"/>
        </w:numPr>
        <w:rPr>
          <w:rFonts w:ascii="Times New Roman" w:hAnsi="Times New Roman" w:cs="Times New Roman"/>
        </w:rPr>
      </w:pPr>
      <w:r w:rsidRPr="00D6172F">
        <w:rPr>
          <w:rFonts w:ascii="Times New Roman" w:hAnsi="Times New Roman" w:cs="Times New Roman"/>
        </w:rPr>
        <w:t xml:space="preserve">Expiring 2013 </w:t>
      </w:r>
      <w:r w:rsidR="00B22BFB">
        <w:rPr>
          <w:rFonts w:ascii="Times New Roman" w:hAnsi="Times New Roman" w:cs="Times New Roman"/>
        </w:rPr>
        <w:tab/>
      </w:r>
      <w:r w:rsidR="00B22BFB">
        <w:rPr>
          <w:rFonts w:ascii="Times New Roman" w:hAnsi="Times New Roman" w:cs="Times New Roman"/>
        </w:rPr>
        <w:tab/>
      </w:r>
      <w:r w:rsidRPr="00D6172F">
        <w:rPr>
          <w:rFonts w:ascii="Times New Roman" w:hAnsi="Times New Roman" w:cs="Times New Roman"/>
        </w:rPr>
        <w:t>– 3</w:t>
      </w:r>
    </w:p>
    <w:p w:rsidR="003E4DFA" w:rsidRPr="00D6172F" w:rsidRDefault="00DE5C53" w:rsidP="00B22BFB">
      <w:pPr>
        <w:pStyle w:val="ListParagraph"/>
        <w:numPr>
          <w:ilvl w:val="2"/>
          <w:numId w:val="1"/>
        </w:numPr>
        <w:rPr>
          <w:rFonts w:ascii="Times New Roman" w:hAnsi="Times New Roman" w:cs="Times New Roman"/>
        </w:rPr>
      </w:pPr>
      <w:r w:rsidRPr="00D6172F">
        <w:rPr>
          <w:rFonts w:ascii="Times New Roman" w:hAnsi="Times New Roman" w:cs="Times New Roman"/>
        </w:rPr>
        <w:t xml:space="preserve">Expiring after 2013 </w:t>
      </w:r>
      <w:r w:rsidR="00B22BFB">
        <w:rPr>
          <w:rFonts w:ascii="Times New Roman" w:hAnsi="Times New Roman" w:cs="Times New Roman"/>
        </w:rPr>
        <w:tab/>
      </w:r>
      <w:r w:rsidRPr="00D6172F">
        <w:rPr>
          <w:rFonts w:ascii="Times New Roman" w:hAnsi="Times New Roman" w:cs="Times New Roman"/>
        </w:rPr>
        <w:t xml:space="preserve">– </w:t>
      </w:r>
      <w:r w:rsidR="005D0464" w:rsidRPr="00D6172F">
        <w:rPr>
          <w:rFonts w:ascii="Times New Roman" w:hAnsi="Times New Roman" w:cs="Times New Roman"/>
        </w:rPr>
        <w:t>1</w:t>
      </w:r>
    </w:p>
    <w:p w:rsidR="003E4DFA" w:rsidRPr="00D6172F" w:rsidRDefault="003E4DFA" w:rsidP="00B22BFB">
      <w:pPr>
        <w:pStyle w:val="ListParagraph"/>
        <w:numPr>
          <w:ilvl w:val="1"/>
          <w:numId w:val="1"/>
        </w:numPr>
        <w:rPr>
          <w:rFonts w:ascii="Times New Roman" w:hAnsi="Times New Roman" w:cs="Times New Roman"/>
          <w:u w:val="single"/>
        </w:rPr>
      </w:pPr>
      <w:r w:rsidRPr="00D6172F">
        <w:rPr>
          <w:rFonts w:ascii="Times New Roman" w:hAnsi="Times New Roman" w:cs="Times New Roman"/>
          <w:u w:val="single"/>
        </w:rPr>
        <w:t>NESHAP Exemption Incorporation</w:t>
      </w:r>
      <w:r w:rsidR="00DE5C53" w:rsidRPr="00D6172F">
        <w:rPr>
          <w:rFonts w:ascii="Times New Roman" w:hAnsi="Times New Roman" w:cs="Times New Roman"/>
          <w:u w:val="single"/>
        </w:rPr>
        <w:t xml:space="preserve"> – oil backup</w:t>
      </w:r>
    </w:p>
    <w:p w:rsidR="003E4DFA" w:rsidRPr="00D6172F" w:rsidRDefault="003E4DFA" w:rsidP="00B22BFB">
      <w:pPr>
        <w:pStyle w:val="ListParagraph"/>
        <w:numPr>
          <w:ilvl w:val="2"/>
          <w:numId w:val="1"/>
        </w:numPr>
        <w:rPr>
          <w:rFonts w:ascii="Times New Roman" w:hAnsi="Times New Roman" w:cs="Times New Roman"/>
        </w:rPr>
      </w:pPr>
      <w:r w:rsidRPr="00D6172F">
        <w:rPr>
          <w:rFonts w:ascii="Times New Roman" w:hAnsi="Times New Roman" w:cs="Times New Roman"/>
        </w:rPr>
        <w:t xml:space="preserve">Permit expired </w:t>
      </w:r>
      <w:r w:rsidR="00B22BFB">
        <w:rPr>
          <w:rFonts w:ascii="Times New Roman" w:hAnsi="Times New Roman" w:cs="Times New Roman"/>
        </w:rPr>
        <w:tab/>
      </w:r>
      <w:r w:rsidR="00B22BFB">
        <w:rPr>
          <w:rFonts w:ascii="Times New Roman" w:hAnsi="Times New Roman" w:cs="Times New Roman"/>
        </w:rPr>
        <w:tab/>
      </w:r>
      <w:r w:rsidRPr="00D6172F">
        <w:rPr>
          <w:rFonts w:ascii="Times New Roman" w:hAnsi="Times New Roman" w:cs="Times New Roman"/>
        </w:rPr>
        <w:t>– 1</w:t>
      </w:r>
    </w:p>
    <w:p w:rsidR="003E4DFA" w:rsidRPr="00D6172F" w:rsidRDefault="003E4DFA" w:rsidP="00B22BFB">
      <w:pPr>
        <w:pStyle w:val="ListParagraph"/>
        <w:numPr>
          <w:ilvl w:val="2"/>
          <w:numId w:val="1"/>
        </w:numPr>
        <w:rPr>
          <w:rFonts w:ascii="Times New Roman" w:hAnsi="Times New Roman" w:cs="Times New Roman"/>
        </w:rPr>
      </w:pPr>
      <w:r w:rsidRPr="00D6172F">
        <w:rPr>
          <w:rFonts w:ascii="Times New Roman" w:hAnsi="Times New Roman" w:cs="Times New Roman"/>
        </w:rPr>
        <w:t xml:space="preserve">Expiring 2013 </w:t>
      </w:r>
      <w:r w:rsidR="00B22BFB">
        <w:rPr>
          <w:rFonts w:ascii="Times New Roman" w:hAnsi="Times New Roman" w:cs="Times New Roman"/>
        </w:rPr>
        <w:tab/>
      </w:r>
      <w:r w:rsidR="00B22BFB">
        <w:rPr>
          <w:rFonts w:ascii="Times New Roman" w:hAnsi="Times New Roman" w:cs="Times New Roman"/>
        </w:rPr>
        <w:tab/>
      </w:r>
      <w:r w:rsidRPr="00D6172F">
        <w:rPr>
          <w:rFonts w:ascii="Times New Roman" w:hAnsi="Times New Roman" w:cs="Times New Roman"/>
        </w:rPr>
        <w:t>– 3</w:t>
      </w:r>
    </w:p>
    <w:p w:rsidR="00DE5C53" w:rsidRPr="00D6172F" w:rsidRDefault="003E4DFA" w:rsidP="00B22BFB">
      <w:pPr>
        <w:pStyle w:val="ListParagraph"/>
        <w:numPr>
          <w:ilvl w:val="2"/>
          <w:numId w:val="1"/>
        </w:numPr>
        <w:rPr>
          <w:rFonts w:ascii="Times New Roman" w:hAnsi="Times New Roman" w:cs="Times New Roman"/>
        </w:rPr>
      </w:pPr>
      <w:r w:rsidRPr="00D6172F">
        <w:rPr>
          <w:rFonts w:ascii="Times New Roman" w:hAnsi="Times New Roman" w:cs="Times New Roman"/>
        </w:rPr>
        <w:t xml:space="preserve">Expiring after 2013 </w:t>
      </w:r>
      <w:r w:rsidR="00B22BFB">
        <w:rPr>
          <w:rFonts w:ascii="Times New Roman" w:hAnsi="Times New Roman" w:cs="Times New Roman"/>
        </w:rPr>
        <w:tab/>
      </w:r>
      <w:r w:rsidRPr="00D6172F">
        <w:rPr>
          <w:rFonts w:ascii="Times New Roman" w:hAnsi="Times New Roman" w:cs="Times New Roman"/>
        </w:rPr>
        <w:t xml:space="preserve">– </w:t>
      </w:r>
      <w:r w:rsidR="005D0464" w:rsidRPr="00D6172F">
        <w:rPr>
          <w:rFonts w:ascii="Times New Roman" w:hAnsi="Times New Roman" w:cs="Times New Roman"/>
        </w:rPr>
        <w:t>1</w:t>
      </w:r>
    </w:p>
    <w:p w:rsidR="00DE5C53" w:rsidRPr="00D6172F" w:rsidRDefault="00DE5C53" w:rsidP="00B22BFB">
      <w:pPr>
        <w:pStyle w:val="ListParagraph"/>
        <w:numPr>
          <w:ilvl w:val="1"/>
          <w:numId w:val="1"/>
        </w:numPr>
        <w:rPr>
          <w:rFonts w:ascii="Times New Roman" w:hAnsi="Times New Roman" w:cs="Times New Roman"/>
          <w:u w:val="single"/>
        </w:rPr>
      </w:pPr>
      <w:r w:rsidRPr="00D6172F">
        <w:rPr>
          <w:rFonts w:ascii="Times New Roman" w:hAnsi="Times New Roman" w:cs="Times New Roman"/>
          <w:u w:val="single"/>
        </w:rPr>
        <w:t>NESHAP Incorporation</w:t>
      </w:r>
      <w:r w:rsidR="00540D33" w:rsidRPr="00D6172F">
        <w:rPr>
          <w:rFonts w:ascii="Times New Roman" w:hAnsi="Times New Roman" w:cs="Times New Roman"/>
          <w:u w:val="single"/>
        </w:rPr>
        <w:t xml:space="preserve"> or </w:t>
      </w:r>
      <w:r w:rsidRPr="00D6172F">
        <w:rPr>
          <w:rFonts w:ascii="Times New Roman" w:hAnsi="Times New Roman" w:cs="Times New Roman"/>
          <w:u w:val="single"/>
        </w:rPr>
        <w:t>Exemption</w:t>
      </w:r>
      <w:r w:rsidR="00CA5EDF" w:rsidRPr="00D6172F">
        <w:rPr>
          <w:rFonts w:ascii="Times New Roman" w:hAnsi="Times New Roman" w:cs="Times New Roman"/>
          <w:u w:val="single"/>
        </w:rPr>
        <w:t xml:space="preserve"> </w:t>
      </w:r>
      <w:r w:rsidR="00540D33" w:rsidRPr="00D6172F">
        <w:rPr>
          <w:rFonts w:ascii="Times New Roman" w:hAnsi="Times New Roman" w:cs="Times New Roman"/>
          <w:u w:val="single"/>
        </w:rPr>
        <w:t xml:space="preserve">incorporation </w:t>
      </w:r>
      <w:r w:rsidR="00CA5EDF" w:rsidRPr="00D6172F">
        <w:rPr>
          <w:rFonts w:ascii="Times New Roman" w:hAnsi="Times New Roman" w:cs="Times New Roman"/>
          <w:u w:val="single"/>
        </w:rPr>
        <w:t>– oil secondary fuel</w:t>
      </w:r>
    </w:p>
    <w:p w:rsidR="00DE5C53" w:rsidRPr="00D6172F" w:rsidRDefault="00DE5C53" w:rsidP="00B22BFB">
      <w:pPr>
        <w:pStyle w:val="ListParagraph"/>
        <w:numPr>
          <w:ilvl w:val="2"/>
          <w:numId w:val="1"/>
        </w:numPr>
        <w:rPr>
          <w:rFonts w:ascii="Times New Roman" w:hAnsi="Times New Roman" w:cs="Times New Roman"/>
        </w:rPr>
      </w:pPr>
      <w:r w:rsidRPr="00D6172F">
        <w:rPr>
          <w:rFonts w:ascii="Times New Roman" w:hAnsi="Times New Roman" w:cs="Times New Roman"/>
        </w:rPr>
        <w:t xml:space="preserve">Permit expired </w:t>
      </w:r>
      <w:r w:rsidR="00B22BFB">
        <w:rPr>
          <w:rFonts w:ascii="Times New Roman" w:hAnsi="Times New Roman" w:cs="Times New Roman"/>
        </w:rPr>
        <w:tab/>
      </w:r>
      <w:r w:rsidR="00B22BFB">
        <w:rPr>
          <w:rFonts w:ascii="Times New Roman" w:hAnsi="Times New Roman" w:cs="Times New Roman"/>
        </w:rPr>
        <w:tab/>
      </w:r>
      <w:r w:rsidRPr="00D6172F">
        <w:rPr>
          <w:rFonts w:ascii="Times New Roman" w:hAnsi="Times New Roman" w:cs="Times New Roman"/>
        </w:rPr>
        <w:t>– 3</w:t>
      </w:r>
    </w:p>
    <w:p w:rsidR="00DE5C53" w:rsidRPr="00D6172F" w:rsidRDefault="00DE5C53" w:rsidP="00B22BFB">
      <w:pPr>
        <w:pStyle w:val="ListParagraph"/>
        <w:numPr>
          <w:ilvl w:val="2"/>
          <w:numId w:val="1"/>
        </w:numPr>
        <w:rPr>
          <w:rFonts w:ascii="Times New Roman" w:hAnsi="Times New Roman" w:cs="Times New Roman"/>
        </w:rPr>
      </w:pPr>
      <w:r w:rsidRPr="00D6172F">
        <w:rPr>
          <w:rFonts w:ascii="Times New Roman" w:hAnsi="Times New Roman" w:cs="Times New Roman"/>
        </w:rPr>
        <w:t xml:space="preserve">Expiring 2012 </w:t>
      </w:r>
      <w:r w:rsidR="00B22BFB">
        <w:rPr>
          <w:rFonts w:ascii="Times New Roman" w:hAnsi="Times New Roman" w:cs="Times New Roman"/>
        </w:rPr>
        <w:tab/>
      </w:r>
      <w:r w:rsidR="00B22BFB">
        <w:rPr>
          <w:rFonts w:ascii="Times New Roman" w:hAnsi="Times New Roman" w:cs="Times New Roman"/>
        </w:rPr>
        <w:tab/>
      </w:r>
      <w:r w:rsidRPr="00D6172F">
        <w:rPr>
          <w:rFonts w:ascii="Times New Roman" w:hAnsi="Times New Roman" w:cs="Times New Roman"/>
        </w:rPr>
        <w:t>– 2</w:t>
      </w:r>
    </w:p>
    <w:p w:rsidR="00DE5C53" w:rsidRPr="00D6172F" w:rsidRDefault="00DE5C53" w:rsidP="00B22BFB">
      <w:pPr>
        <w:pStyle w:val="ListParagraph"/>
        <w:numPr>
          <w:ilvl w:val="2"/>
          <w:numId w:val="1"/>
        </w:numPr>
        <w:rPr>
          <w:rFonts w:ascii="Times New Roman" w:hAnsi="Times New Roman" w:cs="Times New Roman"/>
        </w:rPr>
      </w:pPr>
      <w:r w:rsidRPr="00D6172F">
        <w:rPr>
          <w:rFonts w:ascii="Times New Roman" w:hAnsi="Times New Roman" w:cs="Times New Roman"/>
        </w:rPr>
        <w:t xml:space="preserve">Expiring 2013 </w:t>
      </w:r>
      <w:r w:rsidR="00B22BFB">
        <w:rPr>
          <w:rFonts w:ascii="Times New Roman" w:hAnsi="Times New Roman" w:cs="Times New Roman"/>
        </w:rPr>
        <w:tab/>
      </w:r>
      <w:r w:rsidR="00B22BFB">
        <w:rPr>
          <w:rFonts w:ascii="Times New Roman" w:hAnsi="Times New Roman" w:cs="Times New Roman"/>
        </w:rPr>
        <w:tab/>
      </w:r>
      <w:r w:rsidRPr="00D6172F">
        <w:rPr>
          <w:rFonts w:ascii="Times New Roman" w:hAnsi="Times New Roman" w:cs="Times New Roman"/>
        </w:rPr>
        <w:t>– 2</w:t>
      </w:r>
    </w:p>
    <w:p w:rsidR="003E4DFA" w:rsidRPr="00D6172F" w:rsidRDefault="00DE5C53" w:rsidP="00B22BFB">
      <w:pPr>
        <w:pStyle w:val="ListParagraph"/>
        <w:numPr>
          <w:ilvl w:val="2"/>
          <w:numId w:val="1"/>
        </w:numPr>
        <w:rPr>
          <w:rFonts w:ascii="Times New Roman" w:hAnsi="Times New Roman" w:cs="Times New Roman"/>
        </w:rPr>
      </w:pPr>
      <w:r w:rsidRPr="00D6172F">
        <w:rPr>
          <w:rFonts w:ascii="Times New Roman" w:hAnsi="Times New Roman" w:cs="Times New Roman"/>
        </w:rPr>
        <w:t xml:space="preserve">Expiring after 2013 </w:t>
      </w:r>
      <w:r w:rsidR="00B22BFB">
        <w:rPr>
          <w:rFonts w:ascii="Times New Roman" w:hAnsi="Times New Roman" w:cs="Times New Roman"/>
        </w:rPr>
        <w:tab/>
      </w:r>
      <w:r w:rsidRPr="00D6172F">
        <w:rPr>
          <w:rFonts w:ascii="Times New Roman" w:hAnsi="Times New Roman" w:cs="Times New Roman"/>
        </w:rPr>
        <w:t xml:space="preserve">– </w:t>
      </w:r>
      <w:r w:rsidR="005D0464" w:rsidRPr="00D6172F">
        <w:rPr>
          <w:rFonts w:ascii="Times New Roman" w:hAnsi="Times New Roman" w:cs="Times New Roman"/>
        </w:rPr>
        <w:t>7</w:t>
      </w:r>
    </w:p>
    <w:p w:rsidR="005D0464" w:rsidRPr="00D6172F" w:rsidRDefault="005D0464" w:rsidP="005D0464">
      <w:pPr>
        <w:rPr>
          <w:rFonts w:ascii="Times New Roman" w:hAnsi="Times New Roman" w:cs="Times New Roman"/>
        </w:rPr>
      </w:pPr>
      <w:r w:rsidRPr="00D6172F">
        <w:rPr>
          <w:rFonts w:ascii="Times New Roman" w:hAnsi="Times New Roman" w:cs="Times New Roman"/>
        </w:rPr>
        <w:t>General ACDP</w:t>
      </w:r>
      <w:r w:rsidR="00540D33" w:rsidRPr="00D6172F">
        <w:rPr>
          <w:rFonts w:ascii="Times New Roman" w:hAnsi="Times New Roman" w:cs="Times New Roman"/>
        </w:rPr>
        <w:t xml:space="preserve"> – 2 permits (137 sources)</w:t>
      </w:r>
    </w:p>
    <w:p w:rsidR="00DB27EA" w:rsidRPr="00D6172F" w:rsidRDefault="00DB27EA" w:rsidP="005D0464">
      <w:pPr>
        <w:pStyle w:val="ListParagraph"/>
        <w:numPr>
          <w:ilvl w:val="0"/>
          <w:numId w:val="2"/>
        </w:numPr>
        <w:rPr>
          <w:rFonts w:ascii="Times New Roman" w:hAnsi="Times New Roman" w:cs="Times New Roman"/>
        </w:rPr>
      </w:pPr>
      <w:r w:rsidRPr="00D6172F">
        <w:rPr>
          <w:rFonts w:ascii="Times New Roman" w:hAnsi="Times New Roman" w:cs="Times New Roman"/>
          <w:u w:val="single"/>
        </w:rPr>
        <w:t>Applicable rule</w:t>
      </w:r>
      <w:r w:rsidRPr="00D6172F">
        <w:rPr>
          <w:rFonts w:ascii="Times New Roman" w:hAnsi="Times New Roman" w:cs="Times New Roman"/>
        </w:rPr>
        <w:t xml:space="preserve"> - D</w:t>
      </w:r>
      <w:r w:rsidR="00F43F9A">
        <w:rPr>
          <w:rFonts w:ascii="Times New Roman" w:hAnsi="Times New Roman" w:cs="Times New Roman"/>
        </w:rPr>
        <w:t>EQ</w:t>
      </w:r>
      <w:r w:rsidRPr="00D6172F">
        <w:rPr>
          <w:rFonts w:ascii="Times New Roman" w:hAnsi="Times New Roman" w:cs="Times New Roman"/>
        </w:rPr>
        <w:t xml:space="preserve"> Initiated Modification. If </w:t>
      </w:r>
      <w:r w:rsidR="00F43F9A">
        <w:rPr>
          <w:rFonts w:ascii="Times New Roman" w:hAnsi="Times New Roman" w:cs="Times New Roman"/>
        </w:rPr>
        <w:t>DEQ</w:t>
      </w:r>
      <w:r w:rsidRPr="00D6172F">
        <w:rPr>
          <w:rFonts w:ascii="Times New Roman" w:hAnsi="Times New Roman" w:cs="Times New Roman"/>
        </w:rPr>
        <w:t xml:space="preserve"> determines that the conditions have changed such that a General ACDP for a category needs to be modified, </w:t>
      </w:r>
      <w:r w:rsidR="00F43F9A">
        <w:rPr>
          <w:rFonts w:ascii="Times New Roman" w:hAnsi="Times New Roman" w:cs="Times New Roman"/>
        </w:rPr>
        <w:t>DEQ</w:t>
      </w:r>
      <w:r w:rsidRPr="00D6172F">
        <w:rPr>
          <w:rFonts w:ascii="Times New Roman" w:hAnsi="Times New Roman" w:cs="Times New Roman"/>
        </w:rPr>
        <w:t xml:space="preserve"> may issue a new General ACDP for that category and assign all existing General ACDP permit holders to the new General ACDP</w:t>
      </w:r>
    </w:p>
    <w:p w:rsidR="00F43F9A" w:rsidRPr="00F43F9A" w:rsidRDefault="00F43F9A" w:rsidP="005D0464">
      <w:pPr>
        <w:pStyle w:val="ListParagraph"/>
        <w:numPr>
          <w:ilvl w:val="0"/>
          <w:numId w:val="2"/>
        </w:numPr>
        <w:rPr>
          <w:rFonts w:ascii="Times New Roman" w:hAnsi="Times New Roman" w:cs="Times New Roman"/>
        </w:rPr>
      </w:pPr>
      <w:r>
        <w:rPr>
          <w:rFonts w:ascii="Times New Roman" w:hAnsi="Times New Roman" w:cs="Times New Roman"/>
          <w:u w:val="single"/>
        </w:rPr>
        <w:t>Proposed implementation</w:t>
      </w:r>
    </w:p>
    <w:p w:rsidR="00DB27EA" w:rsidRPr="00D6172F" w:rsidRDefault="00DB27EA" w:rsidP="00DB27EA">
      <w:pPr>
        <w:pStyle w:val="ListParagraph"/>
        <w:numPr>
          <w:ilvl w:val="1"/>
          <w:numId w:val="2"/>
        </w:numPr>
        <w:rPr>
          <w:rFonts w:ascii="Times New Roman" w:hAnsi="Times New Roman" w:cs="Times New Roman"/>
        </w:rPr>
      </w:pPr>
      <w:r w:rsidRPr="00D6172F">
        <w:rPr>
          <w:rFonts w:ascii="Times New Roman" w:hAnsi="Times New Roman" w:cs="Times New Roman"/>
        </w:rPr>
        <w:t xml:space="preserve">HQ will modify General ACDPs w/ region review </w:t>
      </w:r>
      <w:r w:rsidR="00F43F9A">
        <w:rPr>
          <w:rFonts w:ascii="Times New Roman" w:hAnsi="Times New Roman" w:cs="Times New Roman"/>
        </w:rPr>
        <w:tab/>
      </w:r>
      <w:r w:rsidRPr="00D6172F">
        <w:rPr>
          <w:rFonts w:ascii="Times New Roman" w:hAnsi="Times New Roman" w:cs="Times New Roman"/>
        </w:rPr>
        <w:t xml:space="preserve">(by </w:t>
      </w:r>
      <w:r w:rsidR="00F43F9A">
        <w:rPr>
          <w:rFonts w:ascii="Times New Roman" w:hAnsi="Times New Roman" w:cs="Times New Roman"/>
        </w:rPr>
        <w:t>1</w:t>
      </w:r>
      <w:r w:rsidRPr="00D6172F">
        <w:rPr>
          <w:rFonts w:ascii="Times New Roman" w:hAnsi="Times New Roman" w:cs="Times New Roman"/>
        </w:rPr>
        <w:t>/</w:t>
      </w:r>
      <w:r w:rsidR="00F43F9A">
        <w:rPr>
          <w:rFonts w:ascii="Times New Roman" w:hAnsi="Times New Roman" w:cs="Times New Roman"/>
        </w:rPr>
        <w:t>31</w:t>
      </w:r>
      <w:r w:rsidRPr="00D6172F">
        <w:rPr>
          <w:rFonts w:ascii="Times New Roman" w:hAnsi="Times New Roman" w:cs="Times New Roman"/>
        </w:rPr>
        <w:t>/201</w:t>
      </w:r>
      <w:r w:rsidR="00F43F9A">
        <w:rPr>
          <w:rFonts w:ascii="Times New Roman" w:hAnsi="Times New Roman" w:cs="Times New Roman"/>
        </w:rPr>
        <w:t>3</w:t>
      </w:r>
      <w:r w:rsidRPr="00D6172F">
        <w:rPr>
          <w:rFonts w:ascii="Times New Roman" w:hAnsi="Times New Roman" w:cs="Times New Roman"/>
        </w:rPr>
        <w:t>)</w:t>
      </w:r>
    </w:p>
    <w:p w:rsidR="00DB27EA" w:rsidRPr="00D6172F" w:rsidRDefault="00DB27EA" w:rsidP="00DB27EA">
      <w:pPr>
        <w:pStyle w:val="ListParagraph"/>
        <w:numPr>
          <w:ilvl w:val="1"/>
          <w:numId w:val="2"/>
        </w:numPr>
        <w:rPr>
          <w:rFonts w:ascii="Times New Roman" w:hAnsi="Times New Roman" w:cs="Times New Roman"/>
        </w:rPr>
      </w:pPr>
      <w:r w:rsidRPr="00D6172F">
        <w:rPr>
          <w:rFonts w:ascii="Times New Roman" w:hAnsi="Times New Roman" w:cs="Times New Roman"/>
        </w:rPr>
        <w:t xml:space="preserve">HQ will put General ACDPs through public notice </w:t>
      </w:r>
      <w:r w:rsidR="00F43F9A">
        <w:rPr>
          <w:rFonts w:ascii="Times New Roman" w:hAnsi="Times New Roman" w:cs="Times New Roman"/>
        </w:rPr>
        <w:tab/>
      </w:r>
      <w:r w:rsidRPr="00D6172F">
        <w:rPr>
          <w:rFonts w:ascii="Times New Roman" w:hAnsi="Times New Roman" w:cs="Times New Roman"/>
        </w:rPr>
        <w:t xml:space="preserve">(by </w:t>
      </w:r>
      <w:r w:rsidR="00F43F9A">
        <w:rPr>
          <w:rFonts w:ascii="Times New Roman" w:hAnsi="Times New Roman" w:cs="Times New Roman"/>
        </w:rPr>
        <w:t>3</w:t>
      </w:r>
      <w:r w:rsidRPr="00D6172F">
        <w:rPr>
          <w:rFonts w:ascii="Times New Roman" w:hAnsi="Times New Roman" w:cs="Times New Roman"/>
        </w:rPr>
        <w:t>/2</w:t>
      </w:r>
      <w:r w:rsidR="00F43F9A">
        <w:rPr>
          <w:rFonts w:ascii="Times New Roman" w:hAnsi="Times New Roman" w:cs="Times New Roman"/>
        </w:rPr>
        <w:t>9</w:t>
      </w:r>
      <w:r w:rsidRPr="00D6172F">
        <w:rPr>
          <w:rFonts w:ascii="Times New Roman" w:hAnsi="Times New Roman" w:cs="Times New Roman"/>
        </w:rPr>
        <w:t>/2013)</w:t>
      </w:r>
    </w:p>
    <w:p w:rsidR="00DB27EA" w:rsidRDefault="00DB27EA" w:rsidP="00DB27EA">
      <w:pPr>
        <w:pStyle w:val="ListParagraph"/>
        <w:numPr>
          <w:ilvl w:val="1"/>
          <w:numId w:val="2"/>
        </w:numPr>
        <w:rPr>
          <w:rFonts w:ascii="Times New Roman" w:hAnsi="Times New Roman" w:cs="Times New Roman"/>
        </w:rPr>
      </w:pPr>
      <w:r w:rsidRPr="00D6172F">
        <w:rPr>
          <w:rFonts w:ascii="Times New Roman" w:hAnsi="Times New Roman" w:cs="Times New Roman"/>
        </w:rPr>
        <w:t xml:space="preserve">HQ will issue modified permits </w:t>
      </w:r>
      <w:r w:rsidR="00F43F9A">
        <w:rPr>
          <w:rFonts w:ascii="Times New Roman" w:hAnsi="Times New Roman" w:cs="Times New Roman"/>
        </w:rPr>
        <w:tab/>
      </w:r>
      <w:r w:rsidR="00F43F9A">
        <w:rPr>
          <w:rFonts w:ascii="Times New Roman" w:hAnsi="Times New Roman" w:cs="Times New Roman"/>
        </w:rPr>
        <w:tab/>
      </w:r>
      <w:r w:rsidR="00F43F9A">
        <w:rPr>
          <w:rFonts w:ascii="Times New Roman" w:hAnsi="Times New Roman" w:cs="Times New Roman"/>
        </w:rPr>
        <w:tab/>
      </w:r>
      <w:r w:rsidR="00F43F9A">
        <w:rPr>
          <w:rFonts w:ascii="Times New Roman" w:hAnsi="Times New Roman" w:cs="Times New Roman"/>
        </w:rPr>
        <w:tab/>
      </w:r>
      <w:r w:rsidRPr="00D6172F">
        <w:rPr>
          <w:rFonts w:ascii="Times New Roman" w:hAnsi="Times New Roman" w:cs="Times New Roman"/>
        </w:rPr>
        <w:t xml:space="preserve">(by </w:t>
      </w:r>
      <w:r w:rsidR="00F43F9A">
        <w:rPr>
          <w:rFonts w:ascii="Times New Roman" w:hAnsi="Times New Roman" w:cs="Times New Roman"/>
        </w:rPr>
        <w:t>4</w:t>
      </w:r>
      <w:r w:rsidRPr="00D6172F">
        <w:rPr>
          <w:rFonts w:ascii="Times New Roman" w:hAnsi="Times New Roman" w:cs="Times New Roman"/>
        </w:rPr>
        <w:t>/</w:t>
      </w:r>
      <w:r w:rsidR="00F43F9A">
        <w:rPr>
          <w:rFonts w:ascii="Times New Roman" w:hAnsi="Times New Roman" w:cs="Times New Roman"/>
        </w:rPr>
        <w:t>30</w:t>
      </w:r>
      <w:r w:rsidRPr="00D6172F">
        <w:rPr>
          <w:rFonts w:ascii="Times New Roman" w:hAnsi="Times New Roman" w:cs="Times New Roman"/>
        </w:rPr>
        <w:t>/2013)</w:t>
      </w:r>
    </w:p>
    <w:p w:rsidR="00207AF0" w:rsidRPr="00F43F9A" w:rsidRDefault="00207AF0" w:rsidP="00207AF0">
      <w:pPr>
        <w:pStyle w:val="ListParagraph"/>
        <w:numPr>
          <w:ilvl w:val="1"/>
          <w:numId w:val="2"/>
        </w:numPr>
        <w:rPr>
          <w:rFonts w:ascii="Times New Roman" w:hAnsi="Times New Roman" w:cs="Times New Roman"/>
        </w:rPr>
      </w:pPr>
      <w:r w:rsidRPr="00F43F9A">
        <w:rPr>
          <w:rFonts w:ascii="Times New Roman" w:hAnsi="Times New Roman" w:cs="Times New Roman"/>
        </w:rPr>
        <w:t xml:space="preserve">No </w:t>
      </w:r>
      <w:r>
        <w:rPr>
          <w:rFonts w:ascii="Times New Roman" w:hAnsi="Times New Roman" w:cs="Times New Roman"/>
        </w:rPr>
        <w:t xml:space="preserve">permit </w:t>
      </w:r>
      <w:r w:rsidRPr="00F43F9A">
        <w:rPr>
          <w:rFonts w:ascii="Times New Roman" w:hAnsi="Times New Roman" w:cs="Times New Roman"/>
        </w:rPr>
        <w:t>application required</w:t>
      </w:r>
    </w:p>
    <w:p w:rsidR="00DB27EA" w:rsidRDefault="00DB27EA" w:rsidP="00DB27EA">
      <w:pPr>
        <w:pStyle w:val="ListParagraph"/>
        <w:numPr>
          <w:ilvl w:val="1"/>
          <w:numId w:val="2"/>
        </w:numPr>
        <w:rPr>
          <w:rFonts w:ascii="Times New Roman" w:hAnsi="Times New Roman" w:cs="Times New Roman"/>
        </w:rPr>
      </w:pPr>
      <w:r w:rsidRPr="00D6172F">
        <w:rPr>
          <w:rFonts w:ascii="Times New Roman" w:hAnsi="Times New Roman" w:cs="Times New Roman"/>
        </w:rPr>
        <w:t xml:space="preserve">Regions will reassign sources to General ACDPs </w:t>
      </w:r>
      <w:r w:rsidR="00F43F9A">
        <w:rPr>
          <w:rFonts w:ascii="Times New Roman" w:hAnsi="Times New Roman" w:cs="Times New Roman"/>
        </w:rPr>
        <w:tab/>
      </w:r>
      <w:r w:rsidRPr="00D6172F">
        <w:rPr>
          <w:rFonts w:ascii="Times New Roman" w:hAnsi="Times New Roman" w:cs="Times New Roman"/>
        </w:rPr>
        <w:t xml:space="preserve">(by </w:t>
      </w:r>
      <w:r w:rsidR="00540D33" w:rsidRPr="00D6172F">
        <w:rPr>
          <w:rFonts w:ascii="Times New Roman" w:hAnsi="Times New Roman" w:cs="Times New Roman"/>
        </w:rPr>
        <w:t>1</w:t>
      </w:r>
      <w:r w:rsidRPr="00D6172F">
        <w:rPr>
          <w:rFonts w:ascii="Times New Roman" w:hAnsi="Times New Roman" w:cs="Times New Roman"/>
        </w:rPr>
        <w:t>/1/201</w:t>
      </w:r>
      <w:r w:rsidR="00540D33" w:rsidRPr="00D6172F">
        <w:rPr>
          <w:rFonts w:ascii="Times New Roman" w:hAnsi="Times New Roman" w:cs="Times New Roman"/>
        </w:rPr>
        <w:t>4</w:t>
      </w:r>
      <w:r w:rsidRPr="00D6172F">
        <w:rPr>
          <w:rFonts w:ascii="Times New Roman" w:hAnsi="Times New Roman" w:cs="Times New Roman"/>
        </w:rPr>
        <w:t>)</w:t>
      </w:r>
    </w:p>
    <w:p w:rsidR="00F43F9A" w:rsidRPr="005B7864" w:rsidRDefault="005B7864" w:rsidP="005B7864">
      <w:pPr>
        <w:pStyle w:val="ListParagraph"/>
        <w:numPr>
          <w:ilvl w:val="0"/>
          <w:numId w:val="2"/>
        </w:numPr>
        <w:rPr>
          <w:rFonts w:ascii="Times New Roman" w:hAnsi="Times New Roman" w:cs="Times New Roman"/>
          <w:u w:val="single"/>
        </w:rPr>
      </w:pPr>
      <w:r w:rsidRPr="005B7864">
        <w:rPr>
          <w:rFonts w:ascii="Times New Roman" w:hAnsi="Times New Roman" w:cs="Times New Roman"/>
          <w:u w:val="single"/>
        </w:rPr>
        <w:t>Workload</w:t>
      </w:r>
    </w:p>
    <w:p w:rsidR="00731717" w:rsidRPr="00D6172F" w:rsidRDefault="002F5A50" w:rsidP="005B7864">
      <w:pPr>
        <w:pStyle w:val="ListParagraph"/>
        <w:numPr>
          <w:ilvl w:val="1"/>
          <w:numId w:val="2"/>
        </w:numPr>
        <w:rPr>
          <w:rFonts w:ascii="Times New Roman" w:hAnsi="Times New Roman" w:cs="Times New Roman"/>
        </w:rPr>
      </w:pPr>
      <w:r w:rsidRPr="00D6172F">
        <w:rPr>
          <w:rFonts w:ascii="Times New Roman" w:hAnsi="Times New Roman" w:cs="Times New Roman"/>
        </w:rPr>
        <w:t>Sawmill</w:t>
      </w:r>
      <w:r w:rsidR="00F43F9A">
        <w:rPr>
          <w:rFonts w:ascii="Times New Roman" w:hAnsi="Times New Roman" w:cs="Times New Roman"/>
        </w:rPr>
        <w:t>s</w:t>
      </w:r>
      <w:r w:rsidRPr="00D6172F">
        <w:rPr>
          <w:rFonts w:ascii="Times New Roman" w:hAnsi="Times New Roman" w:cs="Times New Roman"/>
        </w:rPr>
        <w:t>/Millwork</w:t>
      </w:r>
    </w:p>
    <w:p w:rsidR="00731717" w:rsidRPr="00D6172F" w:rsidRDefault="00731717" w:rsidP="005B7864">
      <w:pPr>
        <w:pStyle w:val="ListParagraph"/>
        <w:numPr>
          <w:ilvl w:val="2"/>
          <w:numId w:val="2"/>
        </w:numPr>
        <w:rPr>
          <w:rFonts w:ascii="Times New Roman" w:hAnsi="Times New Roman" w:cs="Times New Roman"/>
        </w:rPr>
      </w:pPr>
      <w:r w:rsidRPr="00D6172F">
        <w:rPr>
          <w:rFonts w:ascii="Times New Roman" w:hAnsi="Times New Roman" w:cs="Times New Roman"/>
        </w:rPr>
        <w:t>ER</w:t>
      </w:r>
      <w:r w:rsidR="00F43F9A">
        <w:rPr>
          <w:rFonts w:ascii="Times New Roman" w:hAnsi="Times New Roman" w:cs="Times New Roman"/>
        </w:rPr>
        <w:tab/>
      </w:r>
      <w:r w:rsidR="00F43F9A">
        <w:rPr>
          <w:rFonts w:ascii="Times New Roman" w:hAnsi="Times New Roman" w:cs="Times New Roman"/>
        </w:rPr>
        <w:tab/>
      </w:r>
      <w:r w:rsidR="00F43F9A" w:rsidRPr="00D6172F">
        <w:rPr>
          <w:rFonts w:ascii="Times New Roman" w:hAnsi="Times New Roman" w:cs="Times New Roman"/>
        </w:rPr>
        <w:t>–</w:t>
      </w:r>
      <w:r w:rsidR="00F43F9A">
        <w:rPr>
          <w:rFonts w:ascii="Times New Roman" w:hAnsi="Times New Roman" w:cs="Times New Roman"/>
        </w:rPr>
        <w:t xml:space="preserve"> </w:t>
      </w:r>
      <w:r w:rsidRPr="00D6172F">
        <w:rPr>
          <w:rFonts w:ascii="Times New Roman" w:hAnsi="Times New Roman" w:cs="Times New Roman"/>
        </w:rPr>
        <w:t>12</w:t>
      </w:r>
    </w:p>
    <w:p w:rsidR="00731717" w:rsidRPr="00D6172F" w:rsidRDefault="00731717" w:rsidP="005B7864">
      <w:pPr>
        <w:pStyle w:val="ListParagraph"/>
        <w:numPr>
          <w:ilvl w:val="2"/>
          <w:numId w:val="2"/>
        </w:numPr>
        <w:rPr>
          <w:rFonts w:ascii="Times New Roman" w:hAnsi="Times New Roman" w:cs="Times New Roman"/>
        </w:rPr>
      </w:pPr>
      <w:r w:rsidRPr="00D6172F">
        <w:rPr>
          <w:rFonts w:ascii="Times New Roman" w:hAnsi="Times New Roman" w:cs="Times New Roman"/>
        </w:rPr>
        <w:t xml:space="preserve">NWR </w:t>
      </w:r>
      <w:r w:rsidR="00F43F9A">
        <w:rPr>
          <w:rFonts w:ascii="Times New Roman" w:hAnsi="Times New Roman" w:cs="Times New Roman"/>
        </w:rPr>
        <w:tab/>
      </w:r>
      <w:r w:rsidR="00F43F9A">
        <w:rPr>
          <w:rFonts w:ascii="Times New Roman" w:hAnsi="Times New Roman" w:cs="Times New Roman"/>
        </w:rPr>
        <w:tab/>
        <w:t xml:space="preserve">– </w:t>
      </w:r>
      <w:r w:rsidRPr="00D6172F">
        <w:rPr>
          <w:rFonts w:ascii="Times New Roman" w:hAnsi="Times New Roman" w:cs="Times New Roman"/>
        </w:rPr>
        <w:t>19</w:t>
      </w:r>
    </w:p>
    <w:p w:rsidR="00731717" w:rsidRPr="00D6172F" w:rsidRDefault="00731717" w:rsidP="005B7864">
      <w:pPr>
        <w:pStyle w:val="ListParagraph"/>
        <w:numPr>
          <w:ilvl w:val="2"/>
          <w:numId w:val="2"/>
        </w:numPr>
        <w:rPr>
          <w:rFonts w:ascii="Times New Roman" w:hAnsi="Times New Roman" w:cs="Times New Roman"/>
        </w:rPr>
      </w:pPr>
      <w:r w:rsidRPr="00D6172F">
        <w:rPr>
          <w:rFonts w:ascii="Times New Roman" w:hAnsi="Times New Roman" w:cs="Times New Roman"/>
        </w:rPr>
        <w:t xml:space="preserve">WR </w:t>
      </w:r>
      <w:r w:rsidR="00F43F9A">
        <w:rPr>
          <w:rFonts w:ascii="Times New Roman" w:hAnsi="Times New Roman" w:cs="Times New Roman"/>
        </w:rPr>
        <w:tab/>
      </w:r>
      <w:r w:rsidR="00F43F9A">
        <w:rPr>
          <w:rFonts w:ascii="Times New Roman" w:hAnsi="Times New Roman" w:cs="Times New Roman"/>
        </w:rPr>
        <w:tab/>
        <w:t xml:space="preserve">– </w:t>
      </w:r>
      <w:r w:rsidR="00540D33" w:rsidRPr="00D6172F">
        <w:rPr>
          <w:rFonts w:ascii="Times New Roman" w:hAnsi="Times New Roman" w:cs="Times New Roman"/>
        </w:rPr>
        <w:t>27</w:t>
      </w:r>
    </w:p>
    <w:p w:rsidR="002F5A50" w:rsidRPr="00D6172F" w:rsidRDefault="002F5A50" w:rsidP="005B7864">
      <w:pPr>
        <w:pStyle w:val="ListParagraph"/>
        <w:numPr>
          <w:ilvl w:val="1"/>
          <w:numId w:val="2"/>
        </w:numPr>
        <w:rPr>
          <w:rFonts w:ascii="Times New Roman" w:hAnsi="Times New Roman" w:cs="Times New Roman"/>
        </w:rPr>
      </w:pPr>
      <w:r w:rsidRPr="00D6172F">
        <w:rPr>
          <w:rFonts w:ascii="Times New Roman" w:hAnsi="Times New Roman" w:cs="Times New Roman"/>
        </w:rPr>
        <w:t>Boiler</w:t>
      </w:r>
      <w:r w:rsidR="00D6172F">
        <w:rPr>
          <w:rFonts w:ascii="Times New Roman" w:hAnsi="Times New Roman" w:cs="Times New Roman"/>
        </w:rPr>
        <w:t>s</w:t>
      </w:r>
    </w:p>
    <w:p w:rsidR="00731717" w:rsidRPr="00D6172F" w:rsidRDefault="00731717" w:rsidP="005B7864">
      <w:pPr>
        <w:pStyle w:val="ListParagraph"/>
        <w:numPr>
          <w:ilvl w:val="2"/>
          <w:numId w:val="2"/>
        </w:numPr>
        <w:rPr>
          <w:rFonts w:ascii="Times New Roman" w:hAnsi="Times New Roman" w:cs="Times New Roman"/>
        </w:rPr>
      </w:pPr>
      <w:r w:rsidRPr="00D6172F">
        <w:rPr>
          <w:rFonts w:ascii="Times New Roman" w:hAnsi="Times New Roman" w:cs="Times New Roman"/>
        </w:rPr>
        <w:t xml:space="preserve">ER </w:t>
      </w:r>
      <w:r w:rsidR="00F43F9A">
        <w:rPr>
          <w:rFonts w:ascii="Times New Roman" w:hAnsi="Times New Roman" w:cs="Times New Roman"/>
        </w:rPr>
        <w:tab/>
      </w:r>
      <w:r w:rsidR="00F43F9A">
        <w:rPr>
          <w:rFonts w:ascii="Times New Roman" w:hAnsi="Times New Roman" w:cs="Times New Roman"/>
        </w:rPr>
        <w:tab/>
        <w:t xml:space="preserve">– </w:t>
      </w:r>
      <w:r w:rsidR="00540D33" w:rsidRPr="00D6172F">
        <w:rPr>
          <w:rFonts w:ascii="Times New Roman" w:hAnsi="Times New Roman" w:cs="Times New Roman"/>
        </w:rPr>
        <w:t>9</w:t>
      </w:r>
    </w:p>
    <w:p w:rsidR="00731717" w:rsidRPr="00D6172F" w:rsidRDefault="00731717" w:rsidP="005B7864">
      <w:pPr>
        <w:pStyle w:val="ListParagraph"/>
        <w:numPr>
          <w:ilvl w:val="2"/>
          <w:numId w:val="2"/>
        </w:numPr>
        <w:rPr>
          <w:rFonts w:ascii="Times New Roman" w:hAnsi="Times New Roman" w:cs="Times New Roman"/>
        </w:rPr>
      </w:pPr>
      <w:r w:rsidRPr="00D6172F">
        <w:rPr>
          <w:rFonts w:ascii="Times New Roman" w:hAnsi="Times New Roman" w:cs="Times New Roman"/>
        </w:rPr>
        <w:t xml:space="preserve">NWR </w:t>
      </w:r>
      <w:r w:rsidR="00F43F9A">
        <w:rPr>
          <w:rFonts w:ascii="Times New Roman" w:hAnsi="Times New Roman" w:cs="Times New Roman"/>
        </w:rPr>
        <w:tab/>
      </w:r>
      <w:r w:rsidR="00F43F9A">
        <w:rPr>
          <w:rFonts w:ascii="Times New Roman" w:hAnsi="Times New Roman" w:cs="Times New Roman"/>
        </w:rPr>
        <w:tab/>
        <w:t xml:space="preserve">– </w:t>
      </w:r>
      <w:r w:rsidR="00540D33" w:rsidRPr="00D6172F">
        <w:rPr>
          <w:rFonts w:ascii="Times New Roman" w:hAnsi="Times New Roman" w:cs="Times New Roman"/>
        </w:rPr>
        <w:t>40</w:t>
      </w:r>
    </w:p>
    <w:p w:rsidR="003E4DFA" w:rsidRPr="00D6172F" w:rsidRDefault="00731717" w:rsidP="005B7864">
      <w:pPr>
        <w:pStyle w:val="ListParagraph"/>
        <w:numPr>
          <w:ilvl w:val="2"/>
          <w:numId w:val="2"/>
        </w:numPr>
        <w:rPr>
          <w:rFonts w:ascii="Times New Roman" w:hAnsi="Times New Roman" w:cs="Times New Roman"/>
        </w:rPr>
      </w:pPr>
      <w:r w:rsidRPr="00D6172F">
        <w:rPr>
          <w:rFonts w:ascii="Times New Roman" w:hAnsi="Times New Roman" w:cs="Times New Roman"/>
        </w:rPr>
        <w:t xml:space="preserve">WR </w:t>
      </w:r>
      <w:r w:rsidR="00F43F9A">
        <w:rPr>
          <w:rFonts w:ascii="Times New Roman" w:hAnsi="Times New Roman" w:cs="Times New Roman"/>
        </w:rPr>
        <w:tab/>
      </w:r>
      <w:r w:rsidR="00F43F9A">
        <w:rPr>
          <w:rFonts w:ascii="Times New Roman" w:hAnsi="Times New Roman" w:cs="Times New Roman"/>
        </w:rPr>
        <w:tab/>
      </w:r>
      <w:r w:rsidR="00F43F9A" w:rsidRPr="00D6172F">
        <w:rPr>
          <w:rFonts w:ascii="Times New Roman" w:hAnsi="Times New Roman" w:cs="Times New Roman"/>
        </w:rPr>
        <w:t>–</w:t>
      </w:r>
      <w:r w:rsidR="00F43F9A">
        <w:rPr>
          <w:rFonts w:ascii="Times New Roman" w:hAnsi="Times New Roman" w:cs="Times New Roman"/>
        </w:rPr>
        <w:t xml:space="preserve"> </w:t>
      </w:r>
      <w:r w:rsidR="00540D33" w:rsidRPr="00D6172F">
        <w:rPr>
          <w:rFonts w:ascii="Times New Roman" w:hAnsi="Times New Roman" w:cs="Times New Roman"/>
        </w:rPr>
        <w:t>30</w:t>
      </w:r>
    </w:p>
    <w:p w:rsidR="00F43F9A" w:rsidRDefault="00F43F9A" w:rsidP="004F7DA5">
      <w:pPr>
        <w:rPr>
          <w:rFonts w:ascii="Times New Roman" w:hAnsi="Times New Roman" w:cs="Times New Roman"/>
          <w:b/>
        </w:rPr>
      </w:pPr>
    </w:p>
    <w:p w:rsidR="00A36EF5" w:rsidRDefault="00A36EF5">
      <w:pPr>
        <w:rPr>
          <w:rFonts w:ascii="Times New Roman" w:hAnsi="Times New Roman" w:cs="Times New Roman"/>
          <w:b/>
        </w:rPr>
      </w:pPr>
      <w:r>
        <w:rPr>
          <w:rFonts w:ascii="Times New Roman" w:hAnsi="Times New Roman" w:cs="Times New Roman"/>
          <w:b/>
        </w:rPr>
        <w:br w:type="page"/>
      </w:r>
    </w:p>
    <w:p w:rsidR="004F7DA5" w:rsidRDefault="004F7DA5" w:rsidP="009E409C">
      <w:pPr>
        <w:spacing w:after="120"/>
        <w:rPr>
          <w:rFonts w:ascii="Times New Roman" w:hAnsi="Times New Roman" w:cs="Times New Roman"/>
          <w:b/>
        </w:rPr>
      </w:pPr>
      <w:r w:rsidRPr="00D6172F">
        <w:rPr>
          <w:rFonts w:ascii="Times New Roman" w:hAnsi="Times New Roman" w:cs="Times New Roman"/>
          <w:b/>
        </w:rPr>
        <w:lastRenderedPageBreak/>
        <w:t>Prepared Feeds NESHAP for Area Sources</w:t>
      </w:r>
    </w:p>
    <w:p w:rsidR="00527C72" w:rsidRDefault="00527C72" w:rsidP="009E409C">
      <w:pPr>
        <w:spacing w:after="120"/>
        <w:rPr>
          <w:rFonts w:ascii="Times New Roman" w:hAnsi="Times New Roman" w:cs="Times New Roman"/>
        </w:rPr>
      </w:pPr>
      <w:r>
        <w:rPr>
          <w:rFonts w:ascii="Times New Roman" w:hAnsi="Times New Roman" w:cs="Times New Roman"/>
        </w:rPr>
        <w:t>Proposed Action: Adopt amended NESHAP by reference</w:t>
      </w:r>
    </w:p>
    <w:p w:rsidR="00527C72" w:rsidRPr="00527C72" w:rsidRDefault="00527C72" w:rsidP="00527C72">
      <w:pPr>
        <w:rPr>
          <w:rFonts w:ascii="Times New Roman" w:hAnsi="Times New Roman" w:cs="Times New Roman"/>
        </w:rPr>
      </w:pPr>
      <w:r>
        <w:rPr>
          <w:rFonts w:ascii="Times New Roman" w:hAnsi="Times New Roman" w:cs="Times New Roman"/>
        </w:rPr>
        <w:t>What amendments do: Change requirement that pelleting operations cyclones at existing plants achieve 95% control to a requirement that they are operated and maintained according to manufacturer’s instructions.</w:t>
      </w:r>
    </w:p>
    <w:p w:rsidR="00D6172F" w:rsidRPr="00D6172F" w:rsidRDefault="00D6172F" w:rsidP="00D6172F">
      <w:pPr>
        <w:pStyle w:val="ListParagraph"/>
        <w:numPr>
          <w:ilvl w:val="0"/>
          <w:numId w:val="2"/>
        </w:numPr>
        <w:rPr>
          <w:rFonts w:ascii="Times New Roman" w:hAnsi="Times New Roman" w:cs="Times New Roman"/>
        </w:rPr>
      </w:pPr>
      <w:r w:rsidRPr="00D6172F">
        <w:rPr>
          <w:rFonts w:ascii="Times New Roman" w:hAnsi="Times New Roman" w:cs="Times New Roman"/>
          <w:u w:val="single"/>
        </w:rPr>
        <w:t>Applicable rule</w:t>
      </w:r>
      <w:r w:rsidRPr="00D6172F">
        <w:rPr>
          <w:rFonts w:ascii="Times New Roman" w:hAnsi="Times New Roman" w:cs="Times New Roman"/>
        </w:rPr>
        <w:t xml:space="preserve"> - Department Initiated Modification. If the Department determines that the conditions have changed such that a General ACDP for a category needs to be modified, the Department may issue a new General ACDP for that category and assign all existing General ACDP permit holders to the new General ACDP</w:t>
      </w:r>
    </w:p>
    <w:p w:rsidR="005B7864" w:rsidRPr="005B7864" w:rsidRDefault="005B7864" w:rsidP="00D6172F">
      <w:pPr>
        <w:pStyle w:val="ListParagraph"/>
        <w:numPr>
          <w:ilvl w:val="0"/>
          <w:numId w:val="2"/>
        </w:numPr>
        <w:rPr>
          <w:rFonts w:ascii="Times New Roman" w:hAnsi="Times New Roman" w:cs="Times New Roman"/>
          <w:u w:val="single"/>
        </w:rPr>
      </w:pPr>
      <w:r w:rsidRPr="005B7864">
        <w:rPr>
          <w:rFonts w:ascii="Times New Roman" w:hAnsi="Times New Roman" w:cs="Times New Roman"/>
          <w:u w:val="single"/>
        </w:rPr>
        <w:t>Proposed implementation</w:t>
      </w:r>
    </w:p>
    <w:p w:rsidR="00D6172F" w:rsidRPr="005B7864" w:rsidRDefault="00D6172F" w:rsidP="005B7864">
      <w:pPr>
        <w:pStyle w:val="ListParagraph"/>
        <w:numPr>
          <w:ilvl w:val="1"/>
          <w:numId w:val="2"/>
        </w:numPr>
        <w:rPr>
          <w:rFonts w:ascii="Times New Roman" w:hAnsi="Times New Roman" w:cs="Times New Roman"/>
        </w:rPr>
      </w:pPr>
      <w:r w:rsidRPr="005B7864">
        <w:rPr>
          <w:rFonts w:ascii="Times New Roman" w:hAnsi="Times New Roman" w:cs="Times New Roman"/>
        </w:rPr>
        <w:t>Issuing modified permits</w:t>
      </w:r>
    </w:p>
    <w:p w:rsidR="00D6172F" w:rsidRPr="00D6172F" w:rsidRDefault="00D6172F" w:rsidP="005B7864">
      <w:pPr>
        <w:pStyle w:val="ListParagraph"/>
        <w:numPr>
          <w:ilvl w:val="2"/>
          <w:numId w:val="2"/>
        </w:numPr>
        <w:rPr>
          <w:rFonts w:ascii="Times New Roman" w:hAnsi="Times New Roman" w:cs="Times New Roman"/>
        </w:rPr>
      </w:pPr>
      <w:r w:rsidRPr="00D6172F">
        <w:rPr>
          <w:rFonts w:ascii="Times New Roman" w:hAnsi="Times New Roman" w:cs="Times New Roman"/>
        </w:rPr>
        <w:t xml:space="preserve">HQ will modify General ACDPs w/ region review </w:t>
      </w:r>
      <w:r w:rsidR="005B7864">
        <w:rPr>
          <w:rFonts w:ascii="Times New Roman" w:hAnsi="Times New Roman" w:cs="Times New Roman"/>
        </w:rPr>
        <w:tab/>
      </w:r>
      <w:r w:rsidRPr="00D6172F">
        <w:rPr>
          <w:rFonts w:ascii="Times New Roman" w:hAnsi="Times New Roman" w:cs="Times New Roman"/>
        </w:rPr>
        <w:t>(by 12/31/2012)</w:t>
      </w:r>
    </w:p>
    <w:p w:rsidR="00D6172F" w:rsidRPr="00D6172F" w:rsidRDefault="00D6172F" w:rsidP="005B7864">
      <w:pPr>
        <w:pStyle w:val="ListParagraph"/>
        <w:numPr>
          <w:ilvl w:val="2"/>
          <w:numId w:val="2"/>
        </w:numPr>
        <w:rPr>
          <w:rFonts w:ascii="Times New Roman" w:hAnsi="Times New Roman" w:cs="Times New Roman"/>
        </w:rPr>
      </w:pPr>
      <w:r w:rsidRPr="00D6172F">
        <w:rPr>
          <w:rFonts w:ascii="Times New Roman" w:hAnsi="Times New Roman" w:cs="Times New Roman"/>
        </w:rPr>
        <w:t xml:space="preserve">HQ will put General ACDPs through public notice </w:t>
      </w:r>
      <w:r w:rsidR="005B7864">
        <w:rPr>
          <w:rFonts w:ascii="Times New Roman" w:hAnsi="Times New Roman" w:cs="Times New Roman"/>
        </w:rPr>
        <w:tab/>
      </w:r>
      <w:r w:rsidRPr="00D6172F">
        <w:rPr>
          <w:rFonts w:ascii="Times New Roman" w:hAnsi="Times New Roman" w:cs="Times New Roman"/>
        </w:rPr>
        <w:t>(by 2/28/2013)</w:t>
      </w:r>
    </w:p>
    <w:p w:rsidR="00D6172F" w:rsidRPr="00D6172F" w:rsidRDefault="00D6172F" w:rsidP="005B7864">
      <w:pPr>
        <w:pStyle w:val="ListParagraph"/>
        <w:numPr>
          <w:ilvl w:val="2"/>
          <w:numId w:val="2"/>
        </w:numPr>
        <w:rPr>
          <w:rFonts w:ascii="Times New Roman" w:hAnsi="Times New Roman" w:cs="Times New Roman"/>
        </w:rPr>
      </w:pPr>
      <w:r w:rsidRPr="00D6172F">
        <w:rPr>
          <w:rFonts w:ascii="Times New Roman" w:hAnsi="Times New Roman" w:cs="Times New Roman"/>
        </w:rPr>
        <w:t xml:space="preserve">HQ will issue modified permits </w:t>
      </w:r>
      <w:r w:rsidR="005B7864">
        <w:rPr>
          <w:rFonts w:ascii="Times New Roman" w:hAnsi="Times New Roman" w:cs="Times New Roman"/>
        </w:rPr>
        <w:tab/>
      </w:r>
      <w:r w:rsidR="005B7864">
        <w:rPr>
          <w:rFonts w:ascii="Times New Roman" w:hAnsi="Times New Roman" w:cs="Times New Roman"/>
        </w:rPr>
        <w:tab/>
      </w:r>
      <w:r w:rsidR="005B7864">
        <w:rPr>
          <w:rFonts w:ascii="Times New Roman" w:hAnsi="Times New Roman" w:cs="Times New Roman"/>
        </w:rPr>
        <w:tab/>
      </w:r>
      <w:r w:rsidR="005B7864">
        <w:rPr>
          <w:rFonts w:ascii="Times New Roman" w:hAnsi="Times New Roman" w:cs="Times New Roman"/>
        </w:rPr>
        <w:tab/>
      </w:r>
      <w:r w:rsidRPr="00D6172F">
        <w:rPr>
          <w:rFonts w:ascii="Times New Roman" w:hAnsi="Times New Roman" w:cs="Times New Roman"/>
        </w:rPr>
        <w:t>(by 4/1/2013)</w:t>
      </w:r>
    </w:p>
    <w:p w:rsidR="00207AF0" w:rsidRPr="005B7864" w:rsidRDefault="00207AF0" w:rsidP="00207AF0">
      <w:pPr>
        <w:pStyle w:val="ListParagraph"/>
        <w:numPr>
          <w:ilvl w:val="2"/>
          <w:numId w:val="2"/>
        </w:numPr>
        <w:rPr>
          <w:rFonts w:ascii="Times New Roman" w:hAnsi="Times New Roman" w:cs="Times New Roman"/>
        </w:rPr>
      </w:pPr>
      <w:r w:rsidRPr="005B7864">
        <w:rPr>
          <w:rFonts w:ascii="Times New Roman" w:hAnsi="Times New Roman" w:cs="Times New Roman"/>
        </w:rPr>
        <w:t xml:space="preserve">No </w:t>
      </w:r>
      <w:r>
        <w:rPr>
          <w:rFonts w:ascii="Times New Roman" w:hAnsi="Times New Roman" w:cs="Times New Roman"/>
        </w:rPr>
        <w:t xml:space="preserve">permit </w:t>
      </w:r>
      <w:r w:rsidRPr="005B7864">
        <w:rPr>
          <w:rFonts w:ascii="Times New Roman" w:hAnsi="Times New Roman" w:cs="Times New Roman"/>
        </w:rPr>
        <w:t>application required</w:t>
      </w:r>
    </w:p>
    <w:p w:rsidR="00D6172F" w:rsidRPr="00D6172F" w:rsidRDefault="00D6172F" w:rsidP="005B7864">
      <w:pPr>
        <w:pStyle w:val="ListParagraph"/>
        <w:numPr>
          <w:ilvl w:val="2"/>
          <w:numId w:val="2"/>
        </w:numPr>
        <w:rPr>
          <w:rFonts w:ascii="Times New Roman" w:hAnsi="Times New Roman" w:cs="Times New Roman"/>
        </w:rPr>
      </w:pPr>
      <w:r w:rsidRPr="00D6172F">
        <w:rPr>
          <w:rFonts w:ascii="Times New Roman" w:hAnsi="Times New Roman" w:cs="Times New Roman"/>
        </w:rPr>
        <w:t xml:space="preserve">Regions will reassign sources to General ACDPs </w:t>
      </w:r>
      <w:r w:rsidR="005B7864">
        <w:rPr>
          <w:rFonts w:ascii="Times New Roman" w:hAnsi="Times New Roman" w:cs="Times New Roman"/>
        </w:rPr>
        <w:tab/>
      </w:r>
      <w:r w:rsidRPr="00D6172F">
        <w:rPr>
          <w:rFonts w:ascii="Times New Roman" w:hAnsi="Times New Roman" w:cs="Times New Roman"/>
        </w:rPr>
        <w:t>(by 1/1/2014)</w:t>
      </w:r>
    </w:p>
    <w:p w:rsidR="005B7864" w:rsidRPr="005B7864" w:rsidRDefault="005B7864" w:rsidP="005B7864">
      <w:pPr>
        <w:pStyle w:val="ListParagraph"/>
        <w:numPr>
          <w:ilvl w:val="0"/>
          <w:numId w:val="2"/>
        </w:numPr>
        <w:rPr>
          <w:rFonts w:ascii="Times New Roman" w:hAnsi="Times New Roman" w:cs="Times New Roman"/>
          <w:u w:val="single"/>
        </w:rPr>
      </w:pPr>
      <w:r w:rsidRPr="005B7864">
        <w:rPr>
          <w:rFonts w:ascii="Times New Roman" w:hAnsi="Times New Roman" w:cs="Times New Roman"/>
          <w:u w:val="single"/>
        </w:rPr>
        <w:t>Workload</w:t>
      </w:r>
    </w:p>
    <w:p w:rsidR="00D6172F" w:rsidRPr="00D6172F" w:rsidRDefault="00D6172F" w:rsidP="005B7864">
      <w:pPr>
        <w:pStyle w:val="ListParagraph"/>
        <w:numPr>
          <w:ilvl w:val="1"/>
          <w:numId w:val="2"/>
        </w:numPr>
        <w:rPr>
          <w:rFonts w:ascii="Times New Roman" w:hAnsi="Times New Roman" w:cs="Times New Roman"/>
        </w:rPr>
      </w:pPr>
      <w:r>
        <w:rPr>
          <w:rFonts w:ascii="Times New Roman" w:hAnsi="Times New Roman" w:cs="Times New Roman"/>
        </w:rPr>
        <w:t>Sources</w:t>
      </w:r>
      <w:r w:rsidRPr="00D6172F">
        <w:rPr>
          <w:rFonts w:ascii="Times New Roman" w:hAnsi="Times New Roman" w:cs="Times New Roman"/>
        </w:rPr>
        <w:t xml:space="preserve"> – </w:t>
      </w:r>
      <w:r>
        <w:rPr>
          <w:rFonts w:ascii="Times New Roman" w:hAnsi="Times New Roman" w:cs="Times New Roman"/>
        </w:rPr>
        <w:t>13</w:t>
      </w:r>
    </w:p>
    <w:p w:rsidR="00D6172F" w:rsidRPr="00D6172F" w:rsidRDefault="00D6172F" w:rsidP="005B7864">
      <w:pPr>
        <w:pStyle w:val="ListParagraph"/>
        <w:numPr>
          <w:ilvl w:val="2"/>
          <w:numId w:val="2"/>
        </w:numPr>
        <w:rPr>
          <w:rFonts w:ascii="Times New Roman" w:hAnsi="Times New Roman" w:cs="Times New Roman"/>
        </w:rPr>
      </w:pPr>
      <w:r w:rsidRPr="00D6172F">
        <w:rPr>
          <w:rFonts w:ascii="Times New Roman" w:hAnsi="Times New Roman" w:cs="Times New Roman"/>
        </w:rPr>
        <w:t>ER - 2</w:t>
      </w:r>
    </w:p>
    <w:p w:rsidR="00D6172F" w:rsidRPr="00D6172F" w:rsidRDefault="00D6172F" w:rsidP="005B7864">
      <w:pPr>
        <w:pStyle w:val="ListParagraph"/>
        <w:numPr>
          <w:ilvl w:val="2"/>
          <w:numId w:val="2"/>
        </w:numPr>
        <w:rPr>
          <w:rFonts w:ascii="Times New Roman" w:hAnsi="Times New Roman" w:cs="Times New Roman"/>
        </w:rPr>
      </w:pPr>
      <w:r w:rsidRPr="00D6172F">
        <w:rPr>
          <w:rFonts w:ascii="Times New Roman" w:hAnsi="Times New Roman" w:cs="Times New Roman"/>
        </w:rPr>
        <w:t xml:space="preserve">NWR - </w:t>
      </w:r>
      <w:r>
        <w:rPr>
          <w:rFonts w:ascii="Times New Roman" w:hAnsi="Times New Roman" w:cs="Times New Roman"/>
        </w:rPr>
        <w:t>4</w:t>
      </w:r>
    </w:p>
    <w:p w:rsidR="00D6172F" w:rsidRDefault="00D6172F" w:rsidP="005B7864">
      <w:pPr>
        <w:pStyle w:val="ListParagraph"/>
        <w:numPr>
          <w:ilvl w:val="2"/>
          <w:numId w:val="2"/>
        </w:numPr>
        <w:rPr>
          <w:rFonts w:ascii="Times New Roman" w:hAnsi="Times New Roman" w:cs="Times New Roman"/>
        </w:rPr>
      </w:pPr>
      <w:r w:rsidRPr="00D6172F">
        <w:rPr>
          <w:rFonts w:ascii="Times New Roman" w:hAnsi="Times New Roman" w:cs="Times New Roman"/>
        </w:rPr>
        <w:t xml:space="preserve">WR </w:t>
      </w:r>
      <w:r w:rsidR="00527C72">
        <w:rPr>
          <w:rFonts w:ascii="Times New Roman" w:hAnsi="Times New Roman" w:cs="Times New Roman"/>
        </w:rPr>
        <w:t>–</w:t>
      </w:r>
      <w:r w:rsidRPr="00D6172F">
        <w:rPr>
          <w:rFonts w:ascii="Times New Roman" w:hAnsi="Times New Roman" w:cs="Times New Roman"/>
        </w:rPr>
        <w:t xml:space="preserve"> </w:t>
      </w:r>
      <w:r>
        <w:rPr>
          <w:rFonts w:ascii="Times New Roman" w:hAnsi="Times New Roman" w:cs="Times New Roman"/>
        </w:rPr>
        <w:t>7</w:t>
      </w:r>
    </w:p>
    <w:p w:rsidR="00527C72" w:rsidRPr="00527C72" w:rsidRDefault="00527C72" w:rsidP="009E409C">
      <w:pPr>
        <w:spacing w:after="120"/>
        <w:rPr>
          <w:rFonts w:ascii="Times New Roman" w:hAnsi="Times New Roman" w:cs="Times New Roman"/>
          <w:b/>
        </w:rPr>
      </w:pPr>
      <w:r w:rsidRPr="00527C72">
        <w:rPr>
          <w:rFonts w:ascii="Times New Roman" w:hAnsi="Times New Roman" w:cs="Times New Roman"/>
          <w:b/>
        </w:rPr>
        <w:t>Gasoline Dispensing Facility NESHAP</w:t>
      </w:r>
    </w:p>
    <w:p w:rsidR="00D6172F" w:rsidRDefault="00527C72" w:rsidP="009E409C">
      <w:pPr>
        <w:spacing w:after="120"/>
        <w:rPr>
          <w:rFonts w:ascii="Times New Roman" w:hAnsi="Times New Roman" w:cs="Times New Roman"/>
        </w:rPr>
      </w:pPr>
      <w:r w:rsidRPr="00527C72">
        <w:rPr>
          <w:rFonts w:ascii="Times New Roman" w:hAnsi="Times New Roman" w:cs="Times New Roman"/>
        </w:rPr>
        <w:t xml:space="preserve">Proposed Action: </w:t>
      </w:r>
      <w:r>
        <w:rPr>
          <w:rFonts w:ascii="Times New Roman" w:hAnsi="Times New Roman" w:cs="Times New Roman"/>
        </w:rPr>
        <w:t>Incorporate changes made to NESHAP that extend the standards to facilities that dispense gasoline into non-road vehicles and engines.</w:t>
      </w:r>
    </w:p>
    <w:p w:rsidR="005B7864" w:rsidRPr="005B7864" w:rsidRDefault="005B7864" w:rsidP="00527C72">
      <w:pPr>
        <w:pStyle w:val="ListParagraph"/>
        <w:numPr>
          <w:ilvl w:val="0"/>
          <w:numId w:val="2"/>
        </w:numPr>
        <w:rPr>
          <w:rFonts w:ascii="Times New Roman" w:hAnsi="Times New Roman" w:cs="Times New Roman"/>
        </w:rPr>
      </w:pPr>
      <w:r>
        <w:rPr>
          <w:rFonts w:ascii="Times New Roman" w:hAnsi="Times New Roman" w:cs="Times New Roman"/>
          <w:u w:val="single"/>
        </w:rPr>
        <w:t>Proposed implementation</w:t>
      </w:r>
    </w:p>
    <w:p w:rsidR="00527C72" w:rsidRDefault="00166F11" w:rsidP="005B7864">
      <w:pPr>
        <w:pStyle w:val="ListParagraph"/>
        <w:numPr>
          <w:ilvl w:val="1"/>
          <w:numId w:val="2"/>
        </w:numPr>
        <w:rPr>
          <w:rFonts w:ascii="Times New Roman" w:hAnsi="Times New Roman" w:cs="Times New Roman"/>
        </w:rPr>
      </w:pPr>
      <w:r w:rsidRPr="005B7864">
        <w:rPr>
          <w:rFonts w:ascii="Times New Roman" w:hAnsi="Times New Roman" w:cs="Times New Roman"/>
        </w:rPr>
        <w:t>Modifying permits</w:t>
      </w:r>
      <w:r>
        <w:rPr>
          <w:rFonts w:ascii="Times New Roman" w:hAnsi="Times New Roman" w:cs="Times New Roman"/>
        </w:rPr>
        <w:t xml:space="preserve"> – Minor changes are needed based on a previous rulemaking. However, because of workload considerations, those changes will not be made at this time.</w:t>
      </w:r>
    </w:p>
    <w:p w:rsidR="005B7864" w:rsidRDefault="005B7864" w:rsidP="005B7864">
      <w:pPr>
        <w:pStyle w:val="ListParagraph"/>
        <w:numPr>
          <w:ilvl w:val="1"/>
          <w:numId w:val="2"/>
        </w:numPr>
        <w:rPr>
          <w:rFonts w:ascii="Times New Roman" w:hAnsi="Times New Roman" w:cs="Times New Roman"/>
        </w:rPr>
      </w:pPr>
      <w:r w:rsidRPr="005B7864">
        <w:rPr>
          <w:rFonts w:ascii="Times New Roman" w:hAnsi="Times New Roman" w:cs="Times New Roman"/>
        </w:rPr>
        <w:t>Identifying affected sources</w:t>
      </w:r>
    </w:p>
    <w:p w:rsidR="005B7864" w:rsidRDefault="005B7864" w:rsidP="005B7864">
      <w:pPr>
        <w:pStyle w:val="ListParagraph"/>
        <w:numPr>
          <w:ilvl w:val="2"/>
          <w:numId w:val="2"/>
        </w:numPr>
        <w:rPr>
          <w:rFonts w:ascii="Times New Roman" w:hAnsi="Times New Roman" w:cs="Times New Roman"/>
        </w:rPr>
      </w:pPr>
      <w:r w:rsidRPr="005B7864">
        <w:rPr>
          <w:rFonts w:ascii="Times New Roman" w:hAnsi="Times New Roman" w:cs="Times New Roman"/>
        </w:rPr>
        <w:t xml:space="preserve">HQ will send Initial Notification form </w:t>
      </w:r>
      <w:r w:rsidRPr="005B786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7864">
        <w:rPr>
          <w:rFonts w:ascii="Times New Roman" w:hAnsi="Times New Roman" w:cs="Times New Roman"/>
        </w:rPr>
        <w:t>(</w:t>
      </w:r>
      <w:r>
        <w:rPr>
          <w:rFonts w:ascii="Times New Roman" w:hAnsi="Times New Roman" w:cs="Times New Roman"/>
        </w:rPr>
        <w:t xml:space="preserve">in </w:t>
      </w:r>
      <w:r w:rsidRPr="005B7864">
        <w:rPr>
          <w:rFonts w:ascii="Times New Roman" w:hAnsi="Times New Roman" w:cs="Times New Roman"/>
        </w:rPr>
        <w:t>February 2013)</w:t>
      </w:r>
    </w:p>
    <w:p w:rsidR="000E4BA4" w:rsidRPr="005B7864" w:rsidRDefault="000E4BA4" w:rsidP="000E4BA4">
      <w:pPr>
        <w:pStyle w:val="ListParagraph"/>
        <w:numPr>
          <w:ilvl w:val="1"/>
          <w:numId w:val="2"/>
        </w:numPr>
        <w:rPr>
          <w:rFonts w:ascii="Times New Roman" w:hAnsi="Times New Roman" w:cs="Times New Roman"/>
        </w:rPr>
      </w:pPr>
      <w:r>
        <w:rPr>
          <w:rFonts w:ascii="Times New Roman" w:hAnsi="Times New Roman" w:cs="Times New Roman"/>
        </w:rPr>
        <w:t>Permitting</w:t>
      </w:r>
    </w:p>
    <w:p w:rsidR="005B7864" w:rsidRDefault="005B7864" w:rsidP="005B7864">
      <w:pPr>
        <w:pStyle w:val="ListParagraph"/>
        <w:numPr>
          <w:ilvl w:val="2"/>
          <w:numId w:val="2"/>
        </w:numPr>
        <w:rPr>
          <w:rFonts w:ascii="Times New Roman" w:hAnsi="Times New Roman" w:cs="Times New Roman"/>
        </w:rPr>
      </w:pPr>
      <w:r>
        <w:rPr>
          <w:rFonts w:ascii="Times New Roman" w:hAnsi="Times New Roman" w:cs="Times New Roman"/>
        </w:rPr>
        <w:t>HQ will send p</w:t>
      </w:r>
      <w:r w:rsidRPr="00810841">
        <w:rPr>
          <w:rFonts w:ascii="Times New Roman" w:hAnsi="Times New Roman" w:cs="Times New Roman"/>
        </w:rPr>
        <w:t>ermit application</w:t>
      </w:r>
      <w:r>
        <w:rPr>
          <w:rFonts w:ascii="Times New Roman" w:hAnsi="Times New Roman" w:cs="Times New Roman"/>
        </w:rPr>
        <w:t xml:space="preserve"> and exemption forms </w:t>
      </w:r>
      <w:r>
        <w:rPr>
          <w:rFonts w:ascii="Times New Roman" w:hAnsi="Times New Roman" w:cs="Times New Roman"/>
        </w:rPr>
        <w:tab/>
        <w:t>(in September 2013)</w:t>
      </w:r>
    </w:p>
    <w:p w:rsidR="005B7864" w:rsidRDefault="005B7864" w:rsidP="005B7864">
      <w:pPr>
        <w:pStyle w:val="ListParagraph"/>
        <w:numPr>
          <w:ilvl w:val="2"/>
          <w:numId w:val="2"/>
        </w:numPr>
        <w:rPr>
          <w:rFonts w:ascii="Times New Roman" w:hAnsi="Times New Roman" w:cs="Times New Roman"/>
        </w:rPr>
      </w:pPr>
      <w:r>
        <w:rPr>
          <w:rFonts w:ascii="Times New Roman" w:hAnsi="Times New Roman" w:cs="Times New Roman"/>
        </w:rPr>
        <w:t>HQs will receive permit exemption forms</w:t>
      </w:r>
      <w:r>
        <w:rPr>
          <w:rFonts w:ascii="Times New Roman" w:hAnsi="Times New Roman" w:cs="Times New Roman"/>
        </w:rPr>
        <w:tab/>
      </w:r>
      <w:r>
        <w:rPr>
          <w:rFonts w:ascii="Times New Roman" w:hAnsi="Times New Roman" w:cs="Times New Roman"/>
        </w:rPr>
        <w:tab/>
        <w:t>(October – December 2013)</w:t>
      </w:r>
    </w:p>
    <w:p w:rsidR="005B7864" w:rsidRPr="005B7864" w:rsidRDefault="005B7864" w:rsidP="005B7864">
      <w:pPr>
        <w:pStyle w:val="ListParagraph"/>
        <w:numPr>
          <w:ilvl w:val="2"/>
          <w:numId w:val="2"/>
        </w:numPr>
        <w:rPr>
          <w:rFonts w:ascii="Times New Roman" w:hAnsi="Times New Roman" w:cs="Times New Roman"/>
        </w:rPr>
      </w:pPr>
      <w:r>
        <w:rPr>
          <w:rFonts w:ascii="Times New Roman" w:hAnsi="Times New Roman" w:cs="Times New Roman"/>
        </w:rPr>
        <w:t>Regions will assign sources to permit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207AF0">
        <w:rPr>
          <w:rFonts w:ascii="Times New Roman" w:hAnsi="Times New Roman" w:cs="Times New Roman"/>
        </w:rPr>
        <w:t>October</w:t>
      </w:r>
      <w:r>
        <w:rPr>
          <w:rFonts w:ascii="Times New Roman" w:hAnsi="Times New Roman" w:cs="Times New Roman"/>
        </w:rPr>
        <w:t xml:space="preserve"> 2013 </w:t>
      </w:r>
      <w:r w:rsidR="00207AF0">
        <w:rPr>
          <w:rFonts w:ascii="Times New Roman" w:hAnsi="Times New Roman" w:cs="Times New Roman"/>
        </w:rPr>
        <w:t>– January 2014)</w:t>
      </w:r>
      <w:r>
        <w:rPr>
          <w:rFonts w:ascii="Times New Roman" w:hAnsi="Times New Roman" w:cs="Times New Roman"/>
        </w:rPr>
        <w:t xml:space="preserve"> </w:t>
      </w:r>
    </w:p>
    <w:p w:rsidR="00207AF0" w:rsidRDefault="00207AF0" w:rsidP="00527C72">
      <w:pPr>
        <w:pStyle w:val="ListParagraph"/>
        <w:numPr>
          <w:ilvl w:val="0"/>
          <w:numId w:val="2"/>
        </w:numPr>
        <w:rPr>
          <w:rFonts w:ascii="Times New Roman" w:hAnsi="Times New Roman" w:cs="Times New Roman"/>
          <w:u w:val="single"/>
        </w:rPr>
      </w:pPr>
      <w:r>
        <w:rPr>
          <w:rFonts w:ascii="Times New Roman" w:hAnsi="Times New Roman" w:cs="Times New Roman"/>
          <w:u w:val="single"/>
        </w:rPr>
        <w:t>Workload</w:t>
      </w:r>
    </w:p>
    <w:p w:rsidR="009E409C" w:rsidRDefault="009E409C" w:rsidP="00207AF0">
      <w:pPr>
        <w:pStyle w:val="ListParagraph"/>
        <w:numPr>
          <w:ilvl w:val="1"/>
          <w:numId w:val="2"/>
        </w:numPr>
        <w:rPr>
          <w:rFonts w:ascii="Times New Roman" w:hAnsi="Times New Roman" w:cs="Times New Roman"/>
          <w:u w:val="single"/>
        </w:rPr>
      </w:pPr>
      <w:r>
        <w:rPr>
          <w:rFonts w:ascii="Times New Roman" w:hAnsi="Times New Roman" w:cs="Times New Roman"/>
          <w:u w:val="single"/>
        </w:rPr>
        <w:t>Sources already on a permit</w:t>
      </w:r>
    </w:p>
    <w:p w:rsidR="009E409C" w:rsidRDefault="009E409C" w:rsidP="009E409C">
      <w:pPr>
        <w:pStyle w:val="ListParagraph"/>
        <w:numPr>
          <w:ilvl w:val="2"/>
          <w:numId w:val="2"/>
        </w:numPr>
        <w:rPr>
          <w:rFonts w:ascii="Times New Roman" w:hAnsi="Times New Roman" w:cs="Times New Roman"/>
        </w:rPr>
      </w:pPr>
      <w:r w:rsidRPr="009E409C">
        <w:rPr>
          <w:rFonts w:ascii="Times New Roman" w:hAnsi="Times New Roman" w:cs="Times New Roman"/>
        </w:rPr>
        <w:t>Title 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2</w:t>
      </w:r>
    </w:p>
    <w:p w:rsidR="009E409C" w:rsidRDefault="009E409C" w:rsidP="009E409C">
      <w:pPr>
        <w:pStyle w:val="ListParagraph"/>
        <w:numPr>
          <w:ilvl w:val="2"/>
          <w:numId w:val="2"/>
        </w:numPr>
        <w:rPr>
          <w:rFonts w:ascii="Times New Roman" w:hAnsi="Times New Roman" w:cs="Times New Roman"/>
        </w:rPr>
      </w:pPr>
      <w:r>
        <w:rPr>
          <w:rFonts w:ascii="Times New Roman" w:hAnsi="Times New Roman" w:cs="Times New Roman"/>
        </w:rPr>
        <w:t>Simple/Standard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5</w:t>
      </w:r>
    </w:p>
    <w:p w:rsidR="009E409C" w:rsidRPr="009E409C" w:rsidRDefault="009E409C" w:rsidP="009E409C">
      <w:pPr>
        <w:pStyle w:val="ListParagraph"/>
        <w:numPr>
          <w:ilvl w:val="2"/>
          <w:numId w:val="2"/>
        </w:numPr>
        <w:rPr>
          <w:rFonts w:ascii="Times New Roman" w:hAnsi="Times New Roman" w:cs="Times New Roman"/>
        </w:rPr>
      </w:pPr>
      <w:r>
        <w:rPr>
          <w:rFonts w:ascii="Times New Roman" w:hAnsi="Times New Roman" w:cs="Times New Roman"/>
        </w:rPr>
        <w:t>General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9</w:t>
      </w:r>
    </w:p>
    <w:p w:rsidR="008578D4" w:rsidRPr="008578D4" w:rsidRDefault="008578D4" w:rsidP="00207AF0">
      <w:pPr>
        <w:pStyle w:val="ListParagraph"/>
        <w:numPr>
          <w:ilvl w:val="1"/>
          <w:numId w:val="2"/>
        </w:numPr>
        <w:rPr>
          <w:rFonts w:ascii="Times New Roman" w:hAnsi="Times New Roman" w:cs="Times New Roman"/>
          <w:u w:val="single"/>
        </w:rPr>
      </w:pPr>
      <w:r>
        <w:rPr>
          <w:rFonts w:ascii="Times New Roman" w:hAnsi="Times New Roman" w:cs="Times New Roman"/>
          <w:u w:val="single"/>
        </w:rPr>
        <w:t>Sources not need</w:t>
      </w:r>
      <w:r w:rsidR="00207AF0">
        <w:rPr>
          <w:rFonts w:ascii="Times New Roman" w:hAnsi="Times New Roman" w:cs="Times New Roman"/>
          <w:u w:val="single"/>
        </w:rPr>
        <w:t>ing</w:t>
      </w:r>
      <w:r>
        <w:rPr>
          <w:rFonts w:ascii="Times New Roman" w:hAnsi="Times New Roman" w:cs="Times New Roman"/>
          <w:u w:val="single"/>
        </w:rPr>
        <w:t xml:space="preserve"> a permit</w:t>
      </w:r>
      <w:r>
        <w:rPr>
          <w:rFonts w:ascii="Times New Roman" w:hAnsi="Times New Roman" w:cs="Times New Roman"/>
        </w:rPr>
        <w:t xml:space="preserve"> </w:t>
      </w:r>
    </w:p>
    <w:p w:rsidR="008578D4" w:rsidRPr="008578D4" w:rsidRDefault="008578D4" w:rsidP="00207AF0">
      <w:pPr>
        <w:pStyle w:val="ListParagraph"/>
        <w:numPr>
          <w:ilvl w:val="2"/>
          <w:numId w:val="2"/>
        </w:numPr>
        <w:rPr>
          <w:rFonts w:ascii="Times New Roman" w:hAnsi="Times New Roman" w:cs="Times New Roman"/>
          <w:u w:val="single"/>
        </w:rPr>
      </w:pPr>
      <w:r>
        <w:rPr>
          <w:rFonts w:ascii="Times New Roman" w:hAnsi="Times New Roman" w:cs="Times New Roman"/>
        </w:rPr>
        <w:t xml:space="preserve">Tank size 200 – 499 gallons </w:t>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Pr>
          <w:rFonts w:ascii="Times New Roman" w:hAnsi="Times New Roman" w:cs="Times New Roman"/>
        </w:rPr>
        <w:t>– 1</w:t>
      </w:r>
      <w:r w:rsidR="009E409C">
        <w:rPr>
          <w:rFonts w:ascii="Times New Roman" w:hAnsi="Times New Roman" w:cs="Times New Roman"/>
        </w:rPr>
        <w:t>00</w:t>
      </w:r>
    </w:p>
    <w:p w:rsidR="008578D4" w:rsidRPr="008578D4" w:rsidRDefault="008578D4" w:rsidP="00207AF0">
      <w:pPr>
        <w:pStyle w:val="ListParagraph"/>
        <w:numPr>
          <w:ilvl w:val="2"/>
          <w:numId w:val="2"/>
        </w:numPr>
        <w:rPr>
          <w:rFonts w:ascii="Times New Roman" w:hAnsi="Times New Roman" w:cs="Times New Roman"/>
          <w:u w:val="single"/>
        </w:rPr>
      </w:pPr>
      <w:r>
        <w:rPr>
          <w:rFonts w:ascii="Times New Roman" w:hAnsi="Times New Roman" w:cs="Times New Roman"/>
        </w:rPr>
        <w:t xml:space="preserve">Tank size 500 – 999 gallons </w:t>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Pr>
          <w:rFonts w:ascii="Times New Roman" w:hAnsi="Times New Roman" w:cs="Times New Roman"/>
        </w:rPr>
        <w:t>– 6</w:t>
      </w:r>
      <w:r w:rsidR="009E409C">
        <w:rPr>
          <w:rFonts w:ascii="Times New Roman" w:hAnsi="Times New Roman" w:cs="Times New Roman"/>
        </w:rPr>
        <w:t>2</w:t>
      </w:r>
    </w:p>
    <w:p w:rsidR="008578D4" w:rsidRPr="008578D4" w:rsidRDefault="008578D4" w:rsidP="00207AF0">
      <w:pPr>
        <w:pStyle w:val="ListParagraph"/>
        <w:numPr>
          <w:ilvl w:val="2"/>
          <w:numId w:val="2"/>
        </w:numPr>
        <w:rPr>
          <w:rFonts w:ascii="Times New Roman" w:hAnsi="Times New Roman" w:cs="Times New Roman"/>
          <w:u w:val="single"/>
        </w:rPr>
      </w:pPr>
      <w:r>
        <w:rPr>
          <w:rFonts w:ascii="Times New Roman" w:hAnsi="Times New Roman" w:cs="Times New Roman"/>
        </w:rPr>
        <w:t xml:space="preserve">Tank size 1,000 – 4,999 gallons and throughput &lt; 10,000 gals/mo </w:t>
      </w:r>
      <w:r w:rsidR="00207AF0">
        <w:rPr>
          <w:rFonts w:ascii="Times New Roman" w:hAnsi="Times New Roman" w:cs="Times New Roman"/>
        </w:rPr>
        <w:tab/>
      </w:r>
      <w:r>
        <w:rPr>
          <w:rFonts w:ascii="Times New Roman" w:hAnsi="Times New Roman" w:cs="Times New Roman"/>
        </w:rPr>
        <w:t>– 2</w:t>
      </w:r>
    </w:p>
    <w:p w:rsidR="008578D4" w:rsidRPr="00166F11" w:rsidRDefault="008578D4" w:rsidP="00207AF0">
      <w:pPr>
        <w:pStyle w:val="ListParagraph"/>
        <w:numPr>
          <w:ilvl w:val="2"/>
          <w:numId w:val="2"/>
        </w:numPr>
        <w:rPr>
          <w:rFonts w:ascii="Times New Roman" w:hAnsi="Times New Roman" w:cs="Times New Roman"/>
          <w:u w:val="single"/>
        </w:rPr>
      </w:pPr>
      <w:r>
        <w:rPr>
          <w:rFonts w:ascii="Times New Roman" w:hAnsi="Times New Roman" w:cs="Times New Roman"/>
        </w:rPr>
        <w:t xml:space="preserve">Tank size 5,000 – 9,999 gallons and throughput &lt; 10,000 gals/mo </w:t>
      </w:r>
      <w:r w:rsidR="00207AF0">
        <w:rPr>
          <w:rFonts w:ascii="Times New Roman" w:hAnsi="Times New Roman" w:cs="Times New Roman"/>
        </w:rPr>
        <w:tab/>
      </w:r>
      <w:r>
        <w:rPr>
          <w:rFonts w:ascii="Times New Roman" w:hAnsi="Times New Roman" w:cs="Times New Roman"/>
        </w:rPr>
        <w:t xml:space="preserve">– 2    </w:t>
      </w:r>
    </w:p>
    <w:p w:rsidR="00166F11" w:rsidRPr="00166F11" w:rsidRDefault="00166F11" w:rsidP="00207AF0">
      <w:pPr>
        <w:pStyle w:val="ListParagraph"/>
        <w:numPr>
          <w:ilvl w:val="1"/>
          <w:numId w:val="2"/>
        </w:numPr>
        <w:rPr>
          <w:rFonts w:ascii="Times New Roman" w:hAnsi="Times New Roman" w:cs="Times New Roman"/>
          <w:u w:val="single"/>
        </w:rPr>
      </w:pPr>
      <w:r>
        <w:rPr>
          <w:rFonts w:ascii="Times New Roman" w:hAnsi="Times New Roman" w:cs="Times New Roman"/>
          <w:u w:val="single"/>
        </w:rPr>
        <w:t>Sources potentially needing a permit</w:t>
      </w:r>
      <w:r>
        <w:rPr>
          <w:rFonts w:ascii="Times New Roman" w:hAnsi="Times New Roman" w:cs="Times New Roman"/>
        </w:rPr>
        <w:t xml:space="preserve"> </w:t>
      </w:r>
    </w:p>
    <w:p w:rsidR="00166F11" w:rsidRPr="00166F11" w:rsidRDefault="00166F11" w:rsidP="00207AF0">
      <w:pPr>
        <w:pStyle w:val="ListParagraph"/>
        <w:numPr>
          <w:ilvl w:val="2"/>
          <w:numId w:val="2"/>
        </w:numPr>
        <w:rPr>
          <w:rFonts w:ascii="Times New Roman" w:hAnsi="Times New Roman" w:cs="Times New Roman"/>
          <w:u w:val="single"/>
        </w:rPr>
      </w:pPr>
      <w:r>
        <w:rPr>
          <w:rFonts w:ascii="Times New Roman" w:hAnsi="Times New Roman" w:cs="Times New Roman"/>
        </w:rPr>
        <w:t xml:space="preserve">Tank size 1,000 – 4,999 gallons </w:t>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Pr>
          <w:rFonts w:ascii="Times New Roman" w:hAnsi="Times New Roman" w:cs="Times New Roman"/>
        </w:rPr>
        <w:t>– 29</w:t>
      </w:r>
    </w:p>
    <w:p w:rsidR="00166F11" w:rsidRPr="00166F11" w:rsidRDefault="00166F11" w:rsidP="00207AF0">
      <w:pPr>
        <w:pStyle w:val="ListParagraph"/>
        <w:numPr>
          <w:ilvl w:val="2"/>
          <w:numId w:val="2"/>
        </w:numPr>
        <w:rPr>
          <w:rFonts w:ascii="Times New Roman" w:hAnsi="Times New Roman" w:cs="Times New Roman"/>
          <w:u w:val="single"/>
        </w:rPr>
      </w:pPr>
      <w:r>
        <w:rPr>
          <w:rFonts w:ascii="Times New Roman" w:hAnsi="Times New Roman" w:cs="Times New Roman"/>
        </w:rPr>
        <w:t xml:space="preserve">Tank size 5,000 – 9,999 gallons </w:t>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Pr>
          <w:rFonts w:ascii="Times New Roman" w:hAnsi="Times New Roman" w:cs="Times New Roman"/>
        </w:rPr>
        <w:t>– 3</w:t>
      </w:r>
    </w:p>
    <w:p w:rsidR="008578D4" w:rsidRPr="008578D4" w:rsidRDefault="00166F11" w:rsidP="00207AF0">
      <w:pPr>
        <w:pStyle w:val="ListParagraph"/>
        <w:numPr>
          <w:ilvl w:val="2"/>
          <w:numId w:val="2"/>
        </w:numPr>
        <w:rPr>
          <w:rFonts w:ascii="Times New Roman" w:hAnsi="Times New Roman" w:cs="Times New Roman"/>
          <w:u w:val="single"/>
        </w:rPr>
      </w:pPr>
      <w:r>
        <w:rPr>
          <w:rFonts w:ascii="Times New Roman" w:hAnsi="Times New Roman" w:cs="Times New Roman"/>
        </w:rPr>
        <w:t xml:space="preserve">Tank size 10,000 – 49,999 gallons </w:t>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8578D4">
        <w:rPr>
          <w:rFonts w:ascii="Times New Roman" w:hAnsi="Times New Roman" w:cs="Times New Roman"/>
        </w:rPr>
        <w:t>–</w:t>
      </w:r>
      <w:r>
        <w:rPr>
          <w:rFonts w:ascii="Times New Roman" w:hAnsi="Times New Roman" w:cs="Times New Roman"/>
        </w:rPr>
        <w:t xml:space="preserve"> 1</w:t>
      </w:r>
    </w:p>
    <w:p w:rsidR="008578D4" w:rsidRPr="00207AF0" w:rsidRDefault="008578D4" w:rsidP="00207AF0">
      <w:pPr>
        <w:pStyle w:val="ListParagraph"/>
        <w:numPr>
          <w:ilvl w:val="2"/>
          <w:numId w:val="2"/>
        </w:numPr>
        <w:rPr>
          <w:rFonts w:ascii="Times New Roman" w:hAnsi="Times New Roman" w:cs="Times New Roman"/>
          <w:u w:val="single"/>
        </w:rPr>
      </w:pPr>
      <w:r>
        <w:rPr>
          <w:rFonts w:ascii="Times New Roman" w:hAnsi="Times New Roman" w:cs="Times New Roman"/>
        </w:rPr>
        <w:t xml:space="preserve">Tank size unknown </w:t>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sidR="00207AF0">
        <w:rPr>
          <w:rFonts w:ascii="Times New Roman" w:hAnsi="Times New Roman" w:cs="Times New Roman"/>
        </w:rPr>
        <w:tab/>
      </w:r>
      <w:r>
        <w:rPr>
          <w:rFonts w:ascii="Times New Roman" w:hAnsi="Times New Roman" w:cs="Times New Roman"/>
        </w:rPr>
        <w:t xml:space="preserve">– 1 </w:t>
      </w:r>
      <w:r w:rsidR="00166F11">
        <w:rPr>
          <w:rFonts w:ascii="Times New Roman" w:hAnsi="Times New Roman" w:cs="Times New Roman"/>
        </w:rPr>
        <w:t xml:space="preserve"> </w:t>
      </w:r>
    </w:p>
    <w:sectPr w:rsidR="008578D4" w:rsidRPr="00207AF0" w:rsidSect="009E409C">
      <w:pgSz w:w="12240" w:h="15840"/>
      <w:pgMar w:top="540" w:right="1080" w:bottom="5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32665"/>
    <w:multiLevelType w:val="hybridMultilevel"/>
    <w:tmpl w:val="6410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B16EE1"/>
    <w:multiLevelType w:val="hybridMultilevel"/>
    <w:tmpl w:val="EED4D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40959"/>
    <w:multiLevelType w:val="hybridMultilevel"/>
    <w:tmpl w:val="BBB6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37155"/>
    <w:multiLevelType w:val="hybridMultilevel"/>
    <w:tmpl w:val="4CDE43DE"/>
    <w:lvl w:ilvl="0" w:tplc="897CB9B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47C50F3A"/>
    <w:multiLevelType w:val="hybridMultilevel"/>
    <w:tmpl w:val="AABEB91E"/>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5">
    <w:nsid w:val="731131BB"/>
    <w:multiLevelType w:val="hybridMultilevel"/>
    <w:tmpl w:val="1C541E3A"/>
    <w:lvl w:ilvl="0" w:tplc="897CB9B4">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useFELayout/>
  </w:compat>
  <w:rsids>
    <w:rsidRoot w:val="003E4DFA"/>
    <w:rsid w:val="000E4BA4"/>
    <w:rsid w:val="00166F11"/>
    <w:rsid w:val="00207AF0"/>
    <w:rsid w:val="00272FC9"/>
    <w:rsid w:val="002F5A50"/>
    <w:rsid w:val="0033339E"/>
    <w:rsid w:val="00380388"/>
    <w:rsid w:val="003E4DFA"/>
    <w:rsid w:val="004F7DA5"/>
    <w:rsid w:val="00527C72"/>
    <w:rsid w:val="00540D33"/>
    <w:rsid w:val="005B7864"/>
    <w:rsid w:val="005D0464"/>
    <w:rsid w:val="00731717"/>
    <w:rsid w:val="00810841"/>
    <w:rsid w:val="008578D4"/>
    <w:rsid w:val="00924012"/>
    <w:rsid w:val="009E409C"/>
    <w:rsid w:val="00A36EF5"/>
    <w:rsid w:val="00B22BFB"/>
    <w:rsid w:val="00CA122B"/>
    <w:rsid w:val="00CA3DC4"/>
    <w:rsid w:val="00CA5EDF"/>
    <w:rsid w:val="00D6172F"/>
    <w:rsid w:val="00DB27EA"/>
    <w:rsid w:val="00DD6E26"/>
    <w:rsid w:val="00DE5C53"/>
    <w:rsid w:val="00DF10B0"/>
    <w:rsid w:val="00F43F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DFA"/>
    <w:pPr>
      <w:ind w:left="720"/>
      <w:contextualSpacing/>
    </w:pPr>
  </w:style>
  <w:style w:type="paragraph" w:styleId="NormalWeb">
    <w:name w:val="Normal (Web)"/>
    <w:basedOn w:val="Normal"/>
    <w:uiPriority w:val="99"/>
    <w:unhideWhenUsed/>
    <w:rsid w:val="00D617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3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3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DFA"/>
    <w:pPr>
      <w:ind w:left="720"/>
      <w:contextualSpacing/>
    </w:pPr>
  </w:style>
  <w:style w:type="paragraph" w:styleId="NormalWeb">
    <w:name w:val="Normal (Web)"/>
    <w:basedOn w:val="Normal"/>
    <w:uiPriority w:val="99"/>
    <w:unhideWhenUsed/>
    <w:rsid w:val="00D617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3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3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5231001">
      <w:bodyDiv w:val="1"/>
      <w:marLeft w:val="0"/>
      <w:marRight w:val="0"/>
      <w:marTop w:val="0"/>
      <w:marBottom w:val="0"/>
      <w:divBdr>
        <w:top w:val="none" w:sz="0" w:space="0" w:color="auto"/>
        <w:left w:val="none" w:sz="0" w:space="0" w:color="auto"/>
        <w:bottom w:val="none" w:sz="0" w:space="0" w:color="auto"/>
        <w:right w:val="none" w:sz="0" w:space="0" w:color="auto"/>
      </w:divBdr>
      <w:divsChild>
        <w:div w:id="765809494">
          <w:marLeft w:val="0"/>
          <w:marRight w:val="0"/>
          <w:marTop w:val="0"/>
          <w:marBottom w:val="0"/>
          <w:divBdr>
            <w:top w:val="none" w:sz="0" w:space="0" w:color="auto"/>
            <w:left w:val="none" w:sz="0" w:space="0" w:color="auto"/>
            <w:bottom w:val="none" w:sz="0" w:space="0" w:color="auto"/>
            <w:right w:val="none" w:sz="0" w:space="0" w:color="auto"/>
          </w:divBdr>
          <w:divsChild>
            <w:div w:id="482623353">
              <w:marLeft w:val="0"/>
              <w:marRight w:val="0"/>
              <w:marTop w:val="0"/>
              <w:marBottom w:val="0"/>
              <w:divBdr>
                <w:top w:val="none" w:sz="0" w:space="0" w:color="auto"/>
                <w:left w:val="none" w:sz="0" w:space="0" w:color="auto"/>
                <w:bottom w:val="none" w:sz="0" w:space="0" w:color="auto"/>
                <w:right w:val="none" w:sz="0" w:space="0" w:color="auto"/>
              </w:divBdr>
              <w:divsChild>
                <w:div w:id="55747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GEberso</dc:creator>
  <cp:lastModifiedBy>GEberso</cp:lastModifiedBy>
  <cp:revision>2</cp:revision>
  <cp:lastPrinted>2012-05-17T20:56:00Z</cp:lastPrinted>
  <dcterms:created xsi:type="dcterms:W3CDTF">2012-05-18T16:52:00Z</dcterms:created>
  <dcterms:modified xsi:type="dcterms:W3CDTF">2012-05-18T16:52:00Z</dcterms:modified>
</cp:coreProperties>
</file>