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50" w:type="dxa"/>
        <w:tblInd w:w="-72" w:type="dxa"/>
        <w:tblLook w:val="04A0"/>
      </w:tblPr>
      <w:tblGrid>
        <w:gridCol w:w="10350"/>
      </w:tblGrid>
      <w:tr w:rsidR="00B74449" w:rsidRPr="00C74D58" w:rsidTr="00B74449">
        <w:trPr>
          <w:trHeight w:val="195"/>
        </w:trPr>
        <w:tc>
          <w:tcPr>
            <w:tcW w:w="10350" w:type="dxa"/>
            <w:tcBorders>
              <w:top w:val="nil"/>
              <w:left w:val="nil"/>
              <w:bottom w:val="nil"/>
              <w:right w:val="nil"/>
            </w:tcBorders>
            <w:shd w:val="clear" w:color="000000" w:fill="C5D9DF"/>
            <w:noWrap/>
            <w:vAlign w:val="bottom"/>
            <w:hideMark/>
          </w:tcPr>
          <w:p w:rsidR="00B74449" w:rsidRPr="00C74D58" w:rsidRDefault="00B74449" w:rsidP="00C10519">
            <w:pPr>
              <w:rPr>
                <w:rFonts w:ascii="Times New Roman" w:eastAsia="Times New Roman" w:hAnsi="Times New Roman" w:cs="Times New Roman"/>
                <w:b/>
                <w:color w:val="000000"/>
              </w:rPr>
            </w:pPr>
          </w:p>
        </w:tc>
      </w:tr>
    </w:tbl>
    <w:p w:rsidR="00B74449" w:rsidRDefault="00B74449" w:rsidP="00B74449">
      <w:r>
        <w:rPr>
          <w:noProof/>
        </w:rPr>
        <w:drawing>
          <wp:anchor distT="0" distB="0" distL="114300" distR="114300" simplePos="0" relativeHeight="251659264" behindDoc="0" locked="0" layoutInCell="1" allowOverlap="1">
            <wp:simplePos x="0" y="0"/>
            <wp:positionH relativeFrom="column">
              <wp:posOffset>-71327</wp:posOffset>
            </wp:positionH>
            <wp:positionV relativeFrom="paragraph">
              <wp:posOffset>131356</wp:posOffset>
            </wp:positionV>
            <wp:extent cx="580656" cy="1360968"/>
            <wp:effectExtent l="19050" t="0" r="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5" cstate="print"/>
                    <a:srcRect/>
                    <a:stretch>
                      <a:fillRect/>
                    </a:stretch>
                  </pic:blipFill>
                  <pic:spPr bwMode="auto">
                    <a:xfrm>
                      <a:off x="0" y="0"/>
                      <a:ext cx="580656" cy="1360968"/>
                    </a:xfrm>
                    <a:prstGeom prst="rect">
                      <a:avLst/>
                    </a:prstGeom>
                    <a:noFill/>
                    <a:ln w="9525">
                      <a:noFill/>
                      <a:miter lim="800000"/>
                      <a:headEnd/>
                      <a:tailEnd/>
                    </a:ln>
                  </pic:spPr>
                </pic:pic>
              </a:graphicData>
            </a:graphic>
          </wp:anchor>
        </w:drawing>
      </w:r>
    </w:p>
    <w:p w:rsidR="00B74449" w:rsidRPr="00C74D58" w:rsidRDefault="00B74449" w:rsidP="00B74449">
      <w:pPr>
        <w:tabs>
          <w:tab w:val="left" w:pos="908"/>
          <w:tab w:val="left" w:pos="3504"/>
          <w:tab w:val="left" w:pos="5204"/>
          <w:tab w:val="left" w:pos="6904"/>
          <w:tab w:val="left" w:pos="7704"/>
          <w:tab w:val="left" w:pos="12343"/>
          <w:tab w:val="left" w:pos="12853"/>
          <w:tab w:val="left" w:pos="13363"/>
          <w:tab w:val="left" w:pos="14173"/>
          <w:tab w:val="left" w:pos="14983"/>
          <w:tab w:val="left" w:pos="16582"/>
        </w:tabs>
        <w:ind w:left="108"/>
        <w:jc w:val="center"/>
        <w:rPr>
          <w:rFonts w:ascii="Times New Roman" w:eastAsia="Times New Roman" w:hAnsi="Times New Roman" w:cs="Times New Roman"/>
          <w:b/>
          <w:color w:val="000000"/>
        </w:rPr>
      </w:pPr>
    </w:p>
    <w:p w:rsidR="00B74449" w:rsidRPr="00C74D58" w:rsidRDefault="00B74449" w:rsidP="00B74449">
      <w:pPr>
        <w:tabs>
          <w:tab w:val="left" w:pos="720"/>
          <w:tab w:val="left" w:pos="16582"/>
        </w:tabs>
        <w:ind w:left="108"/>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B74449" w:rsidRPr="00C74D58" w:rsidRDefault="00B74449" w:rsidP="00B74449">
      <w:pPr>
        <w:tabs>
          <w:tab w:val="left" w:pos="908"/>
          <w:tab w:val="left" w:pos="16582"/>
        </w:tabs>
        <w:ind w:left="108"/>
        <w:jc w:val="center"/>
        <w:rPr>
          <w:rFonts w:ascii="Times New Roman" w:eastAsia="Times New Roman" w:hAnsi="Times New Roman" w:cs="Times New Roman"/>
          <w:b/>
          <w:color w:val="000000"/>
        </w:rPr>
      </w:pPr>
    </w:p>
    <w:p w:rsidR="00B74449" w:rsidRPr="00245802" w:rsidRDefault="00B74449" w:rsidP="00B74449">
      <w:pPr>
        <w:tabs>
          <w:tab w:val="left" w:pos="908"/>
          <w:tab w:val="left" w:pos="16582"/>
        </w:tabs>
        <w:ind w:left="108"/>
        <w:jc w:val="center"/>
        <w:rPr>
          <w:rFonts w:ascii="Times New Roman" w:eastAsia="Times New Roman" w:hAnsi="Times New Roman" w:cs="Times New Roman"/>
          <w:color w:val="000000"/>
        </w:rPr>
      </w:pPr>
      <w:r w:rsidRPr="00245802">
        <w:rPr>
          <w:rFonts w:eastAsia="Times New Roman"/>
          <w:color w:val="32525C"/>
          <w:sz w:val="28"/>
          <w:szCs w:val="28"/>
        </w:rPr>
        <w:t>Permanent Rule Proposal For:</w:t>
      </w:r>
    </w:p>
    <w:p w:rsidR="00B74449" w:rsidRPr="006A0E65" w:rsidRDefault="00B74449" w:rsidP="00B74449">
      <w:pPr>
        <w:tabs>
          <w:tab w:val="left" w:pos="908"/>
          <w:tab w:val="center" w:pos="5760"/>
          <w:tab w:val="left" w:pos="12343"/>
          <w:tab w:val="left" w:pos="12853"/>
          <w:tab w:val="left" w:pos="13363"/>
          <w:tab w:val="left" w:pos="14173"/>
          <w:tab w:val="left" w:pos="14983"/>
          <w:tab w:val="left" w:pos="16582"/>
        </w:tabs>
        <w:ind w:left="900"/>
        <w:rPr>
          <w:rFonts w:ascii="Times New Roman" w:eastAsia="Times New Roman" w:hAnsi="Times New Roman" w:cs="Times New Roman"/>
          <w:color w:val="000000"/>
        </w:rPr>
      </w:pPr>
      <w:r w:rsidRPr="00245802">
        <w:rPr>
          <w:rFonts w:eastAsia="Times New Roman"/>
          <w:b/>
          <w:color w:val="32525C"/>
          <w:sz w:val="28"/>
          <w:szCs w:val="28"/>
        </w:rPr>
        <w:t>Updat</w:t>
      </w:r>
      <w:r>
        <w:rPr>
          <w:rFonts w:eastAsia="Times New Roman"/>
          <w:b/>
          <w:color w:val="32525C"/>
          <w:sz w:val="28"/>
          <w:szCs w:val="28"/>
        </w:rPr>
        <w:t>ing</w:t>
      </w:r>
      <w:r w:rsidRPr="00245802">
        <w:rPr>
          <w:rFonts w:eastAsia="Times New Roman"/>
          <w:b/>
          <w:color w:val="32525C"/>
          <w:sz w:val="28"/>
          <w:szCs w:val="28"/>
        </w:rPr>
        <w:t xml:space="preserve"> Oregon</w:t>
      </w:r>
      <w:r>
        <w:rPr>
          <w:rFonts w:eastAsia="Times New Roman"/>
          <w:b/>
          <w:color w:val="32525C"/>
          <w:sz w:val="28"/>
          <w:szCs w:val="28"/>
        </w:rPr>
        <w:t>’s</w:t>
      </w:r>
      <w:r w:rsidRPr="00245802">
        <w:rPr>
          <w:rFonts w:eastAsia="Times New Roman"/>
          <w:b/>
          <w:color w:val="32525C"/>
          <w:sz w:val="28"/>
          <w:szCs w:val="28"/>
        </w:rPr>
        <w:t xml:space="preserve"> </w:t>
      </w:r>
      <w:r>
        <w:rPr>
          <w:rFonts w:eastAsia="Times New Roman"/>
          <w:b/>
          <w:color w:val="32525C"/>
          <w:sz w:val="28"/>
          <w:szCs w:val="28"/>
        </w:rPr>
        <w:t xml:space="preserve">air quality </w:t>
      </w:r>
      <w:r w:rsidRPr="00245802">
        <w:rPr>
          <w:rFonts w:eastAsia="Times New Roman"/>
          <w:b/>
          <w:color w:val="32525C"/>
          <w:sz w:val="28"/>
          <w:szCs w:val="28"/>
        </w:rPr>
        <w:t xml:space="preserve">rules to address federal </w:t>
      </w:r>
      <w:r>
        <w:rPr>
          <w:rFonts w:eastAsia="Times New Roman"/>
          <w:b/>
          <w:color w:val="32525C"/>
          <w:sz w:val="28"/>
          <w:szCs w:val="28"/>
        </w:rPr>
        <w:t>r</w:t>
      </w:r>
      <w:r w:rsidRPr="00245802">
        <w:rPr>
          <w:rFonts w:eastAsia="Times New Roman"/>
          <w:b/>
          <w:color w:val="32525C"/>
          <w:sz w:val="28"/>
          <w:szCs w:val="28"/>
        </w:rPr>
        <w:t>egulations</w:t>
      </w:r>
      <w:r w:rsidRPr="006A0E65">
        <w:rPr>
          <w:rFonts w:ascii="Times New Roman" w:eastAsia="Times New Roman" w:hAnsi="Times New Roman" w:cs="Times New Roman"/>
          <w:color w:val="000000"/>
        </w:rPr>
        <w:t xml:space="preserve"> </w:t>
      </w:r>
    </w:p>
    <w:p w:rsidR="00B74449" w:rsidRDefault="00B74449" w:rsidP="00B74449"/>
    <w:p w:rsidR="00B74449" w:rsidRDefault="00B74449" w:rsidP="00B74449"/>
    <w:tbl>
      <w:tblPr>
        <w:tblW w:w="10350" w:type="dxa"/>
        <w:tblInd w:w="-72" w:type="dxa"/>
        <w:tblLook w:val="04A0"/>
      </w:tblPr>
      <w:tblGrid>
        <w:gridCol w:w="10350"/>
      </w:tblGrid>
      <w:tr w:rsidR="002C59E7" w:rsidRPr="00B15DF7" w:rsidTr="002C59E7">
        <w:trPr>
          <w:trHeight w:val="600"/>
        </w:trPr>
        <w:tc>
          <w:tcPr>
            <w:tcW w:w="10350" w:type="dxa"/>
            <w:tcBorders>
              <w:top w:val="nil"/>
              <w:left w:val="nil"/>
              <w:bottom w:val="double" w:sz="6" w:space="0" w:color="7F7F7F"/>
              <w:right w:val="nil"/>
            </w:tcBorders>
            <w:shd w:val="clear" w:color="000000" w:fill="D8D3C6"/>
            <w:noWrap/>
            <w:vAlign w:val="bottom"/>
            <w:hideMark/>
          </w:tcPr>
          <w:p w:rsidR="002C59E7" w:rsidRPr="00B15DF7" w:rsidRDefault="002C59E7" w:rsidP="00C10519">
            <w:pPr>
              <w:outlineLvl w:val="0"/>
              <w:rPr>
                <w:rFonts w:eastAsia="Times New Roman"/>
                <w:bCs/>
                <w:color w:val="32525C"/>
                <w:sz w:val="28"/>
                <w:szCs w:val="28"/>
              </w:rPr>
            </w:pPr>
          </w:p>
          <w:p w:rsidR="002C59E7" w:rsidRPr="00B15DF7" w:rsidRDefault="002C59E7" w:rsidP="002C59E7">
            <w:pPr>
              <w:outlineLvl w:val="0"/>
              <w:rPr>
                <w:rFonts w:eastAsia="Times New Roman"/>
                <w:bCs/>
                <w:color w:val="32525C"/>
                <w:sz w:val="28"/>
                <w:szCs w:val="28"/>
              </w:rPr>
            </w:pPr>
            <w:r>
              <w:rPr>
                <w:rFonts w:eastAsia="Times New Roman"/>
                <w:bCs/>
                <w:color w:val="32525C"/>
                <w:sz w:val="28"/>
                <w:szCs w:val="28"/>
              </w:rPr>
              <w:t>Statement of f</w:t>
            </w:r>
            <w:r w:rsidRPr="00B15DF7">
              <w:rPr>
                <w:rFonts w:eastAsia="Times New Roman"/>
                <w:bCs/>
                <w:color w:val="32525C"/>
                <w:sz w:val="28"/>
                <w:szCs w:val="28"/>
              </w:rPr>
              <w:t xml:space="preserve">iscal </w:t>
            </w:r>
            <w:r>
              <w:rPr>
                <w:rFonts w:eastAsia="Times New Roman"/>
                <w:bCs/>
                <w:color w:val="32525C"/>
                <w:sz w:val="28"/>
                <w:szCs w:val="28"/>
              </w:rPr>
              <w:t xml:space="preserve">and economic </w:t>
            </w:r>
            <w:r w:rsidRPr="00B15DF7">
              <w:rPr>
                <w:rFonts w:eastAsia="Times New Roman"/>
                <w:bCs/>
                <w:color w:val="32525C"/>
                <w:sz w:val="28"/>
                <w:szCs w:val="28"/>
              </w:rPr>
              <w:t>impact</w:t>
            </w:r>
            <w:r>
              <w:rPr>
                <w:rFonts w:eastAsia="Times New Roman"/>
                <w:bCs/>
                <w:color w:val="32525C"/>
                <w:sz w:val="28"/>
                <w:szCs w:val="28"/>
              </w:rPr>
              <w:t xml:space="preserve">                             </w:t>
            </w:r>
            <w:r w:rsidRPr="0055409E">
              <w:rPr>
                <w:rFonts w:eastAsia="Times New Roman"/>
                <w:bCs/>
                <w:color w:val="32525C"/>
                <w:sz w:val="28"/>
                <w:szCs w:val="28"/>
                <w:u w:val="single"/>
              </w:rPr>
              <w:t>ORS 183.335 (2)(b)(E)</w:t>
            </w:r>
          </w:p>
        </w:tc>
      </w:tr>
    </w:tbl>
    <w:p w:rsidR="002C59E7" w:rsidRPr="00B15DF7" w:rsidRDefault="002C59E7" w:rsidP="002C59E7"/>
    <w:p w:rsidR="002C59E7" w:rsidRDefault="002C59E7" w:rsidP="002C59E7">
      <w:pPr>
        <w:pStyle w:val="ListParagraph"/>
        <w:numPr>
          <w:ilvl w:val="0"/>
          <w:numId w:val="3"/>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Impacts on the general public</w:t>
      </w:r>
    </w:p>
    <w:p w:rsidR="002C59E7" w:rsidRPr="002C59E7" w:rsidRDefault="002C59E7" w:rsidP="002C59E7">
      <w:pPr>
        <w:spacing w:after="120"/>
        <w:ind w:left="1080"/>
        <w:rPr>
          <w:rFonts w:ascii="Times New Roman" w:hAnsi="Times New Roman" w:cs="Times New Roman"/>
          <w:u w:val="single"/>
        </w:rPr>
      </w:pPr>
      <w:r w:rsidRPr="002C59E7">
        <w:rPr>
          <w:rFonts w:ascii="Times New Roman" w:hAnsi="Times New Roman" w:cs="Times New Roman"/>
          <w:u w:val="single"/>
        </w:rPr>
        <w:t>Indirect impact</w:t>
      </w:r>
      <w:r w:rsidRPr="002C59E7">
        <w:rPr>
          <w:rFonts w:ascii="Times New Roman" w:hAnsi="Times New Roman" w:cs="Times New Roman"/>
        </w:rPr>
        <w:t>: the general public could be indirectly impacted by the proposed rule changes as large and small businesses pass along increased or decreased costs in the form of price changes for goods and services.</w:t>
      </w:r>
    </w:p>
    <w:p w:rsidR="002C59E7" w:rsidRPr="002C59E7" w:rsidRDefault="002C59E7" w:rsidP="002C59E7">
      <w:pPr>
        <w:spacing w:after="120"/>
        <w:ind w:left="1080"/>
        <w:rPr>
          <w:rFonts w:ascii="Times New Roman" w:hAnsi="Times New Roman" w:cs="Times New Roman"/>
        </w:rPr>
      </w:pPr>
      <w:r w:rsidRPr="002C59E7">
        <w:rPr>
          <w:rFonts w:ascii="Times New Roman" w:hAnsi="Times New Roman" w:cs="Times New Roman"/>
          <w:u w:val="single"/>
        </w:rPr>
        <w:t>Direct impact</w:t>
      </w:r>
      <w:r w:rsidRPr="002C59E7">
        <w:rPr>
          <w:rFonts w:ascii="Times New Roman" w:hAnsi="Times New Roman" w:cs="Times New Roman"/>
        </w:rPr>
        <w:t>: the general public would not be directly affected by the proposed rule changes.</w:t>
      </w:r>
    </w:p>
    <w:p w:rsidR="002C59E7" w:rsidRDefault="002C59E7" w:rsidP="002C59E7">
      <w:pPr>
        <w:spacing w:after="120"/>
        <w:ind w:left="1080"/>
        <w:rPr>
          <w:rFonts w:asciiTheme="minorHAnsi" w:hAnsiTheme="minorHAnsi" w:cstheme="minorHAnsi"/>
        </w:rPr>
      </w:pPr>
    </w:p>
    <w:p w:rsidR="002C59E7" w:rsidRPr="0055409E" w:rsidRDefault="002C59E7" w:rsidP="002C59E7">
      <w:pPr>
        <w:pStyle w:val="ListParagraph"/>
        <w:numPr>
          <w:ilvl w:val="0"/>
          <w:numId w:val="3"/>
        </w:numPr>
        <w:spacing w:after="120"/>
        <w:ind w:left="108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Impacts on small businesses with 50 or fewer employees. </w:t>
      </w:r>
      <w:r w:rsidRPr="0055409E">
        <w:rPr>
          <w:rFonts w:asciiTheme="majorHAnsi" w:eastAsia="Times New Roman" w:hAnsiTheme="majorHAnsi" w:cstheme="majorHAnsi"/>
          <w:bCs/>
          <w:color w:val="504938"/>
          <w:sz w:val="22"/>
          <w:szCs w:val="22"/>
          <w:u w:val="single"/>
        </w:rPr>
        <w:t>ORS 183.336</w:t>
      </w:r>
    </w:p>
    <w:p w:rsidR="002C59E7" w:rsidRPr="002C59E7" w:rsidRDefault="002C59E7" w:rsidP="002C59E7">
      <w:pPr>
        <w:spacing w:after="120"/>
        <w:ind w:left="1080"/>
        <w:rPr>
          <w:rFonts w:ascii="Times New Roman" w:hAnsi="Times New Roman" w:cs="Times New Roman"/>
        </w:rPr>
      </w:pPr>
      <w:r w:rsidRPr="002C59E7">
        <w:rPr>
          <w:rFonts w:ascii="Times New Roman" w:hAnsi="Times New Roman" w:cs="Times New Roman"/>
          <w:u w:val="single"/>
        </w:rPr>
        <w:t>Indirect impact</w:t>
      </w:r>
      <w:r w:rsidRPr="002C59E7">
        <w:rPr>
          <w:rFonts w:ascii="Times New Roman" w:hAnsi="Times New Roman" w:cs="Times New Roman"/>
        </w:rPr>
        <w:t>: small businesses could be indirectly impacted by the proposed rule changes as other businesses pass along increased or decreased costs in the form of price changes for goods and services.</w:t>
      </w:r>
    </w:p>
    <w:p w:rsidR="002C59E7" w:rsidRDefault="002C59E7" w:rsidP="002C59E7">
      <w:pPr>
        <w:spacing w:after="120"/>
        <w:ind w:left="1080"/>
        <w:rPr>
          <w:rFonts w:asciiTheme="minorHAnsi" w:hAnsiTheme="minorHAnsi" w:cstheme="minorHAnsi"/>
          <w:u w:val="single"/>
        </w:rPr>
      </w:pPr>
    </w:p>
    <w:p w:rsidR="002C59E7" w:rsidRPr="002C59E7" w:rsidRDefault="002C59E7" w:rsidP="002C59E7">
      <w:pPr>
        <w:spacing w:after="120"/>
        <w:ind w:left="1080"/>
        <w:rPr>
          <w:rFonts w:ascii="Times New Roman" w:hAnsi="Times New Roman" w:cs="Times New Roman"/>
        </w:rPr>
      </w:pPr>
      <w:r w:rsidRPr="002C59E7">
        <w:rPr>
          <w:rFonts w:ascii="Times New Roman" w:hAnsi="Times New Roman" w:cs="Times New Roman"/>
          <w:u w:val="single"/>
        </w:rPr>
        <w:t>Direct impact</w:t>
      </w:r>
      <w:r w:rsidRPr="002C59E7">
        <w:rPr>
          <w:rFonts w:ascii="Times New Roman" w:hAnsi="Times New Roman" w:cs="Times New Roman"/>
        </w:rPr>
        <w:t>: small businesses might see increased or decreased costs due to the proposed rule changes and as follows:</w:t>
      </w:r>
    </w:p>
    <w:p w:rsidR="002C59E7" w:rsidRPr="002C59E7" w:rsidRDefault="002C59E7" w:rsidP="002C59E7">
      <w:pPr>
        <w:spacing w:after="120"/>
        <w:ind w:left="1080"/>
        <w:rPr>
          <w:rFonts w:ascii="Times New Roman" w:eastAsia="Times New Roman" w:hAnsi="Times New Roman" w:cs="Times New Roman"/>
          <w:bCs/>
          <w:color w:val="504938"/>
          <w:sz w:val="22"/>
          <w:szCs w:val="22"/>
        </w:rPr>
      </w:pPr>
    </w:p>
    <w:p w:rsidR="002C59E7" w:rsidRPr="002C59E7" w:rsidRDefault="002C59E7" w:rsidP="002C59E7">
      <w:pPr>
        <w:pStyle w:val="ListParagraph"/>
        <w:numPr>
          <w:ilvl w:val="0"/>
          <w:numId w:val="4"/>
        </w:numPr>
        <w:spacing w:after="120"/>
        <w:outlineLvl w:val="0"/>
        <w:rPr>
          <w:rFonts w:ascii="Times New Roman" w:eastAsia="Times New Roman" w:hAnsi="Times New Roman" w:cs="Times New Roman"/>
          <w:b/>
          <w:color w:val="000000"/>
        </w:rPr>
      </w:pPr>
      <w:r w:rsidRPr="002C59E7">
        <w:rPr>
          <w:rFonts w:ascii="Times New Roman" w:eastAsia="Times New Roman" w:hAnsi="Times New Roman" w:cs="Times New Roman"/>
          <w:b/>
          <w:color w:val="000000"/>
        </w:rPr>
        <w:t>Align Oregon’s Rules with Recent Changes to Federal Emission Standards</w:t>
      </w:r>
    </w:p>
    <w:p w:rsidR="002C59E7" w:rsidRPr="002C59E7" w:rsidRDefault="002C59E7" w:rsidP="002C59E7">
      <w:pPr>
        <w:pStyle w:val="ListParagraph"/>
        <w:numPr>
          <w:ilvl w:val="0"/>
          <w:numId w:val="2"/>
        </w:numPr>
        <w:spacing w:after="120"/>
        <w:contextualSpacing w:val="0"/>
        <w:outlineLvl w:val="0"/>
        <w:rPr>
          <w:rFonts w:ascii="Times New Roman" w:eastAsia="Times New Roman" w:hAnsi="Times New Roman" w:cs="Times New Roman"/>
          <w:color w:val="000000"/>
        </w:rPr>
      </w:pPr>
      <w:r w:rsidRPr="002C59E7">
        <w:rPr>
          <w:rFonts w:ascii="Times New Roman" w:eastAsia="Times New Roman" w:hAnsi="Times New Roman" w:cs="Times New Roman"/>
          <w:color w:val="000000"/>
        </w:rPr>
        <w:t xml:space="preserve">Adopt by reference new federal area source NESHAPs for gold mine ore processing and production; new federal major source NESHAP for electric utility steam generating units; new federal major source NESHAP for polyvinyl chloride and copolymers production; and new federal NSPS for sewage sludge incineration units; </w:t>
      </w:r>
    </w:p>
    <w:p w:rsidR="002C59E7" w:rsidRPr="002C59E7" w:rsidRDefault="002C59E7" w:rsidP="002C59E7">
      <w:pPr>
        <w:spacing w:after="120"/>
        <w:ind w:left="1980"/>
        <w:outlineLvl w:val="0"/>
        <w:rPr>
          <w:rFonts w:ascii="Times New Roman" w:eastAsia="Times New Roman" w:hAnsi="Times New Roman" w:cs="Times New Roman"/>
          <w:color w:val="000000"/>
        </w:rPr>
      </w:pPr>
      <w:r w:rsidRPr="002C59E7">
        <w:rPr>
          <w:rFonts w:ascii="Times New Roman" w:eastAsia="Times New Roman" w:hAnsi="Times New Roman" w:cs="Times New Roman"/>
          <w:color w:val="000000"/>
        </w:rPr>
        <w:t xml:space="preserve">DEQ anticipates that there will be no fiscal and economic impacts as a result of adopting the new federal standards because the fiscal and economic impacts occurred when EPA adopted the rules. EPA has evaluated the fiscal and economic effects of their rules and lists those effects in the preambles to their regulations. </w:t>
      </w:r>
    </w:p>
    <w:p w:rsidR="002C59E7" w:rsidRPr="002C59E7" w:rsidRDefault="002C59E7" w:rsidP="002C59E7">
      <w:pPr>
        <w:pStyle w:val="ListParagraph"/>
        <w:numPr>
          <w:ilvl w:val="0"/>
          <w:numId w:val="2"/>
        </w:numPr>
        <w:spacing w:after="120"/>
        <w:contextualSpacing w:val="0"/>
        <w:outlineLvl w:val="0"/>
        <w:rPr>
          <w:rFonts w:ascii="Times New Roman" w:eastAsia="Times New Roman" w:hAnsi="Times New Roman" w:cs="Times New Roman"/>
          <w:color w:val="000000"/>
        </w:rPr>
      </w:pPr>
      <w:r w:rsidRPr="002C59E7">
        <w:rPr>
          <w:rFonts w:ascii="Times New Roman" w:eastAsia="Times New Roman" w:hAnsi="Times New Roman" w:cs="Times New Roman"/>
          <w:color w:val="000000"/>
        </w:rPr>
        <w:t xml:space="preserve">Incorporate changes EPA made to the federal gasoline dispensing facility NESHAP; </w:t>
      </w:r>
    </w:p>
    <w:p w:rsidR="002C59E7" w:rsidRPr="002C59E7" w:rsidRDefault="002C59E7" w:rsidP="002C59E7">
      <w:pPr>
        <w:spacing w:after="120"/>
        <w:ind w:left="1980"/>
        <w:outlineLvl w:val="0"/>
        <w:rPr>
          <w:rFonts w:ascii="Times New Roman" w:eastAsia="Times New Roman" w:hAnsi="Times New Roman" w:cs="Times New Roman"/>
          <w:color w:val="000000"/>
        </w:rPr>
      </w:pPr>
      <w:r w:rsidRPr="002C59E7">
        <w:rPr>
          <w:rFonts w:ascii="Times New Roman" w:eastAsia="Times New Roman" w:hAnsi="Times New Roman" w:cs="Times New Roman"/>
          <w:color w:val="000000"/>
        </w:rPr>
        <w:t xml:space="preserve">DEQ anticipates that there could be a negative fiscal and economic impact as a result of adopting these changes because the changes extend the gasoline dispensing facility rules to facilities that dispense gasoline into “non-road vehicles” and “non-road engines” and because the newly affected gasoline dispensing facilities will be </w:t>
      </w:r>
      <w:r w:rsidRPr="002C59E7">
        <w:rPr>
          <w:rFonts w:ascii="Times New Roman" w:eastAsia="Times New Roman" w:hAnsi="Times New Roman" w:cs="Times New Roman"/>
          <w:color w:val="000000"/>
        </w:rPr>
        <w:lastRenderedPageBreak/>
        <w:t>subject to Oregon’s more stringent, but existing, gasoline dispensing facility rules and permitting. DEQ cannot quantify this impact at this time because the available information does not indicate how many facilities would trigger control requirements or permitting. However, the majority of affected facilities have small tanks and aren’t likely to have gasoline throughputs that would trigger control requirements or permitting. Therefore, the fiscal and economic impact is not expected to be significant.</w:t>
      </w:r>
    </w:p>
    <w:p w:rsidR="002C59E7" w:rsidRPr="002C59E7" w:rsidRDefault="002C59E7" w:rsidP="002C59E7">
      <w:pPr>
        <w:pStyle w:val="ListParagraph"/>
        <w:numPr>
          <w:ilvl w:val="0"/>
          <w:numId w:val="2"/>
        </w:numPr>
        <w:spacing w:after="120"/>
        <w:contextualSpacing w:val="0"/>
        <w:outlineLvl w:val="0"/>
        <w:rPr>
          <w:rFonts w:ascii="Times New Roman" w:eastAsia="Times New Roman" w:hAnsi="Times New Roman" w:cs="Times New Roman"/>
          <w:color w:val="000000"/>
        </w:rPr>
      </w:pPr>
      <w:r w:rsidRPr="002C59E7">
        <w:rPr>
          <w:rFonts w:ascii="Times New Roman" w:eastAsia="Times New Roman" w:hAnsi="Times New Roman" w:cs="Times New Roman"/>
          <w:color w:val="000000"/>
        </w:rPr>
        <w:t>Update the adoption by reference of previously adopted NESHAPs and NSPSs;</w:t>
      </w:r>
    </w:p>
    <w:p w:rsidR="002C59E7" w:rsidRPr="002C59E7" w:rsidRDefault="002C59E7" w:rsidP="002C59E7">
      <w:pPr>
        <w:spacing w:after="120"/>
        <w:ind w:left="1980"/>
        <w:outlineLvl w:val="0"/>
        <w:rPr>
          <w:rFonts w:ascii="Times New Roman" w:eastAsia="Times New Roman" w:hAnsi="Times New Roman" w:cs="Times New Roman"/>
          <w:color w:val="000000"/>
        </w:rPr>
      </w:pPr>
      <w:r w:rsidRPr="002C59E7">
        <w:rPr>
          <w:rFonts w:ascii="Times New Roman" w:eastAsia="Times New Roman" w:hAnsi="Times New Roman" w:cs="Times New Roman"/>
          <w:color w:val="000000"/>
        </w:rPr>
        <w:t>DEQ anticipates that there will be no fiscal and economic impacts as a result of updating previously adopted federal standards because the fiscal and economic impacts occurred when EPA adopted the rule amendments. EPA has evaluated the fiscal and economic effects of their rules and lists those effects in the preambles to their regulations.</w:t>
      </w:r>
    </w:p>
    <w:p w:rsidR="002C59E7" w:rsidRPr="002C59E7" w:rsidRDefault="002C59E7" w:rsidP="002C59E7">
      <w:pPr>
        <w:pStyle w:val="ListParagraph"/>
        <w:numPr>
          <w:ilvl w:val="0"/>
          <w:numId w:val="2"/>
        </w:numPr>
        <w:spacing w:after="120"/>
        <w:contextualSpacing w:val="0"/>
        <w:outlineLvl w:val="0"/>
        <w:rPr>
          <w:rFonts w:ascii="Times New Roman" w:eastAsia="Times New Roman" w:hAnsi="Times New Roman" w:cs="Times New Roman"/>
          <w:color w:val="000000"/>
        </w:rPr>
      </w:pPr>
      <w:r w:rsidRPr="002C59E7">
        <w:rPr>
          <w:rFonts w:ascii="Times New Roman" w:eastAsia="Times New Roman" w:hAnsi="Times New Roman" w:cs="Times New Roman"/>
          <w:color w:val="000000"/>
        </w:rPr>
        <w:t>Remove monitoring, recordkeeping and reporting requirements in Oregon’s Utility Mercury Rule and replace them with references to the monitoring, recordkeeping and reporting requirements in the Electric Utility Steam Generating Unit NESHAP.</w:t>
      </w:r>
    </w:p>
    <w:tbl>
      <w:tblPr>
        <w:tblW w:w="10188" w:type="dxa"/>
        <w:tblBorders>
          <w:top w:val="nil"/>
          <w:left w:val="nil"/>
          <w:bottom w:val="nil"/>
          <w:right w:val="nil"/>
        </w:tblBorders>
        <w:tblLayout w:type="fixed"/>
        <w:tblLook w:val="0000"/>
      </w:tblPr>
      <w:tblGrid>
        <w:gridCol w:w="10188"/>
      </w:tblGrid>
      <w:tr w:rsidR="002C59E7" w:rsidRPr="008F5E19" w:rsidTr="002C59E7">
        <w:trPr>
          <w:trHeight w:val="322"/>
        </w:trPr>
        <w:tc>
          <w:tcPr>
            <w:tcW w:w="10188" w:type="dxa"/>
          </w:tcPr>
          <w:p w:rsidR="002C59E7" w:rsidRDefault="002C59E7" w:rsidP="002C59E7">
            <w:pPr>
              <w:spacing w:after="120"/>
              <w:ind w:left="1980"/>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they align the monitoring, recordkeeping and reporting requirements in Oregon’s Utility Mercury Rule with the monitoring, recordkeeping and reporting requirements in the federal utility NESHAP.</w:t>
            </w:r>
          </w:p>
          <w:p w:rsidR="002C59E7" w:rsidRPr="008108D1" w:rsidRDefault="002C59E7" w:rsidP="00C10519">
            <w:pPr>
              <w:pStyle w:val="ListParagraph"/>
              <w:spacing w:after="120"/>
              <w:ind w:left="1800" w:right="634"/>
              <w:outlineLvl w:val="0"/>
              <w:rPr>
                <w:rFonts w:ascii="Times New Roman" w:eastAsia="Times New Roman" w:hAnsi="Times New Roman" w:cs="Times New Roman"/>
                <w:b/>
                <w:color w:val="000000"/>
              </w:rPr>
            </w:pPr>
          </w:p>
          <w:p w:rsidR="002C59E7" w:rsidRDefault="002C59E7" w:rsidP="002C59E7">
            <w:pPr>
              <w:pStyle w:val="ListParagraph"/>
              <w:numPr>
                <w:ilvl w:val="0"/>
                <w:numId w:val="4"/>
              </w:numPr>
              <w:spacing w:after="120"/>
              <w:outlineLvl w:val="0"/>
              <w:rPr>
                <w:rFonts w:ascii="Times New Roman" w:eastAsia="Times New Roman" w:hAnsi="Times New Roman" w:cs="Times New Roman"/>
                <w:b/>
                <w:color w:val="000000"/>
              </w:rPr>
            </w:pPr>
            <w:r>
              <w:rPr>
                <w:rFonts w:ascii="Times New Roman" w:eastAsia="Times New Roman" w:hAnsi="Times New Roman" w:cs="Times New Roman"/>
                <w:b/>
                <w:color w:val="000000"/>
              </w:rPr>
              <w:t>Changes to the Air Contaminant Discharge Permitting Program</w:t>
            </w:r>
          </w:p>
          <w:p w:rsidR="002C59E7" w:rsidRDefault="002C59E7" w:rsidP="002C59E7">
            <w:pPr>
              <w:pStyle w:val="ListParagraph"/>
              <w:numPr>
                <w:ilvl w:val="0"/>
                <w:numId w:val="1"/>
              </w:numPr>
              <w:spacing w:after="120"/>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 xml:space="preserve">Remove a requirement for DEQ to include federal emission standards in </w:t>
            </w:r>
            <w:r w:rsidRPr="009403D5">
              <w:rPr>
                <w:rFonts w:ascii="Times New Roman" w:eastAsia="Times New Roman" w:hAnsi="Times New Roman" w:cs="Times New Roman"/>
                <w:color w:val="000000"/>
              </w:rPr>
              <w:t xml:space="preserve">ACDPs </w:t>
            </w:r>
            <w:r>
              <w:rPr>
                <w:rFonts w:ascii="Times New Roman" w:eastAsia="Times New Roman" w:hAnsi="Times New Roman" w:cs="Times New Roman"/>
                <w:color w:val="000000"/>
              </w:rPr>
              <w:t xml:space="preserve">even when </w:t>
            </w:r>
            <w:r w:rsidRPr="009403D5">
              <w:rPr>
                <w:rFonts w:ascii="Times New Roman" w:eastAsia="Times New Roman" w:hAnsi="Times New Roman" w:cs="Times New Roman"/>
                <w:color w:val="000000"/>
              </w:rPr>
              <w:t xml:space="preserve">the federal </w:t>
            </w:r>
            <w:r>
              <w:rPr>
                <w:rFonts w:ascii="Times New Roman" w:eastAsia="Times New Roman" w:hAnsi="Times New Roman" w:cs="Times New Roman"/>
                <w:color w:val="000000"/>
              </w:rPr>
              <w:t xml:space="preserve">standards have </w:t>
            </w:r>
            <w:r w:rsidRPr="009403D5">
              <w:rPr>
                <w:rFonts w:ascii="Times New Roman" w:eastAsia="Times New Roman" w:hAnsi="Times New Roman" w:cs="Times New Roman"/>
                <w:color w:val="000000"/>
              </w:rPr>
              <w:t xml:space="preserve">not </w:t>
            </w:r>
            <w:r>
              <w:rPr>
                <w:rFonts w:ascii="Times New Roman" w:eastAsia="Times New Roman" w:hAnsi="Times New Roman" w:cs="Times New Roman"/>
                <w:color w:val="000000"/>
              </w:rPr>
              <w:t xml:space="preserve">been </w:t>
            </w:r>
            <w:r w:rsidRPr="009403D5">
              <w:rPr>
                <w:rFonts w:ascii="Times New Roman" w:eastAsia="Times New Roman" w:hAnsi="Times New Roman" w:cs="Times New Roman"/>
                <w:color w:val="000000"/>
              </w:rPr>
              <w:t xml:space="preserve">adopted by the </w:t>
            </w:r>
            <w:r>
              <w:rPr>
                <w:rFonts w:ascii="Times New Roman" w:eastAsia="Times New Roman" w:hAnsi="Times New Roman" w:cs="Times New Roman"/>
                <w:color w:val="000000"/>
              </w:rPr>
              <w:t>EQC;</w:t>
            </w:r>
          </w:p>
          <w:p w:rsidR="002C59E7" w:rsidRPr="00DA7D75" w:rsidRDefault="002C59E7" w:rsidP="002C59E7">
            <w:pPr>
              <w:spacing w:after="120"/>
              <w:ind w:left="1980"/>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would improve the efficiency of the ACDP program.</w:t>
            </w:r>
          </w:p>
          <w:p w:rsidR="002C59E7" w:rsidRDefault="002C59E7" w:rsidP="002C59E7">
            <w:pPr>
              <w:pStyle w:val="ListParagraph"/>
              <w:numPr>
                <w:ilvl w:val="0"/>
                <w:numId w:val="1"/>
              </w:numPr>
              <w:spacing w:after="120"/>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Remove a r</w:t>
            </w:r>
            <w:r w:rsidRPr="009403D5">
              <w:rPr>
                <w:rFonts w:ascii="Times New Roman" w:eastAsia="Times New Roman" w:hAnsi="Times New Roman" w:cs="Times New Roman"/>
                <w:color w:val="000000"/>
              </w:rPr>
              <w:t>equire</w:t>
            </w:r>
            <w:r>
              <w:rPr>
                <w:rFonts w:ascii="Times New Roman" w:eastAsia="Times New Roman" w:hAnsi="Times New Roman" w:cs="Times New Roman"/>
                <w:color w:val="000000"/>
              </w:rPr>
              <w:t xml:space="preserve">ment for </w:t>
            </w:r>
            <w:r w:rsidRPr="009403D5">
              <w:rPr>
                <w:rFonts w:ascii="Times New Roman" w:eastAsia="Times New Roman" w:hAnsi="Times New Roman" w:cs="Times New Roman"/>
                <w:color w:val="000000"/>
              </w:rPr>
              <w:t>affected facilities to obtain an ACDP</w:t>
            </w:r>
            <w:r>
              <w:rPr>
                <w:rFonts w:ascii="Times New Roman" w:eastAsia="Times New Roman" w:hAnsi="Times New Roman" w:cs="Times New Roman"/>
                <w:color w:val="000000"/>
              </w:rPr>
              <w:t xml:space="preserve"> if the facilities are only subject to federal</w:t>
            </w:r>
            <w:r w:rsidRPr="009403D5">
              <w:rPr>
                <w:rFonts w:ascii="Times New Roman" w:eastAsia="Times New Roman" w:hAnsi="Times New Roman" w:cs="Times New Roman"/>
                <w:color w:val="000000"/>
              </w:rPr>
              <w:t xml:space="preserve"> NSPS standards </w:t>
            </w:r>
            <w:r>
              <w:rPr>
                <w:rFonts w:ascii="Times New Roman" w:eastAsia="Times New Roman" w:hAnsi="Times New Roman" w:cs="Times New Roman"/>
                <w:color w:val="000000"/>
              </w:rPr>
              <w:t xml:space="preserve">that have not been adopted by the EQC; </w:t>
            </w:r>
          </w:p>
          <w:p w:rsidR="002C59E7" w:rsidRPr="00DA7D75" w:rsidRDefault="002C59E7" w:rsidP="002C59E7">
            <w:pPr>
              <w:spacing w:after="120"/>
              <w:ind w:left="1980"/>
              <w:outlineLvl w:val="0"/>
              <w:rPr>
                <w:rFonts w:ascii="Times New Roman" w:eastAsia="Times New Roman" w:hAnsi="Times New Roman" w:cs="Times New Roman"/>
                <w:color w:val="000000"/>
              </w:rPr>
            </w:pPr>
            <w:r w:rsidRPr="007260B3">
              <w:rPr>
                <w:rFonts w:ascii="Times New Roman" w:eastAsia="Times New Roman" w:hAnsi="Times New Roman" w:cs="Times New Roman"/>
                <w:color w:val="000000"/>
              </w:rPr>
              <w:t xml:space="preserve">DEQ anticipates that there will be a positive fiscal and economic impact as a result of adopting this change </w:t>
            </w:r>
            <w:r>
              <w:rPr>
                <w:rFonts w:ascii="Times New Roman" w:eastAsia="Times New Roman" w:hAnsi="Times New Roman" w:cs="Times New Roman"/>
                <w:color w:val="000000"/>
              </w:rPr>
              <w:t>because it would improve the efficiency of the ACDP program and also result in fewer sources having to get a permit and pay permitting fees.</w:t>
            </w:r>
          </w:p>
          <w:p w:rsidR="002C59E7" w:rsidRDefault="002C59E7" w:rsidP="002C59E7">
            <w:pPr>
              <w:pStyle w:val="ListParagraph"/>
              <w:numPr>
                <w:ilvl w:val="0"/>
                <w:numId w:val="1"/>
              </w:numPr>
              <w:spacing w:after="120"/>
              <w:contextualSpacing w:val="0"/>
              <w:outlineLvl w:val="0"/>
              <w:rPr>
                <w:rFonts w:ascii="Times New Roman" w:eastAsia="Times New Roman" w:hAnsi="Times New Roman" w:cs="Times New Roman"/>
                <w:color w:val="000000"/>
              </w:rPr>
            </w:pPr>
            <w:r w:rsidRPr="007F529A">
              <w:rPr>
                <w:rFonts w:ascii="Times New Roman" w:eastAsia="Times New Roman" w:hAnsi="Times New Roman" w:cs="Times New Roman"/>
                <w:color w:val="000000"/>
              </w:rPr>
              <w:t xml:space="preserve">Exempt from permitting: </w:t>
            </w:r>
            <w:r w:rsidRPr="00956A91">
              <w:rPr>
                <w:rFonts w:ascii="Times New Roman" w:eastAsia="Times New Roman" w:hAnsi="Times New Roman" w:cs="Times New Roman"/>
                <w:color w:val="000000"/>
              </w:rPr>
              <w:t>facilities</w:t>
            </w:r>
            <w:r w:rsidRPr="00C10519">
              <w:rPr>
                <w:rFonts w:ascii="Times New Roman" w:eastAsia="Times New Roman" w:hAnsi="Times New Roman" w:cs="Times New Roman"/>
                <w:i/>
                <w:color w:val="000000"/>
              </w:rPr>
              <w:t xml:space="preserve"> </w:t>
            </w:r>
            <w:r w:rsidR="00956A91" w:rsidRPr="00D87ED9">
              <w:rPr>
                <w:rFonts w:ascii="Times New Roman" w:hAnsi="Times New Roman" w:cs="Times New Roman"/>
                <w:color w:val="000000"/>
              </w:rPr>
              <w:t xml:space="preserve">subject to only procedural requirements, such as notification that the </w:t>
            </w:r>
            <w:r w:rsidR="00956A91">
              <w:rPr>
                <w:rFonts w:ascii="Times New Roman" w:hAnsi="Times New Roman" w:cs="Times New Roman"/>
                <w:color w:val="000000"/>
              </w:rPr>
              <w:t>facility</w:t>
            </w:r>
            <w:r w:rsidR="00956A91" w:rsidRPr="00D87ED9">
              <w:rPr>
                <w:rFonts w:ascii="Times New Roman" w:hAnsi="Times New Roman" w:cs="Times New Roman"/>
                <w:color w:val="000000"/>
              </w:rPr>
              <w:t xml:space="preserve"> is </w:t>
            </w:r>
            <w:r w:rsidR="00956A91" w:rsidRPr="00956A91">
              <w:rPr>
                <w:rFonts w:ascii="Times New Roman" w:eastAsia="Times New Roman" w:hAnsi="Times New Roman" w:cs="Times New Roman"/>
                <w:color w:val="000000"/>
              </w:rPr>
              <w:t>affected by an NSPS or NESHAP</w:t>
            </w:r>
            <w:r w:rsidRPr="007F529A">
              <w:rPr>
                <w:rFonts w:ascii="Times New Roman" w:eastAsia="Times New Roman" w:hAnsi="Times New Roman" w:cs="Times New Roman"/>
                <w:color w:val="000000"/>
              </w:rPr>
              <w:t>; chemical manufacturing facilities only subject to work practice standards; and</w:t>
            </w:r>
            <w:r>
              <w:rPr>
                <w:rFonts w:ascii="Times New Roman" w:eastAsia="Times New Roman" w:hAnsi="Times New Roman" w:cs="Times New Roman"/>
                <w:color w:val="000000"/>
              </w:rPr>
              <w:t xml:space="preserve"> p</w:t>
            </w:r>
            <w:r w:rsidRPr="007F529A">
              <w:rPr>
                <w:rFonts w:ascii="Times New Roman" w:eastAsia="Times New Roman" w:hAnsi="Times New Roman" w:cs="Times New Roman"/>
                <w:color w:val="000000"/>
              </w:rPr>
              <w:t>aint stripping and surface coating operations using less than 20 gallons of coating and 20 gallons of methylene chloride containing paint stripper per year</w:t>
            </w:r>
            <w:r>
              <w:rPr>
                <w:rFonts w:ascii="Times New Roman" w:eastAsia="Times New Roman" w:hAnsi="Times New Roman" w:cs="Times New Roman"/>
                <w:color w:val="000000"/>
              </w:rPr>
              <w:t xml:space="preserve">; </w:t>
            </w:r>
          </w:p>
          <w:p w:rsidR="002C59E7" w:rsidRPr="000C77A4" w:rsidRDefault="002C59E7" w:rsidP="002C59E7">
            <w:pPr>
              <w:spacing w:after="120"/>
              <w:ind w:left="1980"/>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ese changes because it would result in fewer sources having to get a permit and pay permitting fees.</w:t>
            </w:r>
          </w:p>
          <w:p w:rsidR="002C59E7" w:rsidRPr="009403D5" w:rsidRDefault="002C59E7" w:rsidP="002C59E7">
            <w:pPr>
              <w:pStyle w:val="ListParagraph"/>
              <w:numPr>
                <w:ilvl w:val="0"/>
                <w:numId w:val="1"/>
              </w:numPr>
              <w:spacing w:after="120"/>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G</w:t>
            </w:r>
            <w:r w:rsidRPr="00ED51BC">
              <w:rPr>
                <w:rFonts w:ascii="Times New Roman" w:eastAsia="Times New Roman" w:hAnsi="Times New Roman" w:cs="Times New Roman"/>
                <w:color w:val="000000"/>
              </w:rPr>
              <w:t xml:space="preserve">ive DEQ </w:t>
            </w:r>
            <w:r>
              <w:rPr>
                <w:rFonts w:ascii="Times New Roman" w:eastAsia="Times New Roman" w:hAnsi="Times New Roman" w:cs="Times New Roman"/>
                <w:color w:val="000000"/>
              </w:rPr>
              <w:t xml:space="preserve">the ability </w:t>
            </w:r>
            <w:r w:rsidRPr="00ED51BC">
              <w:rPr>
                <w:rFonts w:ascii="Times New Roman" w:eastAsia="Times New Roman" w:hAnsi="Times New Roman" w:cs="Times New Roman"/>
                <w:color w:val="000000"/>
              </w:rPr>
              <w:t>to add new requirements to Simple or Standard ACDPs by assigning the source to a General ACDP Attachment</w:t>
            </w:r>
            <w:r>
              <w:rPr>
                <w:rFonts w:ascii="Times New Roman" w:eastAsia="Times New Roman" w:hAnsi="Times New Roman" w:cs="Times New Roman"/>
                <w:color w:val="000000"/>
              </w:rPr>
              <w:t>.</w:t>
            </w:r>
            <w:r w:rsidRPr="00ED51BC">
              <w:rPr>
                <w:rFonts w:ascii="Times New Roman" w:eastAsia="Times New Roman" w:hAnsi="Times New Roman" w:cs="Times New Roman"/>
                <w:color w:val="000000"/>
              </w:rPr>
              <w:t xml:space="preserve"> </w:t>
            </w:r>
          </w:p>
          <w:p w:rsidR="002C59E7" w:rsidRPr="000C77A4" w:rsidRDefault="002C59E7" w:rsidP="00C10519">
            <w:pPr>
              <w:spacing w:after="120"/>
              <w:ind w:left="1980" w:right="634"/>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 xml:space="preserve">fiscal and economic impact as </w:t>
            </w:r>
            <w:r w:rsidRPr="00E853DB">
              <w:rPr>
                <w:rFonts w:ascii="Times New Roman" w:eastAsia="Times New Roman" w:hAnsi="Times New Roman" w:cs="Times New Roman"/>
                <w:color w:val="000000"/>
              </w:rPr>
              <w:lastRenderedPageBreak/>
              <w:t>a result of adopting th</w:t>
            </w:r>
            <w:r>
              <w:rPr>
                <w:rFonts w:ascii="Times New Roman" w:eastAsia="Times New Roman" w:hAnsi="Times New Roman" w:cs="Times New Roman"/>
                <w:color w:val="000000"/>
              </w:rPr>
              <w:t>is change because it would improve the efficiency of the ACDP program and in some cases would allow permittees to avoid having to pay special activity fees to have the new requirements incorporated into their permits.</w:t>
            </w:r>
          </w:p>
          <w:p w:rsidR="002C59E7" w:rsidRPr="008F5E19" w:rsidRDefault="002C59E7" w:rsidP="00C10519">
            <w:pPr>
              <w:spacing w:after="120"/>
              <w:ind w:left="1980" w:right="634"/>
              <w:outlineLvl w:val="0"/>
              <w:rPr>
                <w:rFonts w:ascii="Times New Roman" w:eastAsia="Times New Roman" w:hAnsi="Times New Roman" w:cs="Times New Roman"/>
                <w:color w:val="000000"/>
              </w:rPr>
            </w:pPr>
          </w:p>
        </w:tc>
      </w:tr>
    </w:tbl>
    <w:p w:rsidR="002C59E7" w:rsidRDefault="002C59E7" w:rsidP="002C59E7">
      <w:pPr>
        <w:pStyle w:val="ListParagraph"/>
        <w:numPr>
          <w:ilvl w:val="0"/>
          <w:numId w:val="4"/>
        </w:numPr>
        <w:spacing w:after="120"/>
        <w:outlineLvl w:val="0"/>
        <w:rPr>
          <w:rFonts w:ascii="Times New Roman" w:eastAsia="Times New Roman" w:hAnsi="Times New Roman" w:cs="Times New Roman"/>
          <w:b/>
          <w:color w:val="000000"/>
        </w:rPr>
      </w:pPr>
      <w:r w:rsidRPr="008108D1">
        <w:rPr>
          <w:rFonts w:ascii="Times New Roman" w:eastAsia="Times New Roman" w:hAnsi="Times New Roman" w:cs="Times New Roman"/>
          <w:b/>
          <w:color w:val="000000"/>
        </w:rPr>
        <w:lastRenderedPageBreak/>
        <w:t>Clarify and Cleanup Rules</w:t>
      </w:r>
    </w:p>
    <w:p w:rsidR="002C59E7" w:rsidRDefault="002C59E7" w:rsidP="002C59E7">
      <w:pPr>
        <w:pStyle w:val="ListParagraph"/>
        <w:numPr>
          <w:ilvl w:val="0"/>
          <w:numId w:val="5"/>
        </w:numPr>
        <w:spacing w:after="120"/>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Align the late fees for the registration and ACDP programs;</w:t>
      </w:r>
    </w:p>
    <w:p w:rsidR="002C59E7" w:rsidRPr="00DA7D75" w:rsidRDefault="002C59E7" w:rsidP="002C59E7">
      <w:pPr>
        <w:spacing w:after="120"/>
        <w:ind w:left="1980"/>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a positive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late fees would apply eight days after a source misses a deadline for submitting fees instead of immediately after the deadline, so some sources will avoid late fees altogether by paying fees within the grace period</w:t>
      </w:r>
      <w:r w:rsidRPr="00E853DB">
        <w:rPr>
          <w:rFonts w:ascii="Times New Roman" w:eastAsia="Times New Roman" w:hAnsi="Times New Roman" w:cs="Times New Roman"/>
          <w:color w:val="000000"/>
        </w:rPr>
        <w:t>.</w:t>
      </w:r>
    </w:p>
    <w:p w:rsidR="002C59E7" w:rsidRDefault="002C59E7" w:rsidP="002C59E7">
      <w:pPr>
        <w:pStyle w:val="ListParagraph"/>
        <w:numPr>
          <w:ilvl w:val="0"/>
          <w:numId w:val="5"/>
        </w:numPr>
        <w:spacing w:after="120"/>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Clarify the permitting requirements for metal fabrication and finishing operations;</w:t>
      </w:r>
    </w:p>
    <w:p w:rsidR="002C59E7" w:rsidRPr="00DA7D75" w:rsidRDefault="002C59E7" w:rsidP="002C59E7">
      <w:pPr>
        <w:spacing w:after="120"/>
        <w:ind w:left="1980"/>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corrects an error made in a previous rulemaking. This change would not result in any new permittees or any permittees paying higher fees.</w:t>
      </w:r>
    </w:p>
    <w:p w:rsidR="002C59E7" w:rsidRDefault="002C59E7" w:rsidP="002C59E7">
      <w:pPr>
        <w:pStyle w:val="ListParagraph"/>
        <w:numPr>
          <w:ilvl w:val="0"/>
          <w:numId w:val="5"/>
        </w:numPr>
        <w:spacing w:after="120"/>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Remove redundant general permit fee class assignments for halogenated solvent cleaners; </w:t>
      </w:r>
    </w:p>
    <w:p w:rsidR="002C59E7" w:rsidRPr="00DA7D75" w:rsidRDefault="002C59E7" w:rsidP="002C59E7">
      <w:pPr>
        <w:spacing w:after="120"/>
        <w:ind w:left="1980"/>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it would not decrease or increase the fees for halogenated solvent cleaners</w:t>
      </w:r>
      <w:r w:rsidRPr="00E853DB">
        <w:rPr>
          <w:rFonts w:ascii="Times New Roman" w:eastAsia="Times New Roman" w:hAnsi="Times New Roman" w:cs="Times New Roman"/>
          <w:color w:val="000000"/>
        </w:rPr>
        <w:t>.</w:t>
      </w:r>
    </w:p>
    <w:p w:rsidR="002C59E7" w:rsidRDefault="002C59E7" w:rsidP="002C59E7">
      <w:pPr>
        <w:pStyle w:val="ListParagraph"/>
        <w:numPr>
          <w:ilvl w:val="0"/>
          <w:numId w:val="5"/>
        </w:numPr>
        <w:spacing w:after="120"/>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Remove redundant gasoline dispensing facility control requirements in OAR 340 Division 232;</w:t>
      </w:r>
    </w:p>
    <w:p w:rsidR="002C59E7" w:rsidRPr="00DA7D75" w:rsidRDefault="002C59E7" w:rsidP="002C59E7">
      <w:pPr>
        <w:spacing w:after="120"/>
        <w:ind w:left="1980"/>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is change because the gasoline dispensing facility requirements in Division 232 are redundant to the gasoline dispensing facility requirements in Division 244.</w:t>
      </w:r>
    </w:p>
    <w:p w:rsidR="002C59E7" w:rsidRDefault="002C59E7" w:rsidP="002C59E7">
      <w:pPr>
        <w:pStyle w:val="ListParagraph"/>
        <w:numPr>
          <w:ilvl w:val="0"/>
          <w:numId w:val="5"/>
        </w:numPr>
        <w:spacing w:after="120"/>
        <w:contextualSpacing w:val="0"/>
        <w:outlineLvl w:val="0"/>
        <w:rPr>
          <w:rFonts w:ascii="Times New Roman" w:eastAsia="Times New Roman" w:hAnsi="Times New Roman" w:cs="Times New Roman"/>
          <w:color w:val="000000"/>
        </w:rPr>
      </w:pPr>
      <w:r>
        <w:rPr>
          <w:rFonts w:ascii="Times New Roman" w:eastAsia="Times New Roman" w:hAnsi="Times New Roman" w:cs="Times New Roman"/>
          <w:color w:val="000000"/>
        </w:rPr>
        <w:t>Reassign c</w:t>
      </w:r>
      <w:r w:rsidRPr="0009293F">
        <w:rPr>
          <w:rFonts w:ascii="Times New Roman" w:eastAsia="Times New Roman" w:hAnsi="Times New Roman" w:cs="Times New Roman"/>
          <w:color w:val="000000"/>
        </w:rPr>
        <w:t xml:space="preserve">rematories to </w:t>
      </w:r>
      <w:r>
        <w:rPr>
          <w:rFonts w:ascii="Times New Roman" w:eastAsia="Times New Roman" w:hAnsi="Times New Roman" w:cs="Times New Roman"/>
          <w:color w:val="000000"/>
        </w:rPr>
        <w:t xml:space="preserve">General ACDP </w:t>
      </w:r>
      <w:r w:rsidRPr="0009293F">
        <w:rPr>
          <w:rFonts w:ascii="Times New Roman" w:eastAsia="Times New Roman" w:hAnsi="Times New Roman" w:cs="Times New Roman"/>
          <w:color w:val="000000"/>
        </w:rPr>
        <w:t>fee class one</w:t>
      </w:r>
      <w:r>
        <w:rPr>
          <w:rFonts w:ascii="Times New Roman" w:eastAsia="Times New Roman" w:hAnsi="Times New Roman" w:cs="Times New Roman"/>
          <w:color w:val="000000"/>
        </w:rPr>
        <w:t xml:space="preserve"> (crematories were inadvertently assigned to fee class two in a previous rulemaking);</w:t>
      </w:r>
    </w:p>
    <w:p w:rsidR="002C59E7" w:rsidRPr="00DA7D75" w:rsidRDefault="002C59E7" w:rsidP="002C59E7">
      <w:pPr>
        <w:spacing w:after="120"/>
        <w:ind w:left="1980"/>
        <w:outlineLvl w:val="0"/>
        <w:rPr>
          <w:rFonts w:ascii="Times New Roman" w:eastAsia="Times New Roman" w:hAnsi="Times New Roman" w:cs="Times New Roman"/>
          <w:color w:val="000000"/>
        </w:rPr>
      </w:pPr>
      <w:r w:rsidRPr="00E853DB">
        <w:rPr>
          <w:rFonts w:ascii="Times New Roman" w:eastAsia="Times New Roman" w:hAnsi="Times New Roman" w:cs="Times New Roman"/>
          <w:color w:val="000000"/>
        </w:rPr>
        <w:t xml:space="preserve">DEQ anticipates that there will be </w:t>
      </w:r>
      <w:r>
        <w:rPr>
          <w:rFonts w:ascii="Times New Roman" w:eastAsia="Times New Roman" w:hAnsi="Times New Roman" w:cs="Times New Roman"/>
          <w:color w:val="000000"/>
        </w:rPr>
        <w:t xml:space="preserve">no </w:t>
      </w:r>
      <w:r w:rsidRPr="00E853DB">
        <w:rPr>
          <w:rFonts w:ascii="Times New Roman" w:eastAsia="Times New Roman" w:hAnsi="Times New Roman" w:cs="Times New Roman"/>
          <w:color w:val="000000"/>
        </w:rPr>
        <w:t>fiscal and economic impact as a result of adopting th</w:t>
      </w:r>
      <w:r>
        <w:rPr>
          <w:rFonts w:ascii="Times New Roman" w:eastAsia="Times New Roman" w:hAnsi="Times New Roman" w:cs="Times New Roman"/>
          <w:color w:val="000000"/>
        </w:rPr>
        <w:t xml:space="preserve">is change because it corrects a </w:t>
      </w:r>
      <w:r>
        <w:rPr>
          <w:rFonts w:ascii="Times New Roman" w:eastAsia="Times New Roman" w:hAnsi="Times New Roman" w:cs="Times New Roman"/>
        </w:rPr>
        <w:t>fee class assignment which DEQ inadvertently changed in a previous rulemaking and crematories have continued to pay class one fees</w:t>
      </w:r>
      <w:r w:rsidRPr="00E853DB">
        <w:rPr>
          <w:rFonts w:ascii="Times New Roman" w:eastAsia="Times New Roman" w:hAnsi="Times New Roman" w:cs="Times New Roman"/>
          <w:color w:val="000000"/>
        </w:rPr>
        <w:t>.</w:t>
      </w:r>
    </w:p>
    <w:p w:rsidR="002C59E7" w:rsidRPr="00DA7D75" w:rsidRDefault="002C59E7" w:rsidP="002C59E7">
      <w:pPr>
        <w:pStyle w:val="ListParagraph"/>
        <w:numPr>
          <w:ilvl w:val="0"/>
          <w:numId w:val="5"/>
        </w:numPr>
        <w:spacing w:after="120"/>
        <w:contextualSpacing w:val="0"/>
        <w:outlineLvl w:val="0"/>
        <w:rPr>
          <w:rFonts w:ascii="Times New Roman" w:eastAsia="Times New Roman" w:hAnsi="Times New Roman" w:cs="Times New Roman"/>
          <w:color w:val="000000"/>
        </w:rPr>
      </w:pPr>
      <w:r w:rsidRPr="00DA7D75">
        <w:rPr>
          <w:rFonts w:ascii="Times New Roman" w:eastAsia="Times New Roman" w:hAnsi="Times New Roman" w:cs="Times New Roman"/>
          <w:color w:val="000000"/>
        </w:rPr>
        <w:t xml:space="preserve">Repeal DEQ’s accidental release prevention rule.   </w:t>
      </w:r>
    </w:p>
    <w:p w:rsidR="002C59E7" w:rsidRDefault="002C59E7" w:rsidP="002C59E7">
      <w:pPr>
        <w:pStyle w:val="ListParagraph"/>
        <w:spacing w:after="120"/>
        <w:ind w:left="1980"/>
        <w:outlineLvl w:val="0"/>
        <w:rPr>
          <w:rFonts w:ascii="Times New Roman" w:eastAsia="Times New Roman" w:hAnsi="Times New Roman" w:cs="Times New Roman"/>
          <w:color w:val="000000"/>
        </w:rPr>
      </w:pPr>
      <w:r w:rsidRPr="00C16BA7">
        <w:rPr>
          <w:rFonts w:ascii="Times New Roman" w:eastAsia="Times New Roman" w:hAnsi="Times New Roman" w:cs="Times New Roman"/>
          <w:color w:val="000000"/>
        </w:rPr>
        <w:t xml:space="preserve">DEQ anticipates that there will be no fiscal and economic impact as a result of adopting this change because </w:t>
      </w:r>
      <w:r>
        <w:rPr>
          <w:rFonts w:ascii="Times New Roman" w:eastAsia="Times New Roman" w:hAnsi="Times New Roman" w:cs="Times New Roman"/>
          <w:color w:val="000000"/>
        </w:rPr>
        <w:t>it only removes a placeholder rule for the federal accidental release prevention rules, which are in place and would continue to apply to Oregon businesses.</w:t>
      </w:r>
    </w:p>
    <w:p w:rsidR="002C59E7" w:rsidRDefault="002C59E7" w:rsidP="002C59E7">
      <w:pPr>
        <w:pStyle w:val="ListParagraph"/>
        <w:spacing w:after="120"/>
        <w:ind w:left="1980" w:right="634"/>
        <w:outlineLvl w:val="0"/>
        <w:rPr>
          <w:rFonts w:ascii="Times New Roman" w:eastAsia="Times New Roman" w:hAnsi="Times New Roman" w:cs="Times New Roman"/>
          <w:color w:val="000000"/>
        </w:rPr>
      </w:pPr>
    </w:p>
    <w:tbl>
      <w:tblPr>
        <w:tblStyle w:val="TableGrid"/>
        <w:tblW w:w="0" w:type="auto"/>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4770"/>
      </w:tblGrid>
      <w:tr w:rsidR="002C59E7" w:rsidRPr="00B15DF7" w:rsidTr="002C59E7">
        <w:tc>
          <w:tcPr>
            <w:tcW w:w="3960" w:type="dxa"/>
          </w:tcPr>
          <w:p w:rsidR="002C59E7" w:rsidRPr="00B15DF7"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 xml:space="preserve">a) </w:t>
            </w:r>
            <w:r w:rsidRPr="00B15DF7">
              <w:rPr>
                <w:rFonts w:ascii="Times New Roman" w:eastAsia="Times New Roman" w:hAnsi="Times New Roman" w:cs="Times New Roman"/>
                <w:color w:val="786E54"/>
              </w:rPr>
              <w:t>Estimated number of small businesses and types of businesses and industries with small businesses subject to proposed rule.</w:t>
            </w:r>
          </w:p>
          <w:p w:rsidR="002C59E7" w:rsidRPr="00B15DF7"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15DF7">
              <w:rPr>
                <w:rFonts w:ascii="Times New Roman" w:eastAsia="Times New Roman" w:hAnsi="Times New Roman" w:cs="Times New Roman"/>
                <w:color w:val="786E54"/>
              </w:rPr>
              <w:lastRenderedPageBreak/>
              <w:tab/>
            </w:r>
          </w:p>
        </w:tc>
        <w:tc>
          <w:tcPr>
            <w:tcW w:w="4770" w:type="dxa"/>
          </w:tcPr>
          <w:p w:rsidR="002C59E7" w:rsidRPr="00504D01"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bCs/>
              </w:rPr>
            </w:pPr>
            <w:r>
              <w:rPr>
                <w:rFonts w:ascii="Times New Roman" w:eastAsia="Times New Roman" w:hAnsi="Times New Roman" w:cs="Times New Roman"/>
                <w:bCs/>
              </w:rPr>
              <w:lastRenderedPageBreak/>
              <w:t>Estimated number of small business subject to proposed rules: c</w:t>
            </w:r>
            <w:r w:rsidRPr="00504D01">
              <w:rPr>
                <w:rFonts w:ascii="Times New Roman" w:eastAsia="Times New Roman" w:hAnsi="Times New Roman" w:cs="Times New Roman"/>
                <w:bCs/>
              </w:rPr>
              <w:t xml:space="preserve">hemical manufacturing facilities subject only to work practice standards (1); </w:t>
            </w:r>
            <w:r>
              <w:rPr>
                <w:rFonts w:ascii="Times New Roman" w:eastAsia="Times New Roman" w:hAnsi="Times New Roman" w:cs="Times New Roman"/>
                <w:bCs/>
              </w:rPr>
              <w:t xml:space="preserve">paint stripping and </w:t>
            </w:r>
            <w:r w:rsidRPr="00504D01">
              <w:rPr>
                <w:rFonts w:ascii="Times New Roman" w:eastAsia="Times New Roman" w:hAnsi="Times New Roman" w:cs="Times New Roman"/>
                <w:bCs/>
              </w:rPr>
              <w:t xml:space="preserve">surface coating operations using less </w:t>
            </w:r>
            <w:r w:rsidRPr="00504D01">
              <w:rPr>
                <w:rFonts w:ascii="Times New Roman" w:eastAsia="Times New Roman" w:hAnsi="Times New Roman" w:cs="Times New Roman"/>
                <w:bCs/>
              </w:rPr>
              <w:lastRenderedPageBreak/>
              <w:t xml:space="preserve">than 20 gallons of coating </w:t>
            </w:r>
            <w:r>
              <w:rPr>
                <w:rFonts w:ascii="Times New Roman" w:eastAsia="Times New Roman" w:hAnsi="Times New Roman" w:cs="Times New Roman"/>
                <w:bCs/>
              </w:rPr>
              <w:t xml:space="preserve">and 20 gallons of methylene chloride </w:t>
            </w:r>
            <w:bookmarkStart w:id="0" w:name="_GoBack"/>
            <w:bookmarkEnd w:id="0"/>
            <w:r>
              <w:rPr>
                <w:rFonts w:ascii="Times New Roman" w:eastAsia="Times New Roman" w:hAnsi="Times New Roman" w:cs="Times New Roman"/>
                <w:bCs/>
              </w:rPr>
              <w:t xml:space="preserve">paint stripper </w:t>
            </w:r>
            <w:r w:rsidRPr="00504D01">
              <w:rPr>
                <w:rFonts w:ascii="Times New Roman" w:eastAsia="Times New Roman" w:hAnsi="Times New Roman" w:cs="Times New Roman"/>
                <w:bCs/>
              </w:rPr>
              <w:t>per year (</w:t>
            </w:r>
            <w:r>
              <w:rPr>
                <w:rFonts w:ascii="Times New Roman" w:eastAsia="Times New Roman" w:hAnsi="Times New Roman" w:cs="Times New Roman"/>
                <w:bCs/>
              </w:rPr>
              <w:t>2</w:t>
            </w:r>
            <w:r w:rsidRPr="00504D01">
              <w:rPr>
                <w:rFonts w:ascii="Times New Roman" w:eastAsia="Times New Roman" w:hAnsi="Times New Roman" w:cs="Times New Roman"/>
                <w:bCs/>
              </w:rPr>
              <w:t>); gasoline dispensing facilities that dispense gasoline into “non-road vehicles” and “non-road engines” (223); new federal area source NESHAP for gold mine ore processing and production (</w:t>
            </w:r>
            <w:r>
              <w:rPr>
                <w:rFonts w:ascii="Times New Roman" w:eastAsia="Times New Roman" w:hAnsi="Times New Roman" w:cs="Times New Roman"/>
                <w:bCs/>
              </w:rPr>
              <w:t>0</w:t>
            </w:r>
            <w:r w:rsidRPr="00504D01">
              <w:rPr>
                <w:rFonts w:ascii="Times New Roman" w:eastAsia="Times New Roman" w:hAnsi="Times New Roman" w:cs="Times New Roman"/>
                <w:bCs/>
              </w:rPr>
              <w:t xml:space="preserve">); new federal major source NESHAP for electric utility </w:t>
            </w:r>
            <w:r>
              <w:rPr>
                <w:rFonts w:ascii="Times New Roman" w:eastAsia="Times New Roman" w:hAnsi="Times New Roman" w:cs="Times New Roman"/>
                <w:bCs/>
              </w:rPr>
              <w:t>steam generating units</w:t>
            </w:r>
            <w:r w:rsidRPr="00504D01">
              <w:rPr>
                <w:rFonts w:ascii="Times New Roman" w:eastAsia="Times New Roman" w:hAnsi="Times New Roman" w:cs="Times New Roman"/>
                <w:bCs/>
              </w:rPr>
              <w:t xml:space="preserve"> (1); </w:t>
            </w:r>
            <w:r>
              <w:rPr>
                <w:rFonts w:ascii="Times New Roman" w:eastAsia="Times New Roman" w:hAnsi="Times New Roman" w:cs="Times New Roman"/>
                <w:bCs/>
              </w:rPr>
              <w:t xml:space="preserve">new federal major source NESHAP for polyvinyl chloride and copolymers production (0); </w:t>
            </w:r>
            <w:r w:rsidRPr="00504D01">
              <w:rPr>
                <w:rFonts w:ascii="Times New Roman" w:eastAsia="Times New Roman" w:hAnsi="Times New Roman" w:cs="Times New Roman"/>
                <w:bCs/>
              </w:rPr>
              <w:t>and new federal NSPS for sewage sludge incineration units (0).</w:t>
            </w:r>
          </w:p>
          <w:p w:rsidR="002C59E7" w:rsidRPr="00CB54E6"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color w:val="000000" w:themeColor="text1"/>
              </w:rPr>
            </w:pPr>
          </w:p>
        </w:tc>
      </w:tr>
      <w:tr w:rsidR="002C59E7" w:rsidRPr="00B15DF7" w:rsidTr="002C59E7">
        <w:tc>
          <w:tcPr>
            <w:tcW w:w="3960" w:type="dxa"/>
          </w:tcPr>
          <w:p w:rsidR="002C59E7" w:rsidRPr="00B15DF7"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lastRenderedPageBreak/>
              <w:t>b)</w:t>
            </w:r>
            <w:r w:rsidRPr="00B15DF7">
              <w:rPr>
                <w:rFonts w:ascii="Times New Roman" w:eastAsia="Times New Roman" w:hAnsi="Times New Roman" w:cs="Times New Roman"/>
                <w:color w:val="786E54"/>
              </w:rPr>
              <w:t xml:space="preserve"> Projected reporting, recordkeeping and other administrative activities, including costs of professional services, required for small businesses to comply with the proposed rule.</w:t>
            </w:r>
          </w:p>
          <w:p w:rsidR="002C59E7" w:rsidRPr="00B15DF7"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4770" w:type="dxa"/>
          </w:tcPr>
          <w:p w:rsidR="002C59E7" w:rsidRPr="00B43B09"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rPr>
              <w:t xml:space="preserve">The adoption of new and amended federal standards do not add any new reporting, recordkeeping and other administrative activities other than those already required by the federal standards. The requirement that </w:t>
            </w:r>
            <w:r>
              <w:rPr>
                <w:rFonts w:ascii="Times New Roman" w:eastAsia="Times New Roman" w:hAnsi="Times New Roman" w:cs="Times New Roman"/>
              </w:rPr>
              <w:t>facilities dispensing gasoline into “non-road vehicles” and “non-road engines”</w:t>
            </w:r>
            <w:r w:rsidRPr="00B43B09">
              <w:rPr>
                <w:rFonts w:ascii="Times New Roman" w:eastAsia="Times New Roman" w:hAnsi="Times New Roman" w:cs="Times New Roman"/>
              </w:rPr>
              <w:t xml:space="preserve"> </w:t>
            </w:r>
            <w:r>
              <w:rPr>
                <w:rFonts w:ascii="Times New Roman" w:eastAsia="Times New Roman" w:hAnsi="Times New Roman" w:cs="Times New Roman"/>
              </w:rPr>
              <w:t xml:space="preserve">comply with the more stringent Oregon gasoline dispensing facility requirements and </w:t>
            </w:r>
            <w:r w:rsidRPr="00B43B09">
              <w:rPr>
                <w:rFonts w:ascii="Times New Roman" w:eastAsia="Times New Roman" w:hAnsi="Times New Roman" w:cs="Times New Roman"/>
              </w:rPr>
              <w:t xml:space="preserve">obtain a permit may increase the </w:t>
            </w:r>
            <w:r>
              <w:rPr>
                <w:rFonts w:ascii="Times New Roman" w:eastAsia="Times New Roman" w:hAnsi="Times New Roman" w:cs="Times New Roman"/>
              </w:rPr>
              <w:t xml:space="preserve">reporting, recordkeeping and other </w:t>
            </w:r>
            <w:r w:rsidRPr="00B43B09">
              <w:rPr>
                <w:rFonts w:ascii="Times New Roman" w:eastAsia="Times New Roman" w:hAnsi="Times New Roman" w:cs="Times New Roman"/>
              </w:rPr>
              <w:t>administrative activities or costs of professional services on small businesses.</w:t>
            </w:r>
            <w:r>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Pr>
                <w:rFonts w:ascii="Times New Roman" w:eastAsia="Times New Roman" w:hAnsi="Times New Roman" w:cs="Times New Roman"/>
                <w:color w:val="000000"/>
              </w:rPr>
              <w:t xml:space="preserve">The </w:t>
            </w:r>
            <w:proofErr w:type="gramStart"/>
            <w:r>
              <w:rPr>
                <w:rFonts w:ascii="Times New Roman" w:eastAsia="Times New Roman" w:hAnsi="Times New Roman" w:cs="Times New Roman"/>
                <w:color w:val="000000"/>
              </w:rPr>
              <w:t>majority of these facilities have</w:t>
            </w:r>
            <w:proofErr w:type="gramEnd"/>
            <w:r>
              <w:rPr>
                <w:rFonts w:ascii="Times New Roman" w:eastAsia="Times New Roman" w:hAnsi="Times New Roman" w:cs="Times New Roman"/>
                <w:color w:val="000000"/>
              </w:rPr>
              <w:t xml:space="preserve"> small tanks and </w:t>
            </w:r>
            <w:r w:rsidRPr="008F5E19">
              <w:rPr>
                <w:rFonts w:ascii="Times New Roman" w:eastAsia="Times New Roman" w:hAnsi="Times New Roman" w:cs="Times New Roman"/>
                <w:color w:val="000000"/>
              </w:rPr>
              <w:t xml:space="preserve">are </w:t>
            </w:r>
            <w:r>
              <w:rPr>
                <w:rFonts w:ascii="Times New Roman" w:eastAsia="Times New Roman" w:hAnsi="Times New Roman" w:cs="Times New Roman"/>
                <w:color w:val="000000"/>
              </w:rPr>
              <w:t xml:space="preserve">not </w:t>
            </w:r>
            <w:r w:rsidRPr="008F5E19">
              <w:rPr>
                <w:rFonts w:ascii="Times New Roman" w:eastAsia="Times New Roman" w:hAnsi="Times New Roman" w:cs="Times New Roman"/>
                <w:color w:val="000000"/>
              </w:rPr>
              <w:t xml:space="preserve">likely to have throughputs </w:t>
            </w:r>
            <w:r>
              <w:rPr>
                <w:rFonts w:ascii="Times New Roman" w:eastAsia="Times New Roman" w:hAnsi="Times New Roman" w:cs="Times New Roman"/>
                <w:color w:val="000000"/>
              </w:rPr>
              <w:t xml:space="preserve">that would trigger Oregon’s more stringent control requirements and </w:t>
            </w:r>
            <w:r w:rsidRPr="008F5E19">
              <w:rPr>
                <w:rFonts w:ascii="Times New Roman" w:eastAsia="Times New Roman" w:hAnsi="Times New Roman" w:cs="Times New Roman"/>
                <w:color w:val="000000"/>
              </w:rPr>
              <w:t xml:space="preserve">permitting. Therefore, the </w:t>
            </w:r>
            <w:r w:rsidRPr="00E853DB">
              <w:rPr>
                <w:rFonts w:ascii="Times New Roman" w:eastAsia="Times New Roman" w:hAnsi="Times New Roman" w:cs="Times New Roman"/>
                <w:color w:val="000000"/>
              </w:rPr>
              <w:t>impact</w:t>
            </w:r>
            <w:r w:rsidRPr="008F5E19">
              <w:rPr>
                <w:rFonts w:ascii="Times New Roman" w:eastAsia="Times New Roman" w:hAnsi="Times New Roman" w:cs="Times New Roman"/>
                <w:color w:val="000000"/>
              </w:rPr>
              <w:t xml:space="preserve"> is not expected to be significant.</w:t>
            </w:r>
            <w:r w:rsidRPr="00B43B09">
              <w:rPr>
                <w:rFonts w:ascii="Times New Roman" w:eastAsia="Times New Roman" w:hAnsi="Times New Roman" w:cs="Times New Roman"/>
              </w:rPr>
              <w:t xml:space="preserve">  </w:t>
            </w:r>
          </w:p>
          <w:p w:rsidR="002C59E7" w:rsidRPr="00504D01"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rPr>
            </w:pPr>
          </w:p>
        </w:tc>
      </w:tr>
      <w:tr w:rsidR="002C59E7" w:rsidRPr="00B15DF7" w:rsidTr="002C59E7">
        <w:tc>
          <w:tcPr>
            <w:tcW w:w="3960" w:type="dxa"/>
          </w:tcPr>
          <w:p w:rsidR="002C59E7" w:rsidRPr="00B15DF7"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t>c)</w:t>
            </w:r>
            <w:r w:rsidRPr="00B15DF7">
              <w:rPr>
                <w:rFonts w:ascii="Times New Roman" w:eastAsia="Times New Roman" w:hAnsi="Times New Roman" w:cs="Times New Roman"/>
                <w:color w:val="786E54"/>
              </w:rPr>
              <w:t xml:space="preserve"> Projected equipment, supplies, labor and increased administration required for small businesses to comply with the proposed rule.</w:t>
            </w:r>
          </w:p>
          <w:p w:rsidR="002C59E7" w:rsidRPr="00B15DF7"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4770" w:type="dxa"/>
          </w:tcPr>
          <w:p w:rsidR="002C59E7"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r w:rsidRPr="00B43B09">
              <w:rPr>
                <w:rFonts w:ascii="Times New Roman" w:eastAsia="Times New Roman" w:hAnsi="Times New Roman" w:cs="Times New Roman"/>
                <w:bCs/>
              </w:rPr>
              <w:t xml:space="preserve">The adoption of new and amended federal standards would not require small businesses to add any equipment, supplies, labor or administration because the federal standards apply in Oregon upon EPA’s adoption. </w:t>
            </w:r>
            <w:r w:rsidRPr="00B43B09">
              <w:rPr>
                <w:rFonts w:ascii="Times New Roman" w:eastAsia="Times New Roman" w:hAnsi="Times New Roman" w:cs="Times New Roman"/>
              </w:rPr>
              <w:t xml:space="preserve">The requirement that </w:t>
            </w:r>
            <w:r>
              <w:rPr>
                <w:rFonts w:ascii="Times New Roman" w:eastAsia="Times New Roman" w:hAnsi="Times New Roman" w:cs="Times New Roman"/>
              </w:rPr>
              <w:t>facilities dispensing gasoline into “non-road vehicles” and “non-road engines”</w:t>
            </w:r>
            <w:r w:rsidRPr="00B43B09">
              <w:rPr>
                <w:rFonts w:ascii="Times New Roman" w:eastAsia="Times New Roman" w:hAnsi="Times New Roman" w:cs="Times New Roman"/>
              </w:rPr>
              <w:t xml:space="preserve"> </w:t>
            </w:r>
            <w:r>
              <w:rPr>
                <w:rFonts w:ascii="Times New Roman" w:eastAsia="Times New Roman" w:hAnsi="Times New Roman" w:cs="Times New Roman"/>
              </w:rPr>
              <w:t xml:space="preserve">comply with the more stringent Oregon gasoline dispensing facility requirements and </w:t>
            </w:r>
            <w:r w:rsidRPr="00B43B09">
              <w:rPr>
                <w:rFonts w:ascii="Times New Roman" w:eastAsia="Times New Roman" w:hAnsi="Times New Roman" w:cs="Times New Roman"/>
              </w:rPr>
              <w:t xml:space="preserve">obtain a permit </w:t>
            </w:r>
            <w:r w:rsidRPr="00B43B09">
              <w:rPr>
                <w:rFonts w:ascii="Times New Roman" w:eastAsia="Times New Roman" w:hAnsi="Times New Roman" w:cs="Times New Roman"/>
                <w:bCs/>
              </w:rPr>
              <w:t>may require small businesses to add equipment, supplies, labor or administration</w:t>
            </w:r>
            <w:r w:rsidRPr="00B43B09">
              <w:rPr>
                <w:rFonts w:ascii="Times New Roman" w:eastAsia="Times New Roman" w:hAnsi="Times New Roman" w:cs="Times New Roman"/>
              </w:rPr>
              <w:t>.</w:t>
            </w:r>
            <w:r>
              <w:rPr>
                <w:rFonts w:ascii="Times New Roman" w:eastAsia="Times New Roman" w:hAnsi="Times New Roman" w:cs="Times New Roman"/>
              </w:rPr>
              <w:t xml:space="preserve"> This impact was mitigated in a previous rulemaking by exempting facilities that dispense less than 10,000 gallons per month of gasoline from permitting. </w:t>
            </w:r>
            <w:r>
              <w:rPr>
                <w:rFonts w:ascii="Times New Roman" w:eastAsia="Times New Roman" w:hAnsi="Times New Roman" w:cs="Times New Roman"/>
                <w:color w:val="000000"/>
              </w:rPr>
              <w:t xml:space="preserve">The majority of these facilities have small tanks and </w:t>
            </w:r>
            <w:r w:rsidRPr="008F5E19">
              <w:rPr>
                <w:rFonts w:ascii="Times New Roman" w:eastAsia="Times New Roman" w:hAnsi="Times New Roman" w:cs="Times New Roman"/>
                <w:color w:val="000000"/>
              </w:rPr>
              <w:t xml:space="preserve">are </w:t>
            </w:r>
            <w:r>
              <w:rPr>
                <w:rFonts w:ascii="Times New Roman" w:eastAsia="Times New Roman" w:hAnsi="Times New Roman" w:cs="Times New Roman"/>
                <w:color w:val="000000"/>
              </w:rPr>
              <w:t xml:space="preserve">not </w:t>
            </w:r>
            <w:r w:rsidRPr="008F5E19">
              <w:rPr>
                <w:rFonts w:ascii="Times New Roman" w:eastAsia="Times New Roman" w:hAnsi="Times New Roman" w:cs="Times New Roman"/>
                <w:color w:val="000000"/>
              </w:rPr>
              <w:t xml:space="preserve">likely to have throughputs </w:t>
            </w:r>
            <w:r>
              <w:rPr>
                <w:rFonts w:ascii="Times New Roman" w:eastAsia="Times New Roman" w:hAnsi="Times New Roman" w:cs="Times New Roman"/>
                <w:color w:val="000000"/>
              </w:rPr>
              <w:t xml:space="preserve">that would trigger Oregon’s more stringent control requirements and </w:t>
            </w:r>
            <w:r w:rsidRPr="008F5E19">
              <w:rPr>
                <w:rFonts w:ascii="Times New Roman" w:eastAsia="Times New Roman" w:hAnsi="Times New Roman" w:cs="Times New Roman"/>
                <w:color w:val="000000"/>
              </w:rPr>
              <w:t xml:space="preserve">permitting. Therefore, the </w:t>
            </w:r>
            <w:r w:rsidRPr="00E853DB">
              <w:rPr>
                <w:rFonts w:ascii="Times New Roman" w:eastAsia="Times New Roman" w:hAnsi="Times New Roman" w:cs="Times New Roman"/>
                <w:color w:val="000000"/>
              </w:rPr>
              <w:t>impact</w:t>
            </w:r>
            <w:r w:rsidRPr="008F5E19">
              <w:rPr>
                <w:rFonts w:ascii="Times New Roman" w:eastAsia="Times New Roman" w:hAnsi="Times New Roman" w:cs="Times New Roman"/>
                <w:color w:val="000000"/>
              </w:rPr>
              <w:t xml:space="preserve"> is not expected to be significant.</w:t>
            </w:r>
            <w:r>
              <w:rPr>
                <w:rFonts w:ascii="Times New Roman" w:eastAsia="Times New Roman" w:hAnsi="Times New Roman" w:cs="Times New Roman"/>
                <w:color w:val="000000"/>
              </w:rPr>
              <w:t xml:space="preserve"> </w:t>
            </w:r>
          </w:p>
          <w:p w:rsidR="002C59E7" w:rsidRPr="002D2623"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color w:val="000000"/>
              </w:rPr>
            </w:pPr>
          </w:p>
        </w:tc>
      </w:tr>
      <w:tr w:rsidR="002C59E7" w:rsidRPr="00B15DF7" w:rsidTr="002C59E7">
        <w:tc>
          <w:tcPr>
            <w:tcW w:w="3960" w:type="dxa"/>
          </w:tcPr>
          <w:p w:rsidR="002C59E7" w:rsidRPr="00B15DF7"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color w:val="786E54"/>
              </w:rPr>
            </w:pPr>
            <w:r w:rsidRPr="00B15DF7">
              <w:rPr>
                <w:rFonts w:ascii="Times New Roman" w:eastAsia="Times New Roman" w:hAnsi="Times New Roman" w:cs="Times New Roman"/>
                <w:bCs/>
                <w:color w:val="786E54"/>
              </w:rPr>
              <w:lastRenderedPageBreak/>
              <w:t>d)</w:t>
            </w:r>
            <w:r w:rsidRPr="00B15DF7">
              <w:rPr>
                <w:rFonts w:ascii="Times New Roman" w:eastAsia="Times New Roman" w:hAnsi="Times New Roman" w:cs="Times New Roman"/>
                <w:color w:val="786E54"/>
              </w:rPr>
              <w:t xml:space="preserve"> Describe how DEQ involved small businesses in developing this proposed rule.</w:t>
            </w:r>
          </w:p>
          <w:p w:rsidR="002C59E7" w:rsidRPr="00B15DF7"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rPr>
            </w:pPr>
          </w:p>
        </w:tc>
        <w:tc>
          <w:tcPr>
            <w:tcW w:w="4770" w:type="dxa"/>
          </w:tcPr>
          <w:p w:rsidR="002C59E7" w:rsidRPr="00B43B09" w:rsidRDefault="002C59E7" w:rsidP="00C10519">
            <w:pPr>
              <w:tabs>
                <w:tab w:val="left" w:pos="12453"/>
                <w:tab w:val="left" w:pos="13188"/>
                <w:tab w:val="left" w:pos="13964"/>
                <w:tab w:val="left" w:pos="14699"/>
                <w:tab w:val="left" w:pos="16283"/>
              </w:tabs>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 DEQ </w:t>
            </w:r>
            <w:r>
              <w:rPr>
                <w:rFonts w:ascii="Times New Roman" w:eastAsia="Times New Roman" w:hAnsi="Times New Roman" w:cs="Times New Roman"/>
                <w:bCs/>
              </w:rPr>
              <w:t xml:space="preserve">previously </w:t>
            </w:r>
            <w:r w:rsidRPr="00B43B09">
              <w:rPr>
                <w:rFonts w:ascii="Times New Roman" w:eastAsia="Times New Roman" w:hAnsi="Times New Roman" w:cs="Times New Roman"/>
                <w:bCs/>
              </w:rPr>
              <w:t xml:space="preserve">met with various groups representing small businesses to discuss DEQ’s implementation strategy for the new area source NESHAPs. </w:t>
            </w:r>
          </w:p>
        </w:tc>
      </w:tr>
    </w:tbl>
    <w:p w:rsid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2C59E7" w:rsidRPr="0055409E" w:rsidRDefault="002C59E7" w:rsidP="002C59E7">
      <w:pPr>
        <w:pStyle w:val="ListParagraph"/>
        <w:numPr>
          <w:ilvl w:val="0"/>
          <w:numId w:val="3"/>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large businesses (all businesses that are not small businesses under 2 above)</w:t>
      </w:r>
    </w:p>
    <w:p w:rsidR="002C59E7" w:rsidRPr="00006475"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rPr>
        <w:t>Any fiscal and economic impacts on l</w:t>
      </w:r>
      <w:r>
        <w:rPr>
          <w:rFonts w:ascii="Times New Roman" w:eastAsia="Times New Roman" w:hAnsi="Times New Roman" w:cs="Times New Roman"/>
        </w:rPr>
        <w:t xml:space="preserve">arge businesses </w:t>
      </w:r>
      <w:r w:rsidRPr="00006475">
        <w:rPr>
          <w:rFonts w:ascii="Times New Roman" w:eastAsia="Times New Roman" w:hAnsi="Times New Roman" w:cs="Times New Roman"/>
        </w:rPr>
        <w:t xml:space="preserve">are expected to be the same as those estimated for small businesses. </w:t>
      </w:r>
    </w:p>
    <w:p w:rsid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2C59E7" w:rsidRPr="0055409E" w:rsidRDefault="002C59E7" w:rsidP="002C59E7">
      <w:pPr>
        <w:pStyle w:val="ListParagraph"/>
        <w:numPr>
          <w:ilvl w:val="0"/>
          <w:numId w:val="3"/>
        </w:numPr>
        <w:spacing w:after="120"/>
        <w:ind w:left="1080"/>
        <w:rPr>
          <w:rFonts w:asciiTheme="majorHAnsi" w:eastAsia="Times New Roman" w:hAnsiTheme="majorHAnsi" w:cstheme="majorHAnsi"/>
          <w:bCs/>
          <w:color w:val="504938"/>
          <w:sz w:val="22"/>
          <w:szCs w:val="22"/>
        </w:rPr>
      </w:pPr>
      <w:r w:rsidRPr="00504D01">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local government other than DEQ</w:t>
      </w:r>
    </w:p>
    <w:p w:rsid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73E21">
        <w:rPr>
          <w:rFonts w:ascii="Times New Roman" w:eastAsia="Times New Roman" w:hAnsi="Times New Roman" w:cs="Times New Roman"/>
          <w:u w:val="single"/>
        </w:rPr>
        <w:t>Direct impact</w:t>
      </w:r>
      <w:r>
        <w:rPr>
          <w:rFonts w:ascii="Times New Roman" w:eastAsia="Times New Roman" w:hAnsi="Times New Roman" w:cs="Times New Roman"/>
        </w:rPr>
        <w:t>: a</w:t>
      </w:r>
      <w:r w:rsidRPr="00D10E89">
        <w:rPr>
          <w:rFonts w:ascii="Times New Roman" w:eastAsia="Times New Roman" w:hAnsi="Times New Roman" w:cs="Times New Roman"/>
        </w:rPr>
        <w:t xml:space="preserve">ny direct fiscal and economic impacts on local governments </w:t>
      </w:r>
      <w:r>
        <w:rPr>
          <w:rFonts w:ascii="Times New Roman" w:eastAsia="Times New Roman" w:hAnsi="Times New Roman" w:cs="Times New Roman"/>
        </w:rPr>
        <w:t xml:space="preserve">that operate facilities subject to federal emission standards </w:t>
      </w:r>
      <w:r w:rsidRPr="00D10E89">
        <w:rPr>
          <w:rFonts w:ascii="Times New Roman" w:eastAsia="Times New Roman" w:hAnsi="Times New Roman" w:cs="Times New Roman"/>
        </w:rPr>
        <w:t>are expected to be the same as those estimated for small businesses.</w:t>
      </w:r>
    </w:p>
    <w:p w:rsidR="002C59E7" w:rsidRPr="00D10E89" w:rsidRDefault="002C59E7" w:rsidP="002C59E7">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r w:rsidRPr="00D10E89">
        <w:rPr>
          <w:rFonts w:ascii="Times New Roman" w:eastAsia="Times New Roman" w:hAnsi="Times New Roman" w:cs="Times New Roman"/>
        </w:rPr>
        <w:t xml:space="preserve"> </w:t>
      </w:r>
    </w:p>
    <w:p w:rsidR="002C59E7" w:rsidRP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2C59E7">
        <w:rPr>
          <w:rFonts w:ascii="Times New Roman" w:eastAsia="Times New Roman" w:hAnsi="Times New Roman" w:cs="Times New Roman"/>
          <w:u w:val="single"/>
        </w:rPr>
        <w:t>Indirect impact</w:t>
      </w:r>
      <w:r w:rsidRPr="002C59E7">
        <w:rPr>
          <w:rFonts w:ascii="Times New Roman" w:eastAsia="Times New Roman" w:hAnsi="Times New Roman" w:cs="Times New Roman"/>
        </w:rPr>
        <w:t xml:space="preserve">: local governments </w:t>
      </w:r>
      <w:r w:rsidRPr="002C59E7">
        <w:rPr>
          <w:rFonts w:ascii="Times New Roman" w:hAnsi="Times New Roman" w:cs="Times New Roman"/>
        </w:rPr>
        <w:t>could be indirectly impacted by the proposed rule changes as large and small businesses pass along increased or decreased costs in the form of price changes for goods and services</w:t>
      </w:r>
      <w:r>
        <w:rPr>
          <w:rFonts w:ascii="Times New Roman" w:hAnsi="Times New Roman" w:cs="Times New Roman"/>
        </w:rPr>
        <w:t>.</w:t>
      </w:r>
      <w:r w:rsidRPr="002C59E7">
        <w:rPr>
          <w:rFonts w:ascii="Times New Roman" w:eastAsia="Times New Roman" w:hAnsi="Times New Roman" w:cs="Times New Roman"/>
        </w:rPr>
        <w:t xml:space="preserve"> </w:t>
      </w:r>
    </w:p>
    <w:p w:rsid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Pr>
          <w:rFonts w:ascii="Times New Roman" w:eastAsia="Times New Roman" w:hAnsi="Times New Roman" w:cs="Times New Roman"/>
        </w:rPr>
        <w:t>Also, a</w:t>
      </w:r>
      <w:r w:rsidRPr="00D10E89">
        <w:rPr>
          <w:rFonts w:ascii="Times New Roman" w:eastAsia="Times New Roman" w:hAnsi="Times New Roman" w:cs="Times New Roman"/>
        </w:rPr>
        <w:t xml:space="preserve">ll Oregon cities and counties could be </w:t>
      </w:r>
      <w:r>
        <w:rPr>
          <w:rFonts w:ascii="Times New Roman" w:eastAsia="Times New Roman" w:hAnsi="Times New Roman" w:cs="Times New Roman"/>
        </w:rPr>
        <w:t xml:space="preserve">indirectly </w:t>
      </w:r>
      <w:r w:rsidRPr="00D10E89">
        <w:rPr>
          <w:rFonts w:ascii="Times New Roman" w:eastAsia="Times New Roman" w:hAnsi="Times New Roman" w:cs="Times New Roman"/>
        </w:rPr>
        <w:t xml:space="preserve">impacted by the requirement that businesses affected by </w:t>
      </w:r>
      <w:r>
        <w:rPr>
          <w:rFonts w:ascii="Times New Roman" w:eastAsia="Times New Roman" w:hAnsi="Times New Roman" w:cs="Times New Roman"/>
        </w:rPr>
        <w:t xml:space="preserve">new federal requirements </w:t>
      </w:r>
      <w:r w:rsidRPr="00D10E89">
        <w:rPr>
          <w:rFonts w:ascii="Times New Roman" w:eastAsia="Times New Roman" w:hAnsi="Times New Roman" w:cs="Times New Roman"/>
        </w:rPr>
        <w:t xml:space="preserve">obtain a permit. This is because businesses throughout the state are required to submit a Land Use Compatibility Statement with their permit application, and local governments process those Land Use Compatibility Statements. Some cities and counties charge a fee to complete the Land Use Compatibility Statement and therefore may have sufficient revenue to cover the added workload. Those cities that don’t charge a fee, or that don’t charge sufficient fees to cover their costs, may have new workload without additional revenue. DEQ does not have adequate information to estimate these fiscal impacts at this time. </w:t>
      </w:r>
    </w:p>
    <w:p w:rsidR="002C59E7" w:rsidRPr="00D10E89" w:rsidRDefault="002C59E7" w:rsidP="002C59E7">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2C59E7" w:rsidRPr="0055409E" w:rsidRDefault="002C59E7" w:rsidP="002C59E7">
      <w:pPr>
        <w:pStyle w:val="ListParagraph"/>
        <w:numPr>
          <w:ilvl w:val="0"/>
          <w:numId w:val="3"/>
        </w:numPr>
        <w:spacing w:after="120"/>
        <w:ind w:left="108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Impacts on DEQ</w:t>
      </w:r>
    </w:p>
    <w:p w:rsidR="002C59E7" w:rsidRPr="00D10E89"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Implementing the federal rules will require DEQ to provide technical assistance, issue permits, perform inspections, and issue formal enforcement actions against violators. </w:t>
      </w:r>
      <w:r>
        <w:rPr>
          <w:rFonts w:ascii="Times New Roman" w:eastAsia="Times New Roman" w:hAnsi="Times New Roman" w:cs="Times New Roman"/>
        </w:rPr>
        <w:t>This work will be implemented by existing staff, funded by revenue from permit fees.  The rule amendments that exempt sources from permitting or lower fees will reduce net revenue, while the rule amendments that incorporate standards for previously unpermitted sources will increase net revenue. DEQ does not have adequate information to estimate the net change in revenue, but expects that it will not be significant.</w:t>
      </w:r>
    </w:p>
    <w:p w:rsidR="002C59E7" w:rsidRDefault="002C59E7" w:rsidP="002C59E7">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006475">
        <w:rPr>
          <w:rFonts w:ascii="Times New Roman" w:eastAsia="Times New Roman" w:hAnsi="Times New Roman" w:cs="Times New Roman"/>
          <w:u w:val="single"/>
        </w:rPr>
        <w:t>Indirect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 xml:space="preserve">The indirect cost impacts on DEQ are expected to be the same as those estimated for small businesses. </w:t>
      </w:r>
    </w:p>
    <w:p w:rsidR="002C59E7" w:rsidRPr="00D10E89" w:rsidRDefault="002C59E7" w:rsidP="002C59E7">
      <w:pPr>
        <w:tabs>
          <w:tab w:val="left" w:pos="12453"/>
          <w:tab w:val="left" w:pos="13188"/>
          <w:tab w:val="left" w:pos="13964"/>
          <w:tab w:val="left" w:pos="14699"/>
          <w:tab w:val="left" w:pos="16283"/>
        </w:tabs>
        <w:ind w:left="1440"/>
        <w:outlineLvl w:val="0"/>
        <w:rPr>
          <w:rFonts w:ascii="Times New Roman" w:eastAsia="Times New Roman" w:hAnsi="Times New Roman" w:cs="Times New Roman"/>
        </w:rPr>
      </w:pPr>
    </w:p>
    <w:p w:rsidR="002C59E7" w:rsidRPr="0055409E" w:rsidRDefault="002C59E7" w:rsidP="002C59E7">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Documents relied on for fiscal and economic impact</w:t>
      </w:r>
    </w:p>
    <w:p w:rsidR="002C59E7" w:rsidRPr="00D10E89"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D10E89">
        <w:rPr>
          <w:rFonts w:ascii="Times New Roman" w:eastAsia="Times New Roman" w:hAnsi="Times New Roman" w:cs="Times New Roman"/>
        </w:rPr>
        <w:t xml:space="preserve">DEQ relied primarily on the Federal Register, the Code of Federal Regulations, and the Oregon Revised Statutes, in developing this rulemaking proposal. Copies of the documents relied upon in the development of this rulemaking proposal can be reviewed at DEQ’s office </w:t>
      </w:r>
      <w:r w:rsidRPr="00D10E89">
        <w:rPr>
          <w:rFonts w:ascii="Times New Roman" w:eastAsia="Times New Roman" w:hAnsi="Times New Roman" w:cs="Times New Roman"/>
        </w:rPr>
        <w:lastRenderedPageBreak/>
        <w:t xml:space="preserve">at 811 S.W. 6th Avenue, Portland, Oregon. Please contact Jerry Ebersole for times when the documents are available for review. </w:t>
      </w:r>
    </w:p>
    <w:p w:rsid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2C59E7" w:rsidRDefault="002C59E7" w:rsidP="002C59E7">
      <w:pPr>
        <w:spacing w:after="120"/>
        <w:ind w:left="720"/>
        <w:rPr>
          <w:rFonts w:asciiTheme="majorHAnsi" w:eastAsia="Times New Roman" w:hAnsiTheme="majorHAnsi" w:cstheme="majorHAnsi"/>
          <w:bCs/>
          <w:color w:val="504938"/>
          <w:sz w:val="22"/>
          <w:szCs w:val="22"/>
        </w:rPr>
      </w:pPr>
      <w:r w:rsidRPr="0055409E">
        <w:rPr>
          <w:rFonts w:asciiTheme="majorHAnsi" w:eastAsia="Times New Roman" w:hAnsiTheme="majorHAnsi" w:cstheme="majorHAnsi"/>
          <w:bCs/>
          <w:color w:val="504938"/>
          <w:sz w:val="22"/>
          <w:szCs w:val="22"/>
        </w:rPr>
        <w:t>Advisory committee</w:t>
      </w:r>
    </w:p>
    <w:p w:rsid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r w:rsidRPr="00B43B09">
        <w:rPr>
          <w:rFonts w:ascii="Times New Roman" w:eastAsia="Times New Roman" w:hAnsi="Times New Roman" w:cs="Times New Roman"/>
          <w:bCs/>
        </w:rPr>
        <w:t xml:space="preserve">DEQ did not </w:t>
      </w:r>
      <w:r w:rsidRPr="002D2623">
        <w:rPr>
          <w:rFonts w:ascii="Times New Roman" w:eastAsia="Times New Roman" w:hAnsi="Times New Roman" w:cs="Times New Roman"/>
        </w:rPr>
        <w:t>hold</w:t>
      </w:r>
      <w:r w:rsidRPr="00B43B09">
        <w:rPr>
          <w:rFonts w:ascii="Times New Roman" w:eastAsia="Times New Roman" w:hAnsi="Times New Roman" w:cs="Times New Roman"/>
          <w:bCs/>
        </w:rPr>
        <w:t xml:space="preserve"> an official advisory committee for this rulemaking because the rulemaking would primarily adopt federal regulations by reference.</w:t>
      </w:r>
    </w:p>
    <w:p w:rsidR="002C59E7" w:rsidRPr="00B15DF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rPr>
      </w:pPr>
    </w:p>
    <w:p w:rsidR="002C59E7" w:rsidRPr="00C65D06" w:rsidRDefault="002C59E7" w:rsidP="002C59E7">
      <w:pPr>
        <w:tabs>
          <w:tab w:val="left" w:pos="12453"/>
          <w:tab w:val="left" w:pos="13188"/>
          <w:tab w:val="left" w:pos="13964"/>
          <w:tab w:val="left" w:pos="14699"/>
          <w:tab w:val="left" w:pos="16283"/>
        </w:tabs>
        <w:spacing w:after="120"/>
        <w:ind w:left="72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Housing Cost</w:t>
      </w:r>
    </w:p>
    <w:p w:rsidR="002C59E7" w:rsidRPr="002C59E7" w:rsidRDefault="002C59E7" w:rsidP="002C59E7">
      <w:pPr>
        <w:tabs>
          <w:tab w:val="left" w:pos="12453"/>
          <w:tab w:val="left" w:pos="13188"/>
          <w:tab w:val="left" w:pos="13964"/>
          <w:tab w:val="left" w:pos="14699"/>
          <w:tab w:val="left" w:pos="16283"/>
        </w:tabs>
        <w:ind w:left="1080"/>
        <w:outlineLvl w:val="0"/>
        <w:rPr>
          <w:rFonts w:ascii="Times New Roman" w:eastAsia="Times New Roman" w:hAnsi="Times New Roman" w:cs="Times New Roman"/>
          <w:bCs/>
        </w:rPr>
      </w:pPr>
      <w:r>
        <w:rPr>
          <w:rFonts w:ascii="Times New Roman" w:eastAsia="Times New Roman" w:hAnsi="Times New Roman" w:cs="Times New Roman"/>
          <w:bCs/>
        </w:rPr>
        <w:t xml:space="preserve">To comply with ORS 183.534, </w:t>
      </w:r>
      <w:r w:rsidRPr="00B43B09">
        <w:rPr>
          <w:rFonts w:ascii="Times New Roman" w:eastAsia="Times New Roman" w:hAnsi="Times New Roman" w:cs="Times New Roman"/>
          <w:bCs/>
        </w:rPr>
        <w:t xml:space="preserve">DEQ has determined that </w:t>
      </w:r>
      <w:r>
        <w:rPr>
          <w:rFonts w:ascii="Times New Roman" w:eastAsia="Times New Roman" w:hAnsi="Times New Roman" w:cs="Times New Roman"/>
          <w:bCs/>
        </w:rPr>
        <w:t>t</w:t>
      </w:r>
      <w:r w:rsidRPr="002C59E7">
        <w:rPr>
          <w:rFonts w:ascii="Times New Roman" w:eastAsia="Times New Roman" w:hAnsi="Times New Roman" w:cs="Times New Roman"/>
          <w:bCs/>
        </w:rPr>
        <w:t>he requirement that facilities dispensing gasoline into “non-road vehicles” and “non-road engines” comply with the more stringent Oregon gasoline dispensing facility requirements and obtain a permit</w:t>
      </w:r>
      <w:r w:rsidRPr="00B43B09">
        <w:rPr>
          <w:rFonts w:ascii="Times New Roman" w:eastAsia="Times New Roman" w:hAnsi="Times New Roman" w:cs="Times New Roman"/>
          <w:bCs/>
        </w:rPr>
        <w:t xml:space="preserve"> may have a negative impact on the cost of development of a 6,000 square foot parcel and the construction of a 1,200 square foot detached single-family dwelling on that parcel. The negative impact could occur if </w:t>
      </w:r>
      <w:r>
        <w:rPr>
          <w:rFonts w:ascii="Times New Roman" w:eastAsia="Times New Roman" w:hAnsi="Times New Roman" w:cs="Times New Roman"/>
          <w:bCs/>
        </w:rPr>
        <w:t xml:space="preserve">the cost of emission controls and </w:t>
      </w:r>
      <w:r w:rsidRPr="00B43B09">
        <w:rPr>
          <w:rFonts w:ascii="Times New Roman" w:eastAsia="Times New Roman" w:hAnsi="Times New Roman" w:cs="Times New Roman"/>
          <w:bCs/>
        </w:rPr>
        <w:t>permitting fees are passed through by permit holders providing products and services for such development and construction. The possible impact appears to be minimal. DEQ cannot quantify this impact at this time because the available information does not indicate whether the permit fees would be passed on to consumers and any such estimate would be speculative.</w:t>
      </w:r>
    </w:p>
    <w:p w:rsidR="002C59E7" w:rsidRDefault="002C59E7" w:rsidP="002C59E7">
      <w:pPr>
        <w:spacing w:after="120"/>
        <w:ind w:leftChars="450" w:left="1260" w:right="634" w:hangingChars="75" w:hanging="180"/>
        <w:contextualSpacing/>
        <w:outlineLvl w:val="0"/>
        <w:rPr>
          <w:rFonts w:ascii="Times New Roman" w:eastAsia="Times New Roman" w:hAnsi="Times New Roman" w:cs="Times New Roman"/>
        </w:rPr>
      </w:pPr>
    </w:p>
    <w:sectPr w:rsidR="002C59E7" w:rsidSect="00B74449">
      <w:pgSz w:w="12240" w:h="15840"/>
      <w:pgMar w:top="81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73882"/>
    <w:multiLevelType w:val="hybridMultilevel"/>
    <w:tmpl w:val="584AA58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0AB49F8"/>
    <w:multiLevelType w:val="hybridMultilevel"/>
    <w:tmpl w:val="711EFD88"/>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
    <w:nsid w:val="36F91B15"/>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nsid w:val="3C622C11"/>
    <w:multiLevelType w:val="hybridMultilevel"/>
    <w:tmpl w:val="E66433C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8524234"/>
    <w:multiLevelType w:val="hybridMultilevel"/>
    <w:tmpl w:val="42725AD0"/>
    <w:lvl w:ilvl="0" w:tplc="04090019">
      <w:start w:val="1"/>
      <w:numFmt w:val="lowerLetter"/>
      <w:lvlText w:val="%1."/>
      <w:lvlJc w:val="left"/>
      <w:pPr>
        <w:ind w:left="1980" w:hanging="360"/>
      </w:pPr>
      <w:rPr>
        <w:rFonts w:hint="default"/>
        <w:color w:val="auto"/>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nsid w:val="732E03DC"/>
    <w:multiLevelType w:val="hybridMultilevel"/>
    <w:tmpl w:val="A404AD7C"/>
    <w:lvl w:ilvl="0" w:tplc="CCA433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C59E7"/>
    <w:rsid w:val="002C59E7"/>
    <w:rsid w:val="00414598"/>
    <w:rsid w:val="006A20E4"/>
    <w:rsid w:val="007145E0"/>
    <w:rsid w:val="00956A91"/>
    <w:rsid w:val="00B37227"/>
    <w:rsid w:val="00B74449"/>
    <w:rsid w:val="00C10519"/>
    <w:rsid w:val="00C83BD8"/>
    <w:rsid w:val="00EB1A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9E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59E7"/>
    <w:pPr>
      <w:ind w:left="720"/>
      <w:contextualSpacing/>
    </w:pPr>
  </w:style>
  <w:style w:type="character" w:styleId="Hyperlink">
    <w:name w:val="Hyperlink"/>
    <w:basedOn w:val="DefaultParagraphFont"/>
    <w:uiPriority w:val="99"/>
    <w:unhideWhenUsed/>
    <w:rsid w:val="002C59E7"/>
    <w:rPr>
      <w:color w:val="0000FF" w:themeColor="hyperlink"/>
      <w:u w:val="single"/>
    </w:rPr>
  </w:style>
  <w:style w:type="table" w:styleId="TableGrid">
    <w:name w:val="Table Grid"/>
    <w:basedOn w:val="TableNormal"/>
    <w:uiPriority w:val="59"/>
    <w:rsid w:val="002C59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2157</Words>
  <Characters>12296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GEberso</dc:creator>
  <cp:lastModifiedBy>GEberso</cp:lastModifiedBy>
  <cp:revision>2</cp:revision>
  <cp:lastPrinted>2012-08-14T17:54:00Z</cp:lastPrinted>
  <dcterms:created xsi:type="dcterms:W3CDTF">2012-08-15T19:37:00Z</dcterms:created>
  <dcterms:modified xsi:type="dcterms:W3CDTF">2012-08-15T19:37:00Z</dcterms:modified>
</cp:coreProperties>
</file>