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C74D58" w:rsidRPr="00245802" w:rsidRDefault="00245802" w:rsidP="00C74D58">
      <w:pPr>
        <w:tabs>
          <w:tab w:val="left" w:pos="908"/>
          <w:tab w:val="left" w:pos="16582"/>
        </w:tabs>
        <w:ind w:left="108"/>
        <w:jc w:val="center"/>
        <w:rPr>
          <w:rFonts w:ascii="Times New Roman" w:eastAsia="Times New Roman" w:hAnsi="Times New Roman" w:cs="Times New Roman"/>
          <w:color w:val="000000"/>
        </w:rPr>
      </w:pPr>
      <w:r w:rsidRPr="00245802">
        <w:rPr>
          <w:rFonts w:eastAsia="Times New Roman"/>
          <w:color w:val="32525C"/>
          <w:sz w:val="28"/>
          <w:szCs w:val="28"/>
        </w:rPr>
        <w:t>Permanent Rule Proposal For:</w:t>
      </w:r>
    </w:p>
    <w:p w:rsidR="00C74D58" w:rsidRPr="006A0E65"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000000"/>
        </w:rPr>
      </w:pPr>
      <w:r>
        <w:rPr>
          <w:rFonts w:ascii="Times New Roman" w:eastAsia="Times New Roman" w:hAnsi="Times New Roman" w:cs="Times New Roman"/>
          <w:b/>
          <w:color w:val="000000"/>
        </w:rPr>
        <w:tab/>
      </w:r>
      <w:r w:rsidR="009403D5" w:rsidRPr="00245802">
        <w:rPr>
          <w:rFonts w:eastAsia="Times New Roman"/>
          <w:b/>
          <w:color w:val="32525C"/>
          <w:sz w:val="28"/>
          <w:szCs w:val="28"/>
        </w:rPr>
        <w:t>Updat</w:t>
      </w:r>
      <w:r w:rsidR="005D1FA8">
        <w:rPr>
          <w:rFonts w:eastAsia="Times New Roman"/>
          <w:b/>
          <w:color w:val="32525C"/>
          <w:sz w:val="28"/>
          <w:szCs w:val="28"/>
        </w:rPr>
        <w:t>ing</w:t>
      </w:r>
      <w:r w:rsidR="009403D5" w:rsidRPr="00245802">
        <w:rPr>
          <w:rFonts w:eastAsia="Times New Roman"/>
          <w:b/>
          <w:color w:val="32525C"/>
          <w:sz w:val="28"/>
          <w:szCs w:val="28"/>
        </w:rPr>
        <w:t xml:space="preserve"> Oregon</w:t>
      </w:r>
      <w:r w:rsidR="005D1FA8">
        <w:rPr>
          <w:rFonts w:eastAsia="Times New Roman"/>
          <w:b/>
          <w:color w:val="32525C"/>
          <w:sz w:val="28"/>
          <w:szCs w:val="28"/>
        </w:rPr>
        <w:t>’s</w:t>
      </w:r>
      <w:r w:rsidR="009403D5" w:rsidRPr="00245802">
        <w:rPr>
          <w:rFonts w:eastAsia="Times New Roman"/>
          <w:b/>
          <w:color w:val="32525C"/>
          <w:sz w:val="28"/>
          <w:szCs w:val="28"/>
        </w:rPr>
        <w:t xml:space="preserve"> </w:t>
      </w:r>
      <w:r w:rsidR="005D1FA8">
        <w:rPr>
          <w:rFonts w:eastAsia="Times New Roman"/>
          <w:b/>
          <w:color w:val="32525C"/>
          <w:sz w:val="28"/>
          <w:szCs w:val="28"/>
        </w:rPr>
        <w:t xml:space="preserve">air quality </w:t>
      </w:r>
      <w:r w:rsidR="009403D5" w:rsidRPr="00245802">
        <w:rPr>
          <w:rFonts w:eastAsia="Times New Roman"/>
          <w:b/>
          <w:color w:val="32525C"/>
          <w:sz w:val="28"/>
          <w:szCs w:val="28"/>
        </w:rPr>
        <w:t>rules to address federal regulations</w:t>
      </w:r>
      <w:hyperlink r:id="rId12"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p w:rsidR="00245802" w:rsidRDefault="00245802"/>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304A23" w:rsidRDefault="00C74D58" w:rsidP="00C74D58">
            <w:pPr>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21C99" w:rsidRDefault="00245802" w:rsidP="00BC549C">
      <w:pPr>
        <w:ind w:left="1080" w:right="63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they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they 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Pr="008108D1">
        <w:rPr>
          <w:rFonts w:ascii="Times New Roman" w:hAnsi="Times New Roman" w:cs="Times New Roman"/>
        </w:rPr>
        <w:t xml:space="preserve"> </w:t>
      </w:r>
    </w:p>
    <w:p w:rsidR="00A21C99" w:rsidRDefault="00A21C99">
      <w:pPr>
        <w:ind w:left="1080" w:right="630"/>
        <w:rPr>
          <w:rFonts w:ascii="Times New Roman" w:hAnsi="Times New Roman" w:cs="Times New Roman"/>
        </w:rPr>
      </w:pPr>
    </w:p>
    <w:p w:rsidR="00A21C99" w:rsidRDefault="00245802">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sidR="00575BB3">
        <w:rPr>
          <w:rFonts w:ascii="Times New Roman" w:hAnsi="Times New Roman" w:cs="Times New Roman"/>
        </w:rPr>
        <w:t xml:space="preserve">ew </w:t>
      </w:r>
      <w:r w:rsidRPr="008108D1">
        <w:rPr>
          <w:rFonts w:ascii="Times New Roman" w:hAnsi="Times New Roman" w:cs="Times New Roman"/>
        </w:rPr>
        <w:t>S</w:t>
      </w:r>
      <w:r w:rsidR="00575BB3">
        <w:rPr>
          <w:rFonts w:ascii="Times New Roman" w:hAnsi="Times New Roman" w:cs="Times New Roman"/>
        </w:rPr>
        <w:t xml:space="preserve">ource </w:t>
      </w:r>
      <w:r w:rsidRPr="008108D1">
        <w:rPr>
          <w:rFonts w:ascii="Times New Roman" w:hAnsi="Times New Roman" w:cs="Times New Roman"/>
        </w:rPr>
        <w:t>P</w:t>
      </w:r>
      <w:r w:rsidR="00575BB3">
        <w:rPr>
          <w:rFonts w:ascii="Times New Roman" w:hAnsi="Times New Roman" w:cs="Times New Roman"/>
        </w:rPr>
        <w:t xml:space="preserve">erformance </w:t>
      </w:r>
      <w:r w:rsidRPr="008108D1">
        <w:rPr>
          <w:rFonts w:ascii="Times New Roman" w:hAnsi="Times New Roman" w:cs="Times New Roman"/>
        </w:rPr>
        <w:t>S</w:t>
      </w:r>
      <w:r w:rsidR="00575BB3">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making the standards more stringent. </w:t>
      </w:r>
    </w:p>
    <w:p w:rsidR="00A21C99" w:rsidRDefault="00A21C99">
      <w:pPr>
        <w:ind w:left="1080" w:right="630"/>
        <w:rPr>
          <w:rFonts w:ascii="Times New Roman" w:hAnsi="Times New Roman" w:cs="Times New Roman"/>
        </w:rPr>
      </w:pPr>
    </w:p>
    <w:p w:rsidR="00A21C99" w:rsidRDefault="00583521">
      <w:pPr>
        <w:ind w:left="1080" w:right="630"/>
        <w:rPr>
          <w:rFonts w:ascii="Times New Roman" w:hAnsi="Times New Roman" w:cs="Times New Roman"/>
        </w:rPr>
      </w:pPr>
      <w:r>
        <w:rPr>
          <w:rFonts w:ascii="Times New Roman" w:hAnsi="Times New Roman" w:cs="Times New Roman"/>
        </w:rPr>
        <w:t xml:space="preserve">The </w:t>
      </w:r>
      <w:r w:rsidR="00C0359C">
        <w:rPr>
          <w:rFonts w:ascii="Times New Roman" w:hAnsi="Times New Roman" w:cs="Times New Roman"/>
        </w:rPr>
        <w:t>EQC</w:t>
      </w:r>
      <w:r>
        <w:rPr>
          <w:rFonts w:ascii="Times New Roman" w:hAnsi="Times New Roman" w:cs="Times New Roman"/>
        </w:rPr>
        <w:t xml:space="preserve"> </w:t>
      </w:r>
      <w:r w:rsidR="00245802" w:rsidRPr="008108D1">
        <w:rPr>
          <w:rFonts w:ascii="Times New Roman" w:hAnsi="Times New Roman" w:cs="Times New Roman"/>
        </w:rPr>
        <w:t xml:space="preserve">is adopting the area source standards in five phases. The first three phases concluded in December 2008, December 2009, and February 2011. This rulemaking is phase four of five. </w:t>
      </w:r>
      <w:r>
        <w:rPr>
          <w:rFonts w:ascii="Times New Roman" w:hAnsi="Times New Roman" w:cs="Times New Roman"/>
        </w:rPr>
        <w:t>The a</w:t>
      </w:r>
      <w:r w:rsidR="00245802" w:rsidRPr="008108D1">
        <w:rPr>
          <w:rFonts w:ascii="Times New Roman" w:hAnsi="Times New Roman" w:cs="Times New Roman"/>
        </w:rPr>
        <w:t xml:space="preserve">doption of new and amended NSPSs and NESHAPs is an ongoing process.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standards for </w:t>
      </w:r>
      <w:r w:rsidR="002105A3">
        <w:rPr>
          <w:rFonts w:asciiTheme="minorHAnsi" w:eastAsia="Times New Roman" w:hAnsiTheme="minorHAnsi" w:cstheme="minorHAnsi"/>
          <w:bCs/>
          <w:color w:val="000000" w:themeColor="text1"/>
        </w:rPr>
        <w:t>electric utility 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as well as changes to the federal gasoline dispensing facility rules. The rulemaking proposal would 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Permits are required for sources subject to NSPS and NESHAP.</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 xml:space="preserve">This rulemaking regulates: </w:t>
      </w:r>
    </w:p>
    <w:p w:rsidR="00DC7F19" w:rsidRPr="009403D5" w:rsidRDefault="00DC7F19" w:rsidP="00DC7F1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Facilities subject to </w:t>
      </w:r>
      <w:r>
        <w:rPr>
          <w:rFonts w:ascii="Times New Roman" w:eastAsia="Times New Roman" w:hAnsi="Times New Roman" w:cs="Times New Roman"/>
        </w:rPr>
        <w:t xml:space="preserve">a </w:t>
      </w:r>
      <w:r w:rsidRPr="009403D5">
        <w:rPr>
          <w:rFonts w:ascii="Times New Roman" w:eastAsia="Times New Roman" w:hAnsi="Times New Roman" w:cs="Times New Roman"/>
        </w:rPr>
        <w:t>newly promulgated NESHAP</w:t>
      </w:r>
      <w:r>
        <w:rPr>
          <w:rFonts w:ascii="Times New Roman" w:eastAsia="Times New Roman" w:hAnsi="Times New Roman" w:cs="Times New Roman"/>
        </w:rPr>
        <w:t xml:space="preserve"> or NSPS</w:t>
      </w:r>
      <w:r w:rsidRPr="009403D5">
        <w:rPr>
          <w:rFonts w:ascii="Times New Roman" w:eastAsia="Times New Roman" w:hAnsi="Times New Roman" w:cs="Times New Roman"/>
        </w:rPr>
        <w:t>: electric utility s</w:t>
      </w:r>
      <w:r>
        <w:rPr>
          <w:rFonts w:ascii="Times New Roman" w:eastAsia="Times New Roman" w:hAnsi="Times New Roman" w:cs="Times New Roman"/>
        </w:rPr>
        <w:t>team generating units</w:t>
      </w:r>
      <w:r w:rsidRPr="009403D5">
        <w:rPr>
          <w:rFonts w:ascii="Times New Roman" w:eastAsia="Times New Roman" w:hAnsi="Times New Roman" w:cs="Times New Roman"/>
        </w:rPr>
        <w:t xml:space="preserve">, gold mine ore processing and production, </w:t>
      </w:r>
      <w:r w:rsidR="003A75CB">
        <w:rPr>
          <w:rFonts w:ascii="Times New Roman" w:eastAsia="Times New Roman" w:hAnsi="Times New Roman" w:cs="Times New Roman"/>
        </w:rPr>
        <w:t xml:space="preserve">polyvinyl chloride and copolymers production, and </w:t>
      </w:r>
      <w:r w:rsidRPr="009403D5">
        <w:rPr>
          <w:rFonts w:ascii="Times New Roman" w:eastAsia="Times New Roman" w:hAnsi="Times New Roman" w:cs="Times New Roman"/>
        </w:rPr>
        <w:t xml:space="preserve">sewage sludge incinerators; </w:t>
      </w:r>
    </w:p>
    <w:p w:rsidR="00DC7F19" w:rsidRPr="00C80010" w:rsidRDefault="00DC7F19" w:rsidP="00DC7F1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C80010">
        <w:rPr>
          <w:rFonts w:ascii="Times New Roman" w:eastAsia="Times New Roman" w:hAnsi="Times New Roman" w:cs="Times New Roman"/>
        </w:rPr>
        <w:t xml:space="preserve">Facilities subject to recently amended NESHAPs or NSPSs: gasoline dispensing facilities that dispense gasoline into non-road vehicles and non-road engines; gasoline distribution bulk terminals; bulk plants; pipeline facilities; mineral wool production; plating and polishing operations, portland cement manufacturing; prepared feed manufacturing; primary </w:t>
      </w:r>
      <w:r w:rsidRPr="00C80010">
        <w:rPr>
          <w:rFonts w:ascii="Times New Roman" w:eastAsia="Times New Roman" w:hAnsi="Times New Roman" w:cs="Times New Roman"/>
        </w:rPr>
        <w:lastRenderedPageBreak/>
        <w:t>lead smelting; shipbuilding and ship repair; and electric utility, industrial, commercial, and institutional steam</w:t>
      </w:r>
      <w:r>
        <w:rPr>
          <w:rFonts w:ascii="Times New Roman" w:eastAsia="Times New Roman" w:hAnsi="Times New Roman" w:cs="Times New Roman"/>
        </w:rPr>
        <w:t xml:space="preserve"> g</w:t>
      </w:r>
      <w:r w:rsidRPr="00C80010">
        <w:rPr>
          <w:rFonts w:ascii="Times New Roman" w:eastAsia="Times New Roman" w:hAnsi="Times New Roman" w:cs="Times New Roman"/>
        </w:rPr>
        <w:t xml:space="preserve">enerating </w:t>
      </w:r>
      <w:r>
        <w:rPr>
          <w:rFonts w:ascii="Times New Roman" w:eastAsia="Times New Roman" w:hAnsi="Times New Roman" w:cs="Times New Roman"/>
        </w:rPr>
        <w:t>u</w:t>
      </w:r>
      <w:r w:rsidRPr="00C80010">
        <w:rPr>
          <w:rFonts w:ascii="Times New Roman" w:eastAsia="Times New Roman" w:hAnsi="Times New Roman" w:cs="Times New Roman"/>
        </w:rPr>
        <w:t xml:space="preserve">nits;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Facilities </w:t>
      </w:r>
      <w:r w:rsidR="002211D7">
        <w:rPr>
          <w:rFonts w:ascii="Times New Roman" w:eastAsia="Times New Roman" w:hAnsi="Times New Roman" w:cs="Times New Roman"/>
        </w:rPr>
        <w:t>required to maintain</w:t>
      </w:r>
      <w:r w:rsidRPr="009403D5">
        <w:rPr>
          <w:rFonts w:ascii="Times New Roman" w:eastAsia="Times New Roman" w:hAnsi="Times New Roman" w:cs="Times New Roman"/>
        </w:rPr>
        <w:t xml:space="preserve"> an ACD</w:t>
      </w:r>
      <w:r w:rsidR="00BD7AB1">
        <w:rPr>
          <w:rFonts w:ascii="Times New Roman" w:eastAsia="Times New Roman" w:hAnsi="Times New Roman" w:cs="Times New Roman"/>
        </w:rPr>
        <w:t>P</w:t>
      </w:r>
      <w:r w:rsidRPr="009403D5">
        <w:rPr>
          <w:rFonts w:ascii="Times New Roman" w:eastAsia="Times New Roman" w:hAnsi="Times New Roman" w:cs="Times New Roman"/>
        </w:rPr>
        <w:t xml:space="preserve"> and </w:t>
      </w:r>
      <w:r w:rsidR="002211D7">
        <w:rPr>
          <w:rFonts w:ascii="Times New Roman" w:eastAsia="Times New Roman" w:hAnsi="Times New Roman" w:cs="Times New Roman"/>
        </w:rPr>
        <w:t xml:space="preserve">are </w:t>
      </w:r>
      <w:r w:rsidRPr="009403D5">
        <w:rPr>
          <w:rFonts w:ascii="Times New Roman" w:eastAsia="Times New Roman" w:hAnsi="Times New Roman" w:cs="Times New Roman"/>
        </w:rPr>
        <w:t xml:space="preserve">subject to a NESHAP or NSPS not </w:t>
      </w:r>
      <w:r w:rsidR="002211D7">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r w:rsidR="002211D7">
        <w:rPr>
          <w:rFonts w:ascii="Times New Roman" w:eastAsia="Times New Roman" w:hAnsi="Times New Roman" w:cs="Times New Roman"/>
        </w:rPr>
        <w:t>, DEQ’s environmental rulemaking board</w:t>
      </w:r>
      <w:r w:rsidRPr="009403D5">
        <w:rPr>
          <w:rFonts w:ascii="Times New Roman" w:eastAsia="Times New Roman" w:hAnsi="Times New Roman" w:cs="Times New Roman"/>
        </w:rPr>
        <w:t xml:space="preserve">;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Unpermitted facilities that are subject to a NSPS not </w:t>
      </w:r>
      <w:r w:rsidR="005476FD">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r w:rsidRPr="009403D5">
        <w:rPr>
          <w:rFonts w:ascii="Times New Roman" w:eastAsia="Times New Roman" w:hAnsi="Times New Roman" w:cs="Times New Roman"/>
        </w:rPr>
        <w:t xml:space="preserve">;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or NSPS affected facilities subject to only procedural requirements; </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NESHAP affected chemical manufacturing facilities that are only required to meet work practice standards;</w:t>
      </w:r>
    </w:p>
    <w:p w:rsidR="00245802" w:rsidRPr="009403D5" w:rsidRDefault="00245802" w:rsidP="009A0D99">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affected </w:t>
      </w:r>
      <w:r w:rsidR="004709B0">
        <w:rPr>
          <w:rFonts w:ascii="Times New Roman" w:eastAsia="Times New Roman" w:hAnsi="Times New Roman" w:cs="Times New Roman"/>
        </w:rPr>
        <w:t xml:space="preserve">paint stripping and </w:t>
      </w:r>
      <w:r w:rsidRPr="009403D5">
        <w:rPr>
          <w:rFonts w:ascii="Times New Roman" w:eastAsia="Times New Roman" w:hAnsi="Times New Roman" w:cs="Times New Roman"/>
        </w:rPr>
        <w:t xml:space="preserve">surface coating operations using less than 20 gallons of coating </w:t>
      </w:r>
      <w:r w:rsidR="00F654C9">
        <w:rPr>
          <w:rFonts w:ascii="Times New Roman" w:eastAsia="Times New Roman" w:hAnsi="Times New Roman" w:cs="Times New Roman"/>
        </w:rPr>
        <w:t xml:space="preserve">and </w:t>
      </w:r>
      <w:r w:rsidR="005F2135">
        <w:rPr>
          <w:rFonts w:ascii="Times New Roman" w:eastAsia="Times New Roman" w:hAnsi="Times New Roman" w:cs="Times New Roman"/>
        </w:rPr>
        <w:t xml:space="preserve">20 gallons of methylene chloride containing </w:t>
      </w:r>
      <w:r w:rsidR="00F654C9">
        <w:rPr>
          <w:rFonts w:ascii="Times New Roman" w:eastAsia="Times New Roman" w:hAnsi="Times New Roman" w:cs="Times New Roman"/>
        </w:rPr>
        <w:t xml:space="preserve">paint stripper </w:t>
      </w:r>
      <w:r w:rsidRPr="009403D5">
        <w:rPr>
          <w:rFonts w:ascii="Times New Roman" w:eastAsia="Times New Roman" w:hAnsi="Times New Roman" w:cs="Times New Roman"/>
        </w:rPr>
        <w:t>per year;</w:t>
      </w:r>
    </w:p>
    <w:p w:rsidR="00267F2F" w:rsidRDefault="00267F2F" w:rsidP="00267F2F">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Unp</w:t>
      </w:r>
      <w:r w:rsidRPr="009403D5">
        <w:rPr>
          <w:rFonts w:ascii="Times New Roman" w:eastAsia="Times New Roman" w:hAnsi="Times New Roman" w:cs="Times New Roman"/>
        </w:rPr>
        <w:t>ermitted metal fabrication and finishing operations</w:t>
      </w:r>
      <w:r>
        <w:rPr>
          <w:rFonts w:ascii="Times New Roman" w:eastAsia="Times New Roman" w:hAnsi="Times New Roman" w:cs="Times New Roman"/>
        </w:rPr>
        <w:t>;</w:t>
      </w:r>
    </w:p>
    <w:p w:rsidR="00245802" w:rsidRPr="009403D5" w:rsidRDefault="00245802" w:rsidP="00267F2F">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Permitted crematories; and </w:t>
      </w:r>
    </w:p>
    <w:p w:rsidR="00245802" w:rsidRPr="009403D5" w:rsidRDefault="00245802" w:rsidP="00267F2F">
      <w:pPr>
        <w:pStyle w:val="ListParagraph"/>
        <w:numPr>
          <w:ilvl w:val="0"/>
          <w:numId w:val="6"/>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Facilities affected by the federal accidental release prevention program.</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Rules with </w:t>
      </w:r>
      <w:r w:rsidR="004100EF">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sidR="004100EF">
        <w:rPr>
          <w:rFonts w:ascii="Times New Roman" w:eastAsia="Times New Roman" w:hAnsi="Times New Roman" w:cs="Times New Roman"/>
          <w:b/>
          <w:color w:val="000000"/>
        </w:rPr>
        <w:t>Emission Standards</w:t>
      </w:r>
    </w:p>
    <w:p w:rsidR="004100EF" w:rsidRPr="004100EF" w:rsidRDefault="004100EF" w:rsidP="004100EF">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3A75CB">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NSPS for sewage sludge incineration units; </w:t>
      </w:r>
    </w:p>
    <w:p w:rsidR="009B2E8A" w:rsidRDefault="009B2E8A" w:rsidP="009B2E8A">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4100EF" w:rsidRDefault="009B2E8A" w:rsidP="009B2E8A">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sidR="004100EF">
        <w:rPr>
          <w:rFonts w:ascii="Times New Roman" w:eastAsia="Times New Roman" w:hAnsi="Times New Roman" w:cs="Times New Roman"/>
          <w:color w:val="000000"/>
        </w:rPr>
        <w:t>; and</w:t>
      </w:r>
    </w:p>
    <w:p w:rsidR="009B2E8A" w:rsidRDefault="004100EF" w:rsidP="009B2E8A">
      <w:pPr>
        <w:pStyle w:val="ListParagraph"/>
        <w:numPr>
          <w:ilvl w:val="0"/>
          <w:numId w:val="12"/>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rPr>
        <w:t>Remove monitoring, recordkeeping and reporting requirements in Oregon’s Utility Mercury Rule and replace them with references to the monitoring, recordkeeping and reporting requirements in the Electric Utility Steam Generating Unit NESHAP.</w:t>
      </w:r>
    </w:p>
    <w:p w:rsidR="009B2E8A" w:rsidRPr="008108D1" w:rsidRDefault="009B2E8A" w:rsidP="009B2E8A">
      <w:pPr>
        <w:pStyle w:val="ListParagraph"/>
        <w:spacing w:after="120"/>
        <w:ind w:left="1800" w:right="634"/>
        <w:outlineLvl w:val="0"/>
        <w:rPr>
          <w:rFonts w:ascii="Times New Roman" w:eastAsia="Times New Roman" w:hAnsi="Times New Roman" w:cs="Times New Roman"/>
          <w:b/>
          <w:color w:val="000000"/>
        </w:rPr>
      </w:pPr>
    </w:p>
    <w:p w:rsidR="00595677" w:rsidRDefault="005840FD"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the </w:t>
      </w:r>
      <w:r w:rsidR="007F529A">
        <w:rPr>
          <w:rFonts w:ascii="Times New Roman" w:eastAsia="Times New Roman" w:hAnsi="Times New Roman" w:cs="Times New Roman"/>
          <w:b/>
          <w:color w:val="000000"/>
        </w:rPr>
        <w:t>Air Contaminant Discharge Permit</w:t>
      </w:r>
      <w:r>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595677"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the </w:t>
      </w:r>
      <w:r w:rsidR="00C0359C">
        <w:rPr>
          <w:rFonts w:ascii="Times New Roman" w:eastAsia="Times New Roman" w:hAnsi="Times New Roman" w:cs="Times New Roman"/>
          <w:color w:val="000000"/>
        </w:rPr>
        <w:t>EQC</w:t>
      </w:r>
      <w:r w:rsidR="00ED51BC">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affected facilities to obtain an ACDP</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the EQC</w:t>
      </w:r>
      <w:r w:rsidR="00ED51BC">
        <w:rPr>
          <w:rFonts w:ascii="Times New Roman" w:eastAsia="Times New Roman" w:hAnsi="Times New Roman" w:cs="Times New Roman"/>
          <w:color w:val="000000"/>
        </w:rPr>
        <w:t>;</w:t>
      </w:r>
      <w:r w:rsidR="00C43FE0">
        <w:rPr>
          <w:rFonts w:ascii="Times New Roman" w:eastAsia="Times New Roman" w:hAnsi="Times New Roman" w:cs="Times New Roman"/>
          <w:color w:val="000000"/>
        </w:rPr>
        <w:t xml:space="preserve"> </w:t>
      </w:r>
    </w:p>
    <w:p w:rsidR="007F529A"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w:t>
      </w:r>
      <w:r w:rsidR="005840FD">
        <w:rPr>
          <w:rFonts w:ascii="Times New Roman" w:eastAsia="Times New Roman" w:hAnsi="Times New Roman" w:cs="Times New Roman"/>
          <w:color w:val="000000"/>
        </w:rPr>
        <w:t xml:space="preserve"> and</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965FAA" w:rsidRDefault="00965FAA" w:rsidP="00595677">
      <w:pPr>
        <w:pStyle w:val="ListParagraph"/>
        <w:spacing w:after="120"/>
        <w:ind w:left="1800" w:right="634"/>
        <w:outlineLvl w:val="0"/>
        <w:rPr>
          <w:rFonts w:ascii="Times New Roman" w:eastAsia="Times New Roman" w:hAnsi="Times New Roman" w:cs="Times New Roman"/>
          <w:b/>
          <w:color w:val="000000"/>
        </w:rPr>
      </w:pPr>
    </w:p>
    <w:p w:rsidR="00A33652" w:rsidRPr="008108D1" w:rsidRDefault="00A33652" w:rsidP="00595677">
      <w:pPr>
        <w:pStyle w:val="ListParagraph"/>
        <w:spacing w:after="120"/>
        <w:ind w:left="1800" w:right="634"/>
        <w:outlineLvl w:val="0"/>
        <w:rPr>
          <w:rFonts w:ascii="Times New Roman" w:eastAsia="Times New Roman" w:hAnsi="Times New Roman" w:cs="Times New Roman"/>
          <w:b/>
          <w:color w:val="000000"/>
        </w:rPr>
      </w:pPr>
    </w:p>
    <w:p w:rsidR="00595677"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Clarify and Clean</w:t>
      </w:r>
      <w:r w:rsidR="00B353FD">
        <w:rPr>
          <w:rFonts w:ascii="Times New Roman" w:eastAsia="Times New Roman" w:hAnsi="Times New Roman" w:cs="Times New Roman"/>
          <w:b/>
          <w:color w:val="000000"/>
        </w:rPr>
        <w:t>-</w:t>
      </w:r>
      <w:r w:rsidRPr="008108D1">
        <w:rPr>
          <w:rFonts w:ascii="Times New Roman" w:eastAsia="Times New Roman" w:hAnsi="Times New Roman" w:cs="Times New Roman"/>
          <w:b/>
          <w:color w:val="000000"/>
        </w:rPr>
        <w:t>up Rules</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Align the late fees for the registration </w:t>
      </w:r>
      <w:r w:rsidR="004100EF">
        <w:rPr>
          <w:rFonts w:ascii="Times New Roman" w:eastAsia="Times New Roman" w:hAnsi="Times New Roman" w:cs="Times New Roman"/>
        </w:rPr>
        <w:t>and</w:t>
      </w:r>
      <w:r>
        <w:rPr>
          <w:rFonts w:ascii="Times New Roman" w:eastAsia="Times New Roman" w:hAnsi="Times New Roman" w:cs="Times New Roman"/>
        </w:rPr>
        <w:t xml:space="preserve"> ACDP program</w:t>
      </w:r>
      <w:r w:rsidR="004100EF">
        <w:rPr>
          <w:rFonts w:ascii="Times New Roman" w:eastAsia="Times New Roman" w:hAnsi="Times New Roman" w:cs="Times New Roman"/>
        </w:rPr>
        <w:t>s</w:t>
      </w:r>
      <w:r>
        <w:rPr>
          <w:rFonts w:ascii="Times New Roman" w:eastAsia="Times New Roman" w:hAnsi="Times New Roman" w:cs="Times New Roman"/>
        </w:rPr>
        <w:t>;</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redundant general permit fee class assignments for halogenated solvent cleaners; </w:t>
      </w:r>
    </w:p>
    <w:p w:rsidR="00595677" w:rsidRDefault="00595677"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p>
    <w:p w:rsidR="00245802" w:rsidRDefault="00BE473D" w:rsidP="009A0D99">
      <w:pPr>
        <w:pStyle w:val="ListParagraph"/>
        <w:numPr>
          <w:ilvl w:val="0"/>
          <w:numId w:val="20"/>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w:t>
      </w:r>
      <w:r w:rsidR="004100EF">
        <w:rPr>
          <w:rFonts w:ascii="Times New Roman" w:eastAsia="Times New Roman" w:hAnsi="Times New Roman" w:cs="Times New Roman"/>
          <w:color w:val="000000"/>
        </w:rPr>
        <w:t xml:space="preserve"> and</w:t>
      </w:r>
    </w:p>
    <w:p w:rsidR="007D78F3" w:rsidRPr="004100EF" w:rsidRDefault="00595677" w:rsidP="004100EF">
      <w:pPr>
        <w:pStyle w:val="ListParagraph"/>
        <w:numPr>
          <w:ilvl w:val="0"/>
          <w:numId w:val="20"/>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w:t>
      </w:r>
      <w:r w:rsidR="004100EF">
        <w:rPr>
          <w:rFonts w:ascii="Times New Roman" w:eastAsia="Times New Roman" w:hAnsi="Times New Roman" w:cs="Times New Roman"/>
        </w:rPr>
        <w:t xml:space="preserve">peal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r w:rsidR="003C7FFE" w:rsidRPr="004100EF">
        <w:rPr>
          <w:rFonts w:ascii="Times New Roman" w:eastAsia="Times New Roman" w:hAnsi="Times New Roman" w:cs="Times New Roman"/>
        </w:rPr>
        <w:t xml:space="preserve"> </w:t>
      </w:r>
      <w:r w:rsidR="007D78F3" w:rsidRPr="004100EF">
        <w:rPr>
          <w:rFonts w:ascii="Times New Roman" w:eastAsia="Times New Roman" w:hAnsi="Times New Roman" w:cs="Times New Roman"/>
        </w:rPr>
        <w:t xml:space="preserve">  </w:t>
      </w:r>
    </w:p>
    <w:p w:rsidR="00470AD8" w:rsidRPr="00B15DF7" w:rsidRDefault="00470AD8" w:rsidP="00A04AFA"/>
    <w:tbl>
      <w:tblPr>
        <w:tblW w:w="11430" w:type="dxa"/>
        <w:tblInd w:w="108" w:type="dxa"/>
        <w:tblLook w:val="04A0"/>
      </w:tblPr>
      <w:tblGrid>
        <w:gridCol w:w="11430"/>
      </w:tblGrid>
      <w:tr w:rsidR="00A04AFA"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A04AFA" w:rsidRPr="004F673A" w:rsidRDefault="00A04AFA" w:rsidP="00B1210C">
            <w:pPr>
              <w:outlineLvl w:val="0"/>
              <w:rPr>
                <w:rFonts w:eastAsia="Times New Roman"/>
                <w:b/>
                <w:bCs/>
                <w:color w:val="32525C"/>
                <w:sz w:val="28"/>
                <w:szCs w:val="28"/>
              </w:rPr>
            </w:pPr>
            <w:r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B43DD8">
      <w:pPr>
        <w:pStyle w:val="ListParagraph"/>
        <w:numPr>
          <w:ilvl w:val="0"/>
          <w:numId w:val="3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B43DD8" w:rsidRDefault="00B43DD8" w:rsidP="00B43DD8">
      <w:pPr>
        <w:ind w:left="1440" w:right="630"/>
        <w:rPr>
          <w:rFonts w:ascii="Times New Roman" w:hAnsi="Times New Roman" w:cs="Times New Roman"/>
        </w:rPr>
      </w:pPr>
      <w:r w:rsidRPr="00BE2B31">
        <w:rPr>
          <w:rFonts w:ascii="Times New Roman" w:hAnsi="Times New Roman" w:cs="Times New Roman"/>
        </w:rPr>
        <w:t xml:space="preserve">EPA has identified </w:t>
      </w:r>
      <w:r>
        <w:rPr>
          <w:rFonts w:ascii="Times New Roman" w:hAnsi="Times New Roman" w:cs="Times New Roman"/>
        </w:rPr>
        <w:t>electric utility steam generating units</w:t>
      </w:r>
      <w:r w:rsidR="003A75CB">
        <w:rPr>
          <w:rFonts w:ascii="Times New Roman" w:hAnsi="Times New Roman" w:cs="Times New Roman"/>
        </w:rPr>
        <w:t>,</w:t>
      </w:r>
      <w:r>
        <w:rPr>
          <w:rFonts w:ascii="Times New Roman" w:hAnsi="Times New Roman" w:cs="Times New Roman"/>
        </w:rPr>
        <w:t xml:space="preserve"> </w:t>
      </w:r>
      <w:r w:rsidRPr="00BE2B31">
        <w:rPr>
          <w:rFonts w:ascii="Times New Roman" w:hAnsi="Times New Roman" w:cs="Times New Roman"/>
        </w:rPr>
        <w:t>gold mine ore processing and production</w:t>
      </w:r>
      <w:r w:rsidR="003A75CB">
        <w:rPr>
          <w:rFonts w:ascii="Times New Roman" w:hAnsi="Times New Roman" w:cs="Times New Roman"/>
        </w:rPr>
        <w:t>, and polyvinyl chloride and copolymers production</w:t>
      </w:r>
      <w:r w:rsidRPr="00BE2B31">
        <w:rPr>
          <w:rFonts w:ascii="Times New Roman" w:hAnsi="Times New Roman" w:cs="Times New Roman"/>
        </w:rPr>
        <w:t xml:space="preserve"> as emitters of one or more hazardous air pollutants, including mercury. Mercury can impair neurological development and cause neurological damage, and is a toxic of concern in Oregon.</w:t>
      </w:r>
      <w:r w:rsidR="00C365F7">
        <w:rPr>
          <w:rFonts w:ascii="Times New Roman" w:hAnsi="Times New Roman" w:cs="Times New Roman"/>
        </w:rPr>
        <w:t xml:space="preserve"> The proposal addresses this by adopting the new federal standards by reference. </w:t>
      </w:r>
    </w:p>
    <w:p w:rsidR="00B43DD8" w:rsidRDefault="00B43DD8" w:rsidP="00B43DD8">
      <w:pPr>
        <w:ind w:left="1440" w:right="630"/>
        <w:rPr>
          <w:rFonts w:ascii="Times New Roman" w:hAnsi="Times New Roman" w:cs="Times New Roman"/>
        </w:rPr>
      </w:pPr>
    </w:p>
    <w:p w:rsidR="00B43DD8" w:rsidRDefault="00B43DD8" w:rsidP="00B43DD8">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Pr>
          <w:rFonts w:ascii="Times New Roman" w:hAnsi="Times New Roman" w:cs="Times New Roman"/>
        </w:rPr>
        <w:t xml:space="preserve">currently </w:t>
      </w:r>
      <w:r w:rsidRPr="00F12CDA">
        <w:rPr>
          <w:rFonts w:ascii="Times New Roman" w:hAnsi="Times New Roman" w:cs="Times New Roman"/>
        </w:rPr>
        <w:t>only apply to facilities that dispense gasoline into "on-road vehicles".</w:t>
      </w:r>
      <w:r w:rsidR="00C365F7">
        <w:rPr>
          <w:rFonts w:ascii="Times New Roman" w:hAnsi="Times New Roman" w:cs="Times New Roman"/>
        </w:rPr>
        <w:t xml:space="preserve">  The proposal addresses this by revising the definition of “gasoline dispensing facility” to include facilities that dispense gasoline into both on-road and non-road vehicles and engines.</w:t>
      </w:r>
    </w:p>
    <w:p w:rsidR="00B43DD8" w:rsidRDefault="00B43DD8" w:rsidP="00B43DD8">
      <w:pPr>
        <w:ind w:left="1440" w:right="630"/>
        <w:rPr>
          <w:rFonts w:ascii="Times New Roman" w:hAnsi="Times New Roman" w:cs="Times New Roman"/>
        </w:rPr>
      </w:pPr>
    </w:p>
    <w:p w:rsidR="008E2A4A" w:rsidRDefault="008E2A4A" w:rsidP="00B43DD8">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The proposal addresses this by </w:t>
      </w:r>
      <w:r w:rsidR="00CC14AB">
        <w:rPr>
          <w:rFonts w:ascii="Times New Roman" w:hAnsi="Times New Roman" w:cs="Times New Roman"/>
        </w:rPr>
        <w:t>updating the a</w:t>
      </w:r>
      <w:r w:rsidR="00C365F7">
        <w:rPr>
          <w:rFonts w:ascii="Times New Roman" w:hAnsi="Times New Roman" w:cs="Times New Roman"/>
        </w:rPr>
        <w:t>dopti</w:t>
      </w:r>
      <w:r w:rsidR="00CC14AB">
        <w:rPr>
          <w:rFonts w:ascii="Times New Roman" w:hAnsi="Times New Roman" w:cs="Times New Roman"/>
        </w:rPr>
        <w:t>o</w:t>
      </w:r>
      <w:r w:rsidR="00C365F7">
        <w:rPr>
          <w:rFonts w:ascii="Times New Roman" w:hAnsi="Times New Roman" w:cs="Times New Roman"/>
        </w:rPr>
        <w:t xml:space="preserve">n </w:t>
      </w:r>
      <w:r w:rsidR="00CC14AB">
        <w:rPr>
          <w:rFonts w:ascii="Times New Roman" w:hAnsi="Times New Roman" w:cs="Times New Roman"/>
        </w:rPr>
        <w:t xml:space="preserve">of </w:t>
      </w:r>
      <w:r w:rsidR="00C365F7">
        <w:rPr>
          <w:rFonts w:ascii="Times New Roman" w:hAnsi="Times New Roman" w:cs="Times New Roman"/>
        </w:rPr>
        <w:t>existing federal standards</w:t>
      </w:r>
      <w:r w:rsidR="00CC14AB">
        <w:rPr>
          <w:rFonts w:ascii="Times New Roman" w:hAnsi="Times New Roman" w:cs="Times New Roman"/>
        </w:rPr>
        <w:t xml:space="preserve"> by reference</w:t>
      </w:r>
      <w:r w:rsidR="00C365F7">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43DD8" w:rsidP="00B43DD8">
      <w:pPr>
        <w:spacing w:after="120"/>
        <w:ind w:left="1440" w:right="634"/>
        <w:outlineLvl w:val="0"/>
        <w:rPr>
          <w:rFonts w:ascii="Times New Roman" w:eastAsia="Times New Roman" w:hAnsi="Times New Roman" w:cs="Times New Roman"/>
          <w:b/>
          <w:color w:val="000000"/>
        </w:rPr>
      </w:pPr>
      <w:r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The proposal addresses this by r</w:t>
      </w:r>
      <w:r w:rsidR="00CC14AB">
        <w:rPr>
          <w:rFonts w:ascii="Times New Roman" w:eastAsia="Times New Roman" w:hAnsi="Times New Roman" w:cs="Times New Roman"/>
        </w:rPr>
        <w:t>emoving the monitoring, recordkeeping and reporting requirements in Oregon’s rule and replacing them with references to the monitoring, recordkeeping and reporting requirements in the NESHAP.</w:t>
      </w:r>
    </w:p>
    <w:p w:rsidR="00B43DD8" w:rsidRDefault="00B43DD8" w:rsidP="00B43DD8">
      <w:pPr>
        <w:ind w:left="1440" w:right="630"/>
        <w:rPr>
          <w:rFonts w:ascii="Times New Roman" w:hAnsi="Times New Roman" w:cs="Times New Roman"/>
        </w:rPr>
      </w:pPr>
    </w:p>
    <w:p w:rsidR="00BC549C" w:rsidRDefault="00BC549C" w:rsidP="00B43DD8">
      <w:pPr>
        <w:ind w:left="1440" w:right="630"/>
        <w:rPr>
          <w:rFonts w:ascii="Times New Roman" w:hAnsi="Times New Roman" w:cs="Times New Roman"/>
        </w:rPr>
      </w:pPr>
    </w:p>
    <w:p w:rsidR="00BF6ECF" w:rsidRDefault="008E2A4A" w:rsidP="00B43DD8">
      <w:pPr>
        <w:pStyle w:val="ListParagraph"/>
        <w:numPr>
          <w:ilvl w:val="0"/>
          <w:numId w:val="3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 to </w:t>
      </w:r>
      <w:r w:rsidR="00AD518B">
        <w:rPr>
          <w:rFonts w:ascii="Times New Roman" w:eastAsia="Times New Roman" w:hAnsi="Times New Roman" w:cs="Times New Roman"/>
          <w:b/>
          <w:color w:val="000000"/>
        </w:rPr>
        <w:t xml:space="preserve">Make </w:t>
      </w:r>
      <w:r>
        <w:rPr>
          <w:rFonts w:ascii="Times New Roman" w:eastAsia="Times New Roman" w:hAnsi="Times New Roman" w:cs="Times New Roman"/>
          <w:b/>
          <w:color w:val="000000"/>
        </w:rPr>
        <w:t>Change</w:t>
      </w:r>
      <w:r w:rsidR="00AD518B">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Pr>
          <w:rFonts w:ascii="Times New Roman" w:eastAsia="Times New Roman" w:hAnsi="Times New Roman" w:cs="Times New Roman"/>
          <w:b/>
          <w:color w:val="000000"/>
        </w:rPr>
        <w:t xml:space="preserve">the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on the federal level, 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incorporating them into ACDP</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t xml:space="preserve">Adoption of a new NSPS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ACDP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new NSPS to trigger the requirement that affected facilities obtain a permit. </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NSPS</w:t>
      </w:r>
      <w:r w:rsidRPr="00F12CDA">
        <w:rPr>
          <w:rFonts w:ascii="Times New Roman" w:hAnsi="Times New Roman" w:cs="Times New Roman"/>
        </w:rPr>
        <w:t xml:space="preserve">, places a burden on DEQ and affected sources.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p>
    <w:p w:rsidR="00F12CDA" w:rsidRPr="00F12CDA" w:rsidRDefault="00F12CDA" w:rsidP="00F12CDA">
      <w:pPr>
        <w:ind w:left="1440" w:right="630"/>
        <w:rPr>
          <w:rFonts w:ascii="Times New Roman" w:hAnsi="Times New Roman" w:cs="Times New Roman"/>
        </w:rPr>
      </w:pPr>
    </w:p>
    <w:p w:rsidR="00602EC7" w:rsidRDefault="00F12CDA" w:rsidP="00602EC7">
      <w:pPr>
        <w:pStyle w:val="ListParagraph"/>
        <w:ind w:left="1440" w:right="630"/>
        <w:rPr>
          <w:rFonts w:ascii="Times New Roman" w:hAnsi="Times New Roman" w:cs="Times New Roman"/>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p>
    <w:p w:rsidR="00F12CDA" w:rsidRDefault="00F12CDA" w:rsidP="00F12CDA">
      <w:pPr>
        <w:pStyle w:val="ListParagraph"/>
        <w:rPr>
          <w:rFonts w:ascii="Times New Roman" w:hAnsi="Times New Roman" w:cs="Times New Roman"/>
        </w:rPr>
      </w:pPr>
      <w:r w:rsidRPr="00F12CDA">
        <w:rPr>
          <w:rFonts w:ascii="Times New Roman" w:hAnsi="Times New Roman" w:cs="Times New Roman"/>
        </w:rPr>
        <w:t xml:space="preserve">  </w:t>
      </w:r>
    </w:p>
    <w:p w:rsidR="00B43DD8" w:rsidRPr="00B43DD8" w:rsidRDefault="008E2A4A" w:rsidP="00B43DD8">
      <w:pPr>
        <w:pStyle w:val="ListParagraph"/>
        <w:numPr>
          <w:ilvl w:val="0"/>
          <w:numId w:val="30"/>
        </w:numPr>
        <w:spacing w:after="120"/>
        <w:ind w:right="634"/>
        <w:outlineLvl w:val="0"/>
        <w:rPr>
          <w:rFonts w:ascii="Times New Roman" w:hAnsi="Times New Roman" w:cs="Times New Roman"/>
          <w:b/>
        </w:rPr>
      </w:pPr>
      <w:r>
        <w:rPr>
          <w:rFonts w:ascii="Times New Roman" w:hAnsi="Times New Roman" w:cs="Times New Roman"/>
          <w:b/>
        </w:rPr>
        <w:t xml:space="preserve">Need to Clarify and Clean-up </w:t>
      </w:r>
      <w:r w:rsidR="00B43DD8">
        <w:rPr>
          <w:rFonts w:ascii="Times New Roman" w:hAnsi="Times New Roman" w:cs="Times New Roman"/>
          <w:b/>
        </w:rPr>
        <w:t>Rule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602EC7" w:rsidRDefault="00A07B59">
      <w:pPr>
        <w:ind w:left="1440" w:right="630"/>
        <w:rPr>
          <w:rFonts w:ascii="Times New Roman" w:hAnsi="Times New Roman" w:cs="Times New Roman"/>
        </w:rPr>
      </w:pPr>
      <w:r>
        <w:rPr>
          <w:rFonts w:ascii="Times New Roman" w:hAnsi="Times New Roman" w:cs="Times New Roman"/>
        </w:rPr>
        <w:t>There is an ongoing need to clarify and make corrections to existing rules when confusing language or errors are discovered. The proposal addresses this by aligning the late fees for the registration and ACDP programs; clarifying the permitting requirements for metal fabrication and finishing operations; removing redundant general permit fee class assignments for halogenated solvent cleaners; remov</w:t>
      </w:r>
      <w:r w:rsidR="00602EC7" w:rsidRPr="00602EC7">
        <w:rPr>
          <w:rFonts w:ascii="Times New Roman" w:hAnsi="Times New Roman" w:cs="Times New Roman"/>
        </w:rPr>
        <w:t>ing redundant gasoline dispensing facility control requirements in OAR 340 Division 232; and reassigning crematories to General ACDP fee class one (crematories were inadvertently assigned to fee class two in a previous rulemaking)</w:t>
      </w:r>
      <w:r w:rsidR="00EE3E57">
        <w:rPr>
          <w:rFonts w:ascii="Times New Roman" w:hAnsi="Times New Roman" w:cs="Times New Roman"/>
        </w:rPr>
        <w:t>.</w:t>
      </w:r>
      <w:r>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DEQ adopted t</w:t>
      </w:r>
      <w:r w:rsidRPr="00BE2B31">
        <w:rPr>
          <w:rFonts w:ascii="Times New Roman" w:hAnsi="Times New Roman" w:cs="Times New Roman"/>
        </w:rPr>
        <w:t xml:space="preserve">he Accidental Release Prevention rule in Division 244 before EPA adopted the federal Accidental Release Prevention rules. The federal Accidental Release Prevention rules </w:t>
      </w:r>
      <w:r w:rsidRPr="00BE2B31">
        <w:rPr>
          <w:rFonts w:ascii="Times New Roman" w:hAnsi="Times New Roman" w:cs="Times New Roman"/>
        </w:rPr>
        <w:lastRenderedPageBreak/>
        <w:t>were not subsequently adopted into DEQ rules because DEQ determined</w:t>
      </w:r>
      <w:r>
        <w:rPr>
          <w:rFonts w:ascii="Times New Roman" w:hAnsi="Times New Roman" w:cs="Times New Roman"/>
        </w:rPr>
        <w:t xml:space="preserve"> that this program is better implemented by federal and other state agencies</w:t>
      </w:r>
      <w:r w:rsidRPr="00BE2B31">
        <w:rPr>
          <w:rFonts w:ascii="Times New Roman" w:hAnsi="Times New Roman" w:cs="Times New Roman"/>
        </w:rPr>
        <w:t xml:space="preserve">, except </w:t>
      </w:r>
      <w:r>
        <w:rPr>
          <w:rFonts w:ascii="Times New Roman" w:hAnsi="Times New Roman" w:cs="Times New Roman"/>
        </w:rPr>
        <w:t xml:space="preserve">for DEQ </w:t>
      </w:r>
      <w:r w:rsidRPr="00BE2B31">
        <w:rPr>
          <w:rFonts w:ascii="Times New Roman" w:hAnsi="Times New Roman" w:cs="Times New Roman"/>
        </w:rPr>
        <w:t>to ensure that affected Title V sources submit their risk management plan to EPA.</w:t>
      </w:r>
      <w:r w:rsidR="00EE3E57">
        <w:rPr>
          <w:rFonts w:ascii="Times New Roman" w:hAnsi="Times New Roman" w:cs="Times New Roman"/>
        </w:rPr>
        <w:t xml:space="preserve"> The proposal addresses 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 xml:space="preserve">allow DEQ to: better manage workload;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Pr="00C74D0A">
        <w:rPr>
          <w:rFonts w:ascii="Times New Roman" w:hAnsi="Times New Roman" w:cs="Times New Roman"/>
        </w:rPr>
        <w:t xml:space="preserve">; focus on federal standards with the greatest environmental benefit;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consistent with federal rules so that we can focus resources on </w:t>
      </w:r>
      <w:r w:rsidRPr="00C74D0A">
        <w:rPr>
          <w:rFonts w:ascii="Times New Roman" w:hAnsi="Times New Roman" w:cs="Times New Roman"/>
        </w:rPr>
        <w:t>reducing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0" w:name="RANGE!C33"/>
      <w:r w:rsidRPr="004F673A">
        <w:rPr>
          <w:rFonts w:asciiTheme="majorHAnsi" w:eastAsia="Times New Roman" w:hAnsiTheme="majorHAnsi" w:cstheme="majorHAnsi"/>
          <w:bCs/>
          <w:color w:val="504938"/>
          <w:sz w:val="22"/>
          <w:szCs w:val="22"/>
        </w:rPr>
        <w:t>How will DEQ know the problem has been solved?</w:t>
      </w:r>
      <w:bookmarkEnd w:id="0"/>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Upon adoption by the EQC, DEQ will submit the rules to EPA to update our NSPS and NESHAP delegation and our State Implementation Plan. DEQ will know the problem is solved when EPA approves the delegation request and SIP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A04AFA" w:rsidRDefault="00A04AFA" w:rsidP="00D17CDB">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EE32A7">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w:t>
      </w:r>
      <w:r w:rsidR="004D3366">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EE32A7" w:rsidRDefault="00EE32A7" w:rsidP="00D17CDB">
      <w:pPr>
        <w:ind w:left="1080" w:right="630"/>
        <w:rPr>
          <w:rFonts w:ascii="Times New Roman" w:eastAsia="Times New Roman" w:hAnsi="Times New Roman" w:cs="Times New Roman"/>
          <w:color w:val="000000" w:themeColor="text1"/>
        </w:rPr>
      </w:pPr>
    </w:p>
    <w:tbl>
      <w:tblPr>
        <w:tblW w:w="11430" w:type="dxa"/>
        <w:tblInd w:w="108" w:type="dxa"/>
        <w:tblLook w:val="04A0"/>
      </w:tblPr>
      <w:tblGrid>
        <w:gridCol w:w="11430"/>
      </w:tblGrid>
      <w:tr w:rsidR="002405F8"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2405F8" w:rsidP="00D17CDB">
            <w:pPr>
              <w:outlineLvl w:val="0"/>
              <w:rPr>
                <w:rFonts w:eastAsia="Times New Roman"/>
                <w:b/>
                <w:bCs/>
                <w:color w:val="32525C"/>
                <w:sz w:val="28"/>
                <w:szCs w:val="28"/>
              </w:rPr>
            </w:pPr>
            <w:r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3"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51648F" w:rsidP="00D17CDB">
      <w:pPr>
        <w:jc w:val="right"/>
        <w:outlineLvl w:val="0"/>
        <w:rPr>
          <w:rFonts w:asciiTheme="minorHAnsi" w:eastAsia="Times New Roman" w:hAnsiTheme="minorHAnsi" w:cstheme="minorHAnsi"/>
          <w:color w:val="504938"/>
          <w:sz w:val="16"/>
          <w:szCs w:val="16"/>
          <w:u w:val="single"/>
        </w:rPr>
      </w:pPr>
      <w:hyperlink r:id="rId14"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51648F" w:rsidP="00A61B18">
      <w:pPr>
        <w:ind w:firstLineChars="100" w:firstLine="240"/>
        <w:jc w:val="right"/>
        <w:outlineLvl w:val="0"/>
        <w:rPr>
          <w:color w:val="504938"/>
          <w:sz w:val="16"/>
          <w:szCs w:val="16"/>
          <w:u w:val="single"/>
        </w:rPr>
      </w:pPr>
      <w:hyperlink r:id="rId15"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AD0243" w:rsidRPr="0009694C" w:rsidRDefault="00AD0243" w:rsidP="00424FAB">
      <w:pPr>
        <w:ind w:left="14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D27A53" w:rsidRPr="008108D1" w:rsidRDefault="00D27A53" w:rsidP="00D27A53">
      <w:pPr>
        <w:pStyle w:val="ListParagraph"/>
        <w:numPr>
          <w:ilvl w:val="0"/>
          <w:numId w:val="33"/>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9F0D20" w:rsidRPr="009F0D20" w:rsidRDefault="009F0D20" w:rsidP="00191195">
      <w:pPr>
        <w:ind w:left="18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91195" w:rsidRPr="00191195" w:rsidRDefault="00191195" w:rsidP="00191195">
      <w:pPr>
        <w:spacing w:after="120"/>
        <w:ind w:left="1800" w:right="634"/>
        <w:outlineLvl w:val="0"/>
        <w:rPr>
          <w:rFonts w:ascii="Times New Roman" w:eastAsia="Times New Roman" w:hAnsi="Times New Roman" w:cs="Times New Roman"/>
        </w:rPr>
      </w:pPr>
    </w:p>
    <w:p w:rsidR="00D27A53" w:rsidRDefault="00191195" w:rsidP="00191195">
      <w:pPr>
        <w:spacing w:after="120"/>
        <w:ind w:left="18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 xml:space="preserve">ban the practice of “topping off”.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lastRenderedPageBreak/>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91195" w:rsidRDefault="00191195" w:rsidP="00191195">
      <w:pPr>
        <w:spacing w:after="120"/>
        <w:ind w:left="1800" w:right="634"/>
        <w:outlineLvl w:val="0"/>
        <w:rPr>
          <w:rFonts w:ascii="Times New Roman" w:hAnsi="Times New Roman" w:cs="Times New Roman"/>
          <w:color w:val="000000"/>
        </w:rPr>
      </w:pPr>
    </w:p>
    <w:p w:rsidR="00D27A53" w:rsidRPr="00191195" w:rsidRDefault="00D27A53" w:rsidP="00191195">
      <w:pPr>
        <w:ind w:left="18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D27A53">
      <w:pPr>
        <w:pStyle w:val="ListParagraph"/>
        <w:numPr>
          <w:ilvl w:val="0"/>
          <w:numId w:val="33"/>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D27A53" w:rsidRPr="00095DAA" w:rsidRDefault="00095DAA" w:rsidP="00095DAA">
      <w:pPr>
        <w:ind w:left="18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ACDP</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ACDP</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ACDP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ACDP, the requirements included in an ACDP and the fee schedule for ACDPs.</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D27A53">
      <w:pPr>
        <w:pStyle w:val="ListParagraph"/>
        <w:numPr>
          <w:ilvl w:val="0"/>
          <w:numId w:val="33"/>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2D7EF6" w:rsidRPr="00576455" w:rsidRDefault="00C42EC3" w:rsidP="005A0A8A">
      <w:pPr>
        <w:ind w:left="18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ACDP programs. </w:t>
      </w:r>
    </w:p>
    <w:p w:rsidR="002D7EF6" w:rsidRDefault="002D7EF6" w:rsidP="002D7EF6">
      <w:pPr>
        <w:spacing w:after="120"/>
        <w:ind w:left="1440" w:right="634"/>
        <w:outlineLvl w:val="0"/>
        <w:rPr>
          <w:rFonts w:ascii="Times New Roman" w:eastAsia="Times New Roman" w:hAnsi="Times New Roman" w:cs="Times New Roman"/>
        </w:rPr>
      </w:pPr>
    </w:p>
    <w:p w:rsidR="002D7EF6" w:rsidRDefault="002D7EF6" w:rsidP="005A0A8A">
      <w:pPr>
        <w:ind w:left="18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C42EC3" w:rsidRDefault="00C42EC3" w:rsidP="002D7EF6">
      <w:pPr>
        <w:spacing w:after="120"/>
        <w:ind w:left="1800" w:right="634"/>
        <w:outlineLvl w:val="0"/>
        <w:rPr>
          <w:rFonts w:ascii="Times New Roman" w:eastAsia="Times New Roman" w:hAnsi="Times New Roman" w:cs="Times New Roman"/>
        </w:rPr>
      </w:pPr>
    </w:p>
    <w:p w:rsidR="002D7EF6" w:rsidRPr="00E36DA1" w:rsidRDefault="00C42EC3" w:rsidP="00C42EC3">
      <w:pPr>
        <w:spacing w:after="120"/>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Pr>
          <w:rFonts w:ascii="Times New Roman" w:eastAsia="Times New Roman" w:hAnsi="Times New Roman" w:cs="Times New Roman"/>
        </w:rPr>
        <w:t>, 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crematories to General ACDP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ACDP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470AD8" w:rsidRPr="00B15DF7" w:rsidRDefault="00515273" w:rsidP="007E0515">
      <w:pPr>
        <w:ind w:left="2520" w:right="630"/>
        <w:rPr>
          <w:rFonts w:ascii="Times New Roman" w:eastAsia="Times New Roman" w:hAnsi="Times New Roman" w:cs="Times New Roman"/>
          <w:bCs/>
        </w:rPr>
      </w:pPr>
      <w:r>
        <w:rPr>
          <w:rFonts w:ascii="Times New Roman" w:eastAsia="Times New Roman" w:hAnsi="Times New Roman" w:cs="Times New Roman"/>
        </w:rPr>
        <w:t xml:space="preserve"> </w:t>
      </w: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5A0A8A" w:rsidRDefault="005A0A8A" w:rsidP="005A0A8A">
      <w:pPr>
        <w:pStyle w:val="ListParagraph"/>
        <w:numPr>
          <w:ilvl w:val="0"/>
          <w:numId w:val="39"/>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5A0A8A" w:rsidRDefault="009344EF" w:rsidP="00115E48">
      <w:pPr>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lastRenderedPageBreak/>
        <w:t>require additional emission reductions to protect public and worker health, help prevent future violations of ambient air quality standards, and take advantage of existing emission control equipment.</w:t>
      </w:r>
    </w:p>
    <w:p w:rsidR="005A0A8A" w:rsidRDefault="005A0A8A" w:rsidP="00115E48">
      <w:pPr>
        <w:spacing w:after="120"/>
        <w:ind w:left="1800" w:right="634"/>
        <w:outlineLvl w:val="0"/>
        <w:rPr>
          <w:rFonts w:ascii="Times New Roman" w:eastAsia="Times New Roman" w:hAnsi="Times New Roman" w:cs="Times New Roman"/>
          <w:color w:val="000000"/>
        </w:rPr>
      </w:pPr>
    </w:p>
    <w:p w:rsidR="009344EF" w:rsidRDefault="00B36A0D" w:rsidP="00D93B85">
      <w:pPr>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 xml:space="preserve">Several water bodies in </w:t>
      </w:r>
      <w:smartTag w:uri="urn:schemas-microsoft-com:office:smarttags" w:element="State">
        <w:smartTag w:uri="urn:schemas-microsoft-com:office:smarttags" w:element="place">
          <w:r w:rsidR="00D93B85" w:rsidRPr="00D93B85">
            <w:rPr>
              <w:rFonts w:ascii="Times New Roman" w:eastAsia="Times New Roman" w:hAnsi="Times New Roman" w:cs="Times New Roman"/>
              <w:color w:val="000000"/>
            </w:rPr>
            <w:t>Oregon</w:t>
          </w:r>
        </w:smartTag>
      </w:smartTag>
      <w:r w:rsidR="00D93B85" w:rsidRPr="00D93B85">
        <w:rPr>
          <w:rFonts w:ascii="Times New Roman" w:eastAsia="Times New Roman" w:hAnsi="Times New Roman" w:cs="Times New Roman"/>
          <w:color w:val="000000"/>
        </w:rPr>
        <w:t xml:space="preserve"> currently have fish consumption advisories issued by Oregon Department of Health Services (DHS) warning anglers to limit their intake of native fish species because of increased mercury concentrations in fish tissue.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9344EF" w:rsidRDefault="009344EF"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5A0A8A">
      <w:pPr>
        <w:pStyle w:val="ListParagraph"/>
        <w:numPr>
          <w:ilvl w:val="0"/>
          <w:numId w:val="39"/>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5A0A8A" w:rsidRPr="00095DAA" w:rsidRDefault="00095DAA" w:rsidP="00115E48">
      <w:pPr>
        <w:ind w:left="1800" w:right="634"/>
        <w:outlineLvl w:val="0"/>
        <w:rPr>
          <w:rFonts w:asciiTheme="minorHAnsi" w:eastAsia="Times New Roman" w:hAnsiTheme="minorHAnsi" w:cstheme="minorHAnsi"/>
          <w:color w:val="000000"/>
        </w:rPr>
      </w:pPr>
      <w:r w:rsidRPr="00095DAA">
        <w:rPr>
          <w:rFonts w:asciiTheme="minorHAnsi" w:hAnsiTheme="minorHAnsi" w:cstheme="minorHAnsi"/>
        </w:rPr>
        <w:t>Because Oregon uses the ACDP program to implement federal standards for sources that are not required to obtain a Title V permit, Oregon's rules must specify which sources must obtain an ACDP, what requirements are included in the ACDP and the fee schedule for ACDPs.</w:t>
      </w:r>
      <w:r>
        <w:rPr>
          <w:rFonts w:asciiTheme="minorHAnsi" w:hAnsiTheme="minorHAnsi" w:cstheme="minorHAnsi"/>
        </w:rPr>
        <w:t xml:space="preserve"> </w:t>
      </w:r>
      <w:r w:rsidRPr="00095DAA">
        <w:rPr>
          <w:rFonts w:asciiTheme="minorHAnsi" w:hAnsiTheme="minorHAnsi" w:cstheme="minorHAnsi"/>
        </w:rPr>
        <w:t>The proposed changes to the ACDP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15E48" w:rsidRDefault="00115E48"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5A0A8A">
      <w:pPr>
        <w:pStyle w:val="ListParagraph"/>
        <w:numPr>
          <w:ilvl w:val="0"/>
          <w:numId w:val="39"/>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161470" w:rsidRDefault="006D0A09" w:rsidP="006D0A09">
      <w:pPr>
        <w:ind w:left="1800" w:right="630"/>
        <w:rPr>
          <w:rFonts w:ascii="Times New Roman" w:eastAsia="Times New Roman" w:hAnsi="Times New Roman" w:cs="Times New Roman"/>
          <w:color w:val="000000"/>
        </w:rPr>
      </w:pPr>
      <w:r>
        <w:rPr>
          <w:rFonts w:ascii="Times New Roman" w:eastAsia="Times New Roman" w:hAnsi="Times New Roman" w:cs="Times New Roman"/>
          <w:color w:val="000000"/>
        </w:rPr>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cleanup the registration and ACDP rules. </w:t>
      </w:r>
    </w:p>
    <w:p w:rsidR="001D5FA9" w:rsidRDefault="001D5FA9" w:rsidP="00752ECF">
      <w:pPr>
        <w:ind w:left="2520" w:right="630"/>
        <w:rPr>
          <w:rFonts w:ascii="Times New Roman" w:eastAsia="Times New Roman" w:hAnsi="Times New Roman" w:cs="Times New Roman"/>
          <w:color w:val="000000"/>
        </w:rPr>
      </w:pPr>
    </w:p>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bookmarkStart w:id="1" w:name="RANGE!C35"/>
      <w:r w:rsidRPr="000E4FC6">
        <w:rPr>
          <w:rFonts w:ascii="Times New Roman" w:eastAsia="Times New Roman" w:hAnsi="Times New Roman" w:cs="Times New Roman"/>
          <w:b/>
          <w:bCs/>
          <w:color w:val="463D38" w:themeColor="accent4" w:themeShade="80"/>
        </w:rPr>
        <w:t>What alternatives did DEQ consider?</w:t>
      </w:r>
      <w:bookmarkEnd w:id="1"/>
      <w:r w:rsidRPr="000E4FC6">
        <w:rPr>
          <w:rFonts w:ascii="Times New Roman" w:eastAsia="Times New Roman" w:hAnsi="Times New Roman" w:cs="Times New Roman"/>
          <w:b/>
          <w:bCs/>
          <w:color w:val="463D38" w:themeColor="accent4" w:themeShade="80"/>
        </w:rPr>
        <w:t xml:space="preserve"> </w:t>
      </w:r>
    </w:p>
    <w:p w:rsidR="00161470" w:rsidRPr="008108D1" w:rsidRDefault="00CA6C82" w:rsidP="005A0A8A">
      <w:pPr>
        <w:pStyle w:val="ListParagraph"/>
        <w:numPr>
          <w:ilvl w:val="0"/>
          <w:numId w:val="40"/>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161470">
        <w:rPr>
          <w:rFonts w:ascii="Times New Roman" w:eastAsia="Times New Roman" w:hAnsi="Times New Roman" w:cs="Times New Roman"/>
          <w:b/>
          <w:color w:val="000000"/>
        </w:rPr>
        <w:t xml:space="preserve">Recent </w:t>
      </w:r>
      <w:r w:rsidR="00161470" w:rsidRPr="008108D1">
        <w:rPr>
          <w:rFonts w:ascii="Times New Roman" w:eastAsia="Times New Roman" w:hAnsi="Times New Roman" w:cs="Times New Roman"/>
          <w:b/>
          <w:color w:val="000000"/>
        </w:rPr>
        <w:t xml:space="preserve">Changes to Federal </w:t>
      </w:r>
      <w:r w:rsidR="00161470">
        <w:rPr>
          <w:rFonts w:ascii="Times New Roman" w:eastAsia="Times New Roman" w:hAnsi="Times New Roman" w:cs="Times New Roman"/>
          <w:b/>
          <w:color w:val="000000"/>
        </w:rPr>
        <w:t>Emission Standards</w:t>
      </w:r>
    </w:p>
    <w:p w:rsidR="00161470" w:rsidRPr="008B1C3C" w:rsidRDefault="00161470" w:rsidP="00161470">
      <w:pPr>
        <w:ind w:left="18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161470" w:rsidRPr="008B1C3C"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1470"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ule. DEQ rejected this alternative because the mercury limits in the utility mercury rule are more stringent than 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965FAA" w:rsidRDefault="00965FAA" w:rsidP="00161470">
      <w:pPr>
        <w:ind w:left="1800" w:right="630"/>
        <w:rPr>
          <w:rFonts w:ascii="Times New Roman" w:hAnsi="Times New Roman" w:cs="Times New Roman"/>
        </w:rPr>
      </w:pPr>
    </w:p>
    <w:p w:rsidR="00BC549C" w:rsidRDefault="00BC549C" w:rsidP="00161470">
      <w:pPr>
        <w:ind w:left="1800" w:right="630"/>
        <w:rPr>
          <w:rFonts w:ascii="Times New Roman" w:hAnsi="Times New Roman" w:cs="Times New Roman"/>
        </w:rPr>
      </w:pPr>
    </w:p>
    <w:p w:rsidR="00BC549C" w:rsidRDefault="00BC549C" w:rsidP="00161470">
      <w:pPr>
        <w:ind w:left="1800" w:right="630"/>
        <w:rPr>
          <w:rFonts w:ascii="Times New Roman" w:hAnsi="Times New Roman" w:cs="Times New Roman"/>
        </w:rPr>
      </w:pPr>
    </w:p>
    <w:p w:rsidR="00BC549C" w:rsidRDefault="00BC549C" w:rsidP="00161470">
      <w:pPr>
        <w:ind w:left="1800" w:right="630"/>
        <w:rPr>
          <w:rFonts w:ascii="Times New Roman" w:hAnsi="Times New Roman" w:cs="Times New Roman"/>
        </w:rPr>
      </w:pPr>
    </w:p>
    <w:p w:rsidR="00BC549C" w:rsidRDefault="00BC549C" w:rsidP="00161470">
      <w:pPr>
        <w:ind w:left="1800" w:right="630"/>
        <w:rPr>
          <w:rFonts w:ascii="Times New Roman" w:hAnsi="Times New Roman" w:cs="Times New Roman"/>
        </w:rPr>
      </w:pPr>
    </w:p>
    <w:p w:rsidR="000E4FC6" w:rsidRPr="009A2CA6" w:rsidRDefault="00CA6C82" w:rsidP="005A0A8A">
      <w:pPr>
        <w:pStyle w:val="ListParagraph"/>
        <w:numPr>
          <w:ilvl w:val="0"/>
          <w:numId w:val="4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w:t>
      </w:r>
      <w:r w:rsidR="00BD6CBD">
        <w:rPr>
          <w:rFonts w:ascii="Times New Roman" w:eastAsia="Times New Roman" w:hAnsi="Times New Roman" w:cs="Times New Roman"/>
          <w:b/>
          <w:color w:val="000000"/>
        </w:rPr>
        <w:t>Air Contaminant Discharge</w:t>
      </w:r>
      <w:r w:rsidR="000E4FC6" w:rsidRPr="009A2CA6">
        <w:rPr>
          <w:rFonts w:ascii="Times New Roman" w:eastAsia="Times New Roman" w:hAnsi="Times New Roman" w:cs="Times New Roman"/>
          <w:b/>
          <w:color w:val="000000"/>
        </w:rPr>
        <w:t xml:space="preserve"> Permitting Program</w:t>
      </w:r>
    </w:p>
    <w:p w:rsidR="000E4FC6" w:rsidRPr="009308E0"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an NSPS obtain a standard ACDP,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E33CAB" w:rsidRDefault="00E33CAB" w:rsidP="00163CC1">
      <w:pPr>
        <w:ind w:left="1080" w:right="630"/>
        <w:rPr>
          <w:rFonts w:ascii="Times New Roman" w:eastAsia="Times New Roman" w:hAnsi="Times New Roman" w:cs="Times New Roman"/>
          <w:b/>
          <w:color w:val="000000"/>
        </w:rPr>
      </w:pPr>
    </w:p>
    <w:p w:rsidR="005E022F" w:rsidRPr="009A2CA6" w:rsidRDefault="00CA6C82" w:rsidP="005A0A8A">
      <w:pPr>
        <w:pStyle w:val="ListParagraph"/>
        <w:numPr>
          <w:ilvl w:val="0"/>
          <w:numId w:val="4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D6CBD">
        <w:rPr>
          <w:rFonts w:ascii="Times New Roman" w:eastAsia="Times New Roman" w:hAnsi="Times New Roman" w:cs="Times New Roman"/>
          <w:b/>
          <w:color w:val="000000"/>
        </w:rPr>
        <w:t>Clean</w:t>
      </w:r>
      <w:r w:rsidR="00B353FD">
        <w:rPr>
          <w:rFonts w:ascii="Times New Roman" w:eastAsia="Times New Roman" w:hAnsi="Times New Roman" w:cs="Times New Roman"/>
          <w:b/>
          <w:color w:val="000000"/>
        </w:rPr>
        <w:t>-</w:t>
      </w:r>
      <w:r w:rsidR="00BD6CBD">
        <w:rPr>
          <w:rFonts w:ascii="Times New Roman" w:eastAsia="Times New Roman" w:hAnsi="Times New Roman" w:cs="Times New Roman"/>
          <w:b/>
          <w:color w:val="000000"/>
        </w:rPr>
        <w:t>up</w:t>
      </w:r>
      <w:r>
        <w:rPr>
          <w:rFonts w:ascii="Times New Roman" w:eastAsia="Times New Roman" w:hAnsi="Times New Roman" w:cs="Times New Roman"/>
          <w:b/>
          <w:color w:val="000000"/>
        </w:rPr>
        <w:t xml:space="preserve"> Rules</w:t>
      </w:r>
    </w:p>
    <w:p w:rsidR="005E022F" w:rsidRDefault="005E022F" w:rsidP="00BD6CBD">
      <w:pPr>
        <w:ind w:left="1800" w:right="630"/>
        <w:rPr>
          <w:rFonts w:ascii="Times New Roman" w:hAnsi="Times New Roman" w:cs="Times New Roman"/>
        </w:rPr>
      </w:pPr>
      <w:r>
        <w:rPr>
          <w:rFonts w:ascii="Times New Roman" w:eastAsia="Times New Roman" w:hAnsi="Times New Roman" w:cs="Times New Roman"/>
        </w:rPr>
        <w:t>DEQ considered retaining Oregon’s accidental release prevention rule or adopting the federal accidental release prevention rule by reference. DEQ rejected retaining Oregon’s accidental release prevention rule because it predated and is a placeholder for the federal accidental 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tbl>
      <w:tblPr>
        <w:tblW w:w="11430" w:type="dxa"/>
        <w:tblInd w:w="108" w:type="dxa"/>
        <w:tblLook w:val="04A0"/>
      </w:tblPr>
      <w:tblGrid>
        <w:gridCol w:w="11430"/>
      </w:tblGrid>
      <w:tr w:rsidR="00B1210C" w:rsidRPr="00B15DF7" w:rsidTr="00626C48">
        <w:trPr>
          <w:trHeight w:val="600"/>
        </w:trPr>
        <w:tc>
          <w:tcPr>
            <w:tcW w:w="11430" w:type="dxa"/>
            <w:tcBorders>
              <w:top w:val="nil"/>
              <w:left w:val="nil"/>
              <w:bottom w:val="double" w:sz="6" w:space="0" w:color="7F7F7F"/>
              <w:right w:val="nil"/>
            </w:tcBorders>
            <w:shd w:val="clear" w:color="000000" w:fill="D8D3C6"/>
            <w:noWrap/>
            <w:vAlign w:val="bottom"/>
            <w:hideMark/>
          </w:tcPr>
          <w:p w:rsidR="00B1210C" w:rsidRPr="00B15DF7" w:rsidRDefault="00B1210C" w:rsidP="00B1210C">
            <w:pPr>
              <w:outlineLvl w:val="0"/>
              <w:rPr>
                <w:rFonts w:eastAsia="Times New Roman"/>
                <w:bCs/>
                <w:color w:val="32525C"/>
                <w:sz w:val="28"/>
                <w:szCs w:val="28"/>
              </w:rPr>
            </w:pPr>
            <w:r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Pr="00B15DF7">
              <w:rPr>
                <w:rFonts w:eastAsia="Times New Roman"/>
                <w:bCs/>
                <w:color w:val="32525C"/>
                <w:sz w:val="28"/>
                <w:szCs w:val="28"/>
              </w:rPr>
              <w:t>supporting documents</w:t>
            </w:r>
          </w:p>
        </w:tc>
      </w:tr>
    </w:tbl>
    <w:p w:rsidR="00626C48" w:rsidRPr="00626C48" w:rsidRDefault="00626C48" w:rsidP="00626C48">
      <w:pPr>
        <w:framePr w:hSpace="180" w:wrap="around" w:vAnchor="text" w:hAnchor="page" w:x="397" w:y="-119"/>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6"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7"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2" w:name="RANGE!I142"/>
      <w:bookmarkStart w:id="3" w:name="RANGE!C94:C137"/>
      <w:bookmarkStart w:id="4" w:name="RANGE!C157"/>
      <w:bookmarkEnd w:id="2"/>
      <w:proofErr w:type="gramStart"/>
      <w:r w:rsidRPr="00626C48">
        <w:rPr>
          <w:rFonts w:asciiTheme="minorHAnsi" w:eastAsia="Times New Roman" w:hAnsiTheme="minorHAnsi" w:cstheme="minorHAnsi"/>
          <w:sz w:val="20"/>
          <w:szCs w:val="20"/>
        </w:rPr>
        <w:t>amend</w:t>
      </w:r>
      <w:bookmarkEnd w:id="3"/>
      <w:proofErr w:type="gramEnd"/>
      <w:r w:rsidRPr="00626C48">
        <w:rPr>
          <w:rFonts w:asciiTheme="minorHAnsi" w:eastAsia="Times New Roman" w:hAnsiTheme="minorHAnsi" w:cstheme="minorHAnsi"/>
          <w:sz w:val="20"/>
          <w:szCs w:val="20"/>
        </w:rPr>
        <w:tab/>
      </w:r>
      <w:bookmarkStart w:id="5" w:name="RANGE!D94:D137"/>
      <w:r w:rsidRPr="00626C48">
        <w:rPr>
          <w:rFonts w:asciiTheme="minorHAnsi" w:eastAsia="Times New Roman" w:hAnsiTheme="minorHAnsi" w:cstheme="minorHAnsi"/>
          <w:sz w:val="20"/>
          <w:szCs w:val="20"/>
        </w:rPr>
        <w:t>200</w:t>
      </w:r>
      <w:bookmarkEnd w:id="5"/>
      <w:r w:rsidRPr="00626C48">
        <w:rPr>
          <w:rFonts w:asciiTheme="minorHAnsi" w:eastAsia="Times New Roman" w:hAnsiTheme="minorHAnsi" w:cstheme="minorHAnsi"/>
          <w:sz w:val="20"/>
          <w:szCs w:val="20"/>
        </w:rPr>
        <w:tab/>
      </w:r>
      <w:bookmarkStart w:id="6" w:name="RANGE!E94:E137"/>
      <w:r w:rsidRPr="00626C48">
        <w:rPr>
          <w:rFonts w:asciiTheme="minorHAnsi" w:eastAsia="Times New Roman" w:hAnsiTheme="minorHAnsi" w:cstheme="minorHAnsi"/>
          <w:sz w:val="20"/>
          <w:szCs w:val="20"/>
        </w:rPr>
        <w:t>0020</w:t>
      </w:r>
      <w:bookmarkEnd w:id="6"/>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7" w:name="RANGE!L94:L137"/>
      <w:r w:rsidRPr="00626C48">
        <w:rPr>
          <w:rFonts w:asciiTheme="minorHAnsi" w:eastAsia="Times New Roman" w:hAnsiTheme="minorHAnsi" w:cstheme="minorHAnsi"/>
          <w:color w:val="000000"/>
          <w:sz w:val="20"/>
          <w:szCs w:val="20"/>
        </w:rPr>
        <w:t>SIP</w:t>
      </w:r>
      <w:bookmarkEnd w:id="7"/>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lastRenderedPageBreak/>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adopt</w:t>
      </w:r>
      <w:proofErr w:type="gramEnd"/>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Simple and Standard ACDP Attachments</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adopt</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using</w:t>
      </w:r>
      <w:proofErr w:type="gramEnd"/>
      <w:r w:rsidRPr="00626C48">
        <w:rPr>
          <w:rFonts w:asciiTheme="minorHAnsi" w:eastAsia="Times New Roman" w:hAnsiTheme="minorHAnsi" w:cstheme="minorHAnsi"/>
          <w:color w:val="000000"/>
          <w:sz w:val="20"/>
          <w:szCs w:val="20"/>
        </w:rPr>
        <w:t xml:space="preserve">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repeal</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4"/>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lastRenderedPageBreak/>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8" w:history="1">
        <w:r w:rsidR="00CB54E6" w:rsidRPr="00CB54E6">
          <w:rPr>
            <w:rFonts w:ascii="Times New Roman" w:eastAsia="Times New Roman" w:hAnsi="Times New Roman" w:cs="Times New Roman"/>
            <w:color w:val="504938"/>
            <w:sz w:val="16"/>
            <w:u w:val="single"/>
          </w:rPr>
          <w:t>ORS 183.335(2</w:t>
        </w:r>
        <w:proofErr w:type="gramStart"/>
        <w:r w:rsidR="00CB54E6" w:rsidRPr="00CB54E6">
          <w:rPr>
            <w:rFonts w:ascii="Times New Roman" w:eastAsia="Times New Roman" w:hAnsi="Times New Roman" w:cs="Times New Roman"/>
            <w:color w:val="504938"/>
            <w:sz w:val="16"/>
            <w:u w:val="single"/>
          </w:rPr>
          <w:t>)(</w:t>
        </w:r>
        <w:proofErr w:type="gramEnd"/>
        <w:r w:rsidR="00CB54E6" w:rsidRPr="00CB54E6">
          <w:rPr>
            <w:rFonts w:ascii="Times New Roman" w:eastAsia="Times New Roman" w:hAnsi="Times New Roman" w:cs="Times New Roman"/>
            <w:color w:val="504938"/>
            <w:sz w:val="16"/>
            <w:u w:val="single"/>
          </w:rPr>
          <w:t>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19" w:history="1">
        <w:r w:rsidRPr="00504D01">
          <w:rPr>
            <w:rStyle w:val="Hyperlink"/>
            <w:rFonts w:ascii="Times New Roman" w:eastAsia="Times New Roman" w:hAnsi="Times New Roman" w:cs="Times New Roman"/>
            <w:bCs/>
          </w:rPr>
          <w:t>Code of Federal Regulations</w:t>
        </w:r>
      </w:hyperlink>
    </w:p>
    <w:p w:rsidR="00504D01"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0" w:history="1">
        <w:r w:rsidRPr="00504D01">
          <w:rPr>
            <w:rStyle w:val="Hyperlink"/>
            <w:rFonts w:ascii="Times New Roman" w:eastAsia="Times New Roman" w:hAnsi="Times New Roman" w:cs="Times New Roman"/>
            <w:bCs/>
          </w:rPr>
          <w:t>Federal Register</w:t>
        </w:r>
      </w:hyperlink>
    </w:p>
    <w:p w:rsidR="00504D01" w:rsidRPr="00B15DF7" w:rsidRDefault="00504D01" w:rsidP="00733A49"/>
    <w:tbl>
      <w:tblPr>
        <w:tblW w:w="11430" w:type="dxa"/>
        <w:tblInd w:w="108" w:type="dxa"/>
        <w:tblLook w:val="04A0"/>
      </w:tblPr>
      <w:tblGrid>
        <w:gridCol w:w="11430"/>
      </w:tblGrid>
      <w:tr w:rsidR="00733A49" w:rsidRPr="00B15DF7" w:rsidTr="00733A49">
        <w:trPr>
          <w:trHeight w:val="600"/>
        </w:trPr>
        <w:tc>
          <w:tcPr>
            <w:tcW w:w="1143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55409E" w:rsidP="0055409E">
            <w:pPr>
              <w:outlineLvl w:val="0"/>
              <w:rPr>
                <w:rFonts w:eastAsia="Times New Roman"/>
                <w:bCs/>
                <w:color w:val="32525C"/>
                <w:sz w:val="28"/>
                <w:szCs w:val="28"/>
              </w:rPr>
            </w:pPr>
            <w:r>
              <w:rPr>
                <w:rFonts w:eastAsia="Times New Roman"/>
                <w:bCs/>
                <w:color w:val="32525C"/>
                <w:sz w:val="28"/>
                <w:szCs w:val="28"/>
              </w:rPr>
              <w:t>Statement of f</w:t>
            </w:r>
            <w:r w:rsidR="00733A49" w:rsidRPr="00B15DF7">
              <w:rPr>
                <w:rFonts w:eastAsia="Times New Roman"/>
                <w:bCs/>
                <w:color w:val="32525C"/>
                <w:sz w:val="28"/>
                <w:szCs w:val="28"/>
              </w:rPr>
              <w:t xml:space="preserve">iscal </w:t>
            </w:r>
            <w:r>
              <w:rPr>
                <w:rFonts w:eastAsia="Times New Roman"/>
                <w:bCs/>
                <w:color w:val="32525C"/>
                <w:sz w:val="28"/>
                <w:szCs w:val="28"/>
              </w:rPr>
              <w:t xml:space="preserve">and economic </w:t>
            </w:r>
            <w:r w:rsidR="00733A49" w:rsidRPr="00B15DF7">
              <w:rPr>
                <w:rFonts w:eastAsia="Times New Roman"/>
                <w:bCs/>
                <w:color w:val="32525C"/>
                <w:sz w:val="28"/>
                <w:szCs w:val="28"/>
              </w:rPr>
              <w:t>impact</w:t>
            </w:r>
            <w:r>
              <w:rPr>
                <w:rFonts w:eastAsia="Times New Roman"/>
                <w:bCs/>
                <w:color w:val="32525C"/>
                <w:sz w:val="28"/>
                <w:szCs w:val="28"/>
              </w:rPr>
              <w:t xml:space="preserve">                                           </w:t>
            </w:r>
            <w:r w:rsidRPr="0055409E">
              <w:rPr>
                <w:rFonts w:eastAsia="Times New Roman"/>
                <w:bCs/>
                <w:color w:val="32525C"/>
                <w:sz w:val="28"/>
                <w:szCs w:val="28"/>
                <w:u w:val="single"/>
              </w:rPr>
              <w:t>ORS 183.335 (2)(b)(E)</w:t>
            </w:r>
          </w:p>
        </w:tc>
      </w:tr>
    </w:tbl>
    <w:p w:rsidR="00733A49" w:rsidRPr="00B15DF7" w:rsidRDefault="00733A49" w:rsidP="00733A49"/>
    <w:p w:rsid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006475" w:rsidRDefault="00006475" w:rsidP="00F40260">
      <w:pPr>
        <w:spacing w:after="120"/>
        <w:ind w:left="1080"/>
        <w:rPr>
          <w:rFonts w:asciiTheme="minorHAnsi" w:hAnsiTheme="minorHAnsi" w:cstheme="minorHAnsi"/>
          <w:u w:val="single"/>
        </w:rPr>
      </w:pP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F01FAE" w:rsidRDefault="00CA6C82" w:rsidP="00F01FAE">
      <w:pPr>
        <w:pStyle w:val="ListParagraph"/>
        <w:numPr>
          <w:ilvl w:val="0"/>
          <w:numId w:val="34"/>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F01FAE" w:rsidRPr="00F01FAE">
        <w:rPr>
          <w:rFonts w:ascii="Times New Roman" w:eastAsia="Times New Roman" w:hAnsi="Times New Roman" w:cs="Times New Roman"/>
          <w:b/>
          <w:color w:val="000000"/>
        </w:rPr>
        <w:t>Recent Changes to Federal Emission Standards</w:t>
      </w:r>
    </w:p>
    <w:p w:rsidR="00F01FAE" w:rsidRDefault="00F01FAE" w:rsidP="00F01FAE">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EB4707">
        <w:rPr>
          <w:rFonts w:ascii="Times New Roman" w:eastAsia="Times New Roman" w:hAnsi="Times New Roman" w:cs="Times New Roman"/>
          <w:color w:val="000000"/>
        </w:rPr>
        <w:t>;</w:t>
      </w:r>
      <w:r w:rsidRPr="004100EF">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01FAE">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01FAE">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lastRenderedPageBreak/>
        <w:t>Update the adoption by reference of previously adopted NESHAPs and NSPSs</w:t>
      </w:r>
      <w:r>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F01FAE" w:rsidRDefault="00F01FAE" w:rsidP="00F01FAE">
      <w:pPr>
        <w:pStyle w:val="ListParagraph"/>
        <w:numPr>
          <w:ilvl w:val="0"/>
          <w:numId w:val="16"/>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DA7D75">
            <w:pPr>
              <w:pStyle w:val="ListParagraph"/>
              <w:numPr>
                <w:ilvl w:val="0"/>
                <w:numId w:val="34"/>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DA7D75">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of the ACDP</w:t>
            </w:r>
            <w:r>
              <w:rPr>
                <w:rFonts w:ascii="Times New Roman" w:eastAsia="Times New Roman" w:hAnsi="Times New Roman" w:cs="Times New Roman"/>
                <w:color w:val="000000"/>
              </w:rPr>
              <w:t xml:space="preserve"> program.</w:t>
            </w:r>
          </w:p>
          <w:p w:rsidR="00DA7D75" w:rsidRDefault="00DA7D75" w:rsidP="00DA7D75">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affected facilities to obtain an ACDP</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r w:rsidR="00BD7AB1">
              <w:rPr>
                <w:rFonts w:ascii="Times New Roman" w:eastAsia="Times New Roman" w:hAnsi="Times New Roman" w:cs="Times New Roman"/>
                <w:color w:val="000000"/>
              </w:rPr>
              <w:t xml:space="preserve">would improve the efficiency of the ACDP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p>
          <w:p w:rsidR="00DA7D75" w:rsidRDefault="00DA7D75" w:rsidP="00DA7D75">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and</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DA7D75">
            <w:pPr>
              <w:pStyle w:val="ListParagraph"/>
              <w:numPr>
                <w:ilvl w:val="0"/>
                <w:numId w:val="14"/>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ACDP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DA7D75">
      <w:pPr>
        <w:pStyle w:val="ListParagraph"/>
        <w:numPr>
          <w:ilvl w:val="0"/>
          <w:numId w:val="34"/>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Cleanup Rules</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Align the late fees for the registration and ACDP programs;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late fees would apply eight days after a source misses a </w:t>
      </w:r>
      <w:r>
        <w:rPr>
          <w:rFonts w:ascii="Times New Roman" w:eastAsia="Times New Roman" w:hAnsi="Times New Roman" w:cs="Times New Roman"/>
          <w:color w:val="000000"/>
        </w:rPr>
        <w:lastRenderedPageBreak/>
        <w:t>deadline for submitting fees instead of immediately after the deadline</w:t>
      </w:r>
      <w:r w:rsidR="000026C2">
        <w:rPr>
          <w:rFonts w:ascii="Times New Roman" w:eastAsia="Times New Roman" w:hAnsi="Times New Roman" w:cs="Times New Roman"/>
          <w:color w:val="000000"/>
        </w:rPr>
        <w:t>, so some sources will avoid late fees altogether by paying fees within the grace period</w:t>
      </w:r>
      <w:r w:rsidRPr="00E853DB">
        <w:rPr>
          <w:rFonts w:ascii="Times New Roman" w:eastAsia="Times New Roman" w:hAnsi="Times New Roman" w:cs="Times New Roman"/>
          <w:color w:val="000000"/>
        </w:rPr>
        <w:t>.</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Remove redundant general permit fee class assignments for halogenated solvent cleaners;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DA7D75">
      <w:pPr>
        <w:pStyle w:val="ListParagraph"/>
        <w:numPr>
          <w:ilvl w:val="0"/>
          <w:numId w:val="35"/>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C163B2" w:rsidRPr="00504D01" w:rsidRDefault="00C0359C" w:rsidP="00733A49">
            <w:pPr>
              <w:tabs>
                <w:tab w:val="left" w:pos="12453"/>
                <w:tab w:val="left" w:pos="13188"/>
                <w:tab w:val="left" w:pos="13964"/>
                <w:tab w:val="left" w:pos="14699"/>
                <w:tab w:val="left" w:pos="16283"/>
              </w:tabs>
              <w:outlineLvl w:val="0"/>
              <w:rPr>
                <w:rFonts w:ascii="Times New Roman" w:eastAsia="Times New Roman" w:hAnsi="Times New Roman" w:cs="Times New Roman"/>
                <w:bCs/>
              </w:rPr>
            </w:pPr>
            <w:r>
              <w:rPr>
                <w:rFonts w:ascii="Times New Roman" w:eastAsia="Times New Roman" w:hAnsi="Times New Roman" w:cs="Times New Roman"/>
                <w:bCs/>
              </w:rPr>
              <w:t>Estimated number of small business subject to proposed rules: c</w:t>
            </w:r>
            <w:r w:rsidR="00504D01" w:rsidRPr="00504D01">
              <w:rPr>
                <w:rFonts w:ascii="Times New Roman" w:eastAsia="Times New Roman" w:hAnsi="Times New Roman" w:cs="Times New Roman"/>
                <w:bCs/>
              </w:rPr>
              <w:t xml:space="preserve">hemical manufacturing facilities subject only to work practice standards (1); </w:t>
            </w:r>
            <w:r w:rsidR="004709B0">
              <w:rPr>
                <w:rFonts w:ascii="Times New Roman" w:eastAsia="Times New Roman" w:hAnsi="Times New Roman" w:cs="Times New Roman"/>
                <w:bCs/>
              </w:rPr>
              <w:t xml:space="preserve">paint stripping and </w:t>
            </w:r>
            <w:r w:rsidR="00504D01" w:rsidRPr="00504D01">
              <w:rPr>
                <w:rFonts w:ascii="Times New Roman" w:eastAsia="Times New Roman" w:hAnsi="Times New Roman" w:cs="Times New Roman"/>
                <w:bCs/>
              </w:rPr>
              <w:t xml:space="preserve">surface coating operations using less than 20 gallons of coating </w:t>
            </w:r>
            <w:r w:rsidR="00F654C9">
              <w:rPr>
                <w:rFonts w:ascii="Times New Roman" w:eastAsia="Times New Roman" w:hAnsi="Times New Roman" w:cs="Times New Roman"/>
                <w:bCs/>
              </w:rPr>
              <w:t xml:space="preserve">and </w:t>
            </w:r>
            <w:r w:rsidR="00465628">
              <w:rPr>
                <w:rFonts w:ascii="Times New Roman" w:eastAsia="Times New Roman" w:hAnsi="Times New Roman" w:cs="Times New Roman"/>
                <w:bCs/>
              </w:rPr>
              <w:t xml:space="preserve">20 gallons of methylene chloride </w:t>
            </w:r>
            <w:bookmarkStart w:id="8" w:name="_GoBack"/>
            <w:bookmarkEnd w:id="8"/>
            <w:r w:rsidR="00F654C9">
              <w:rPr>
                <w:rFonts w:ascii="Times New Roman" w:eastAsia="Times New Roman" w:hAnsi="Times New Roman" w:cs="Times New Roman"/>
                <w:bCs/>
              </w:rPr>
              <w:t xml:space="preserve">paint stripper </w:t>
            </w:r>
            <w:r w:rsidR="00504D01" w:rsidRPr="00504D01">
              <w:rPr>
                <w:rFonts w:ascii="Times New Roman" w:eastAsia="Times New Roman" w:hAnsi="Times New Roman" w:cs="Times New Roman"/>
                <w:bCs/>
              </w:rPr>
              <w:t>per year (</w:t>
            </w:r>
            <w:r w:rsidR="00F654C9">
              <w:rPr>
                <w:rFonts w:ascii="Times New Roman" w:eastAsia="Times New Roman" w:hAnsi="Times New Roman" w:cs="Times New Roman"/>
                <w:bCs/>
              </w:rPr>
              <w:t>2</w:t>
            </w:r>
            <w:r w:rsidR="00504D01" w:rsidRPr="00504D01">
              <w:rPr>
                <w:rFonts w:ascii="Times New Roman" w:eastAsia="Times New Roman" w:hAnsi="Times New Roman" w:cs="Times New Roman"/>
                <w:bCs/>
              </w:rPr>
              <w:t>); gasoline dispensing facilities that dispense gasoline into “non-road vehicles” and “non-road engines” (223); new federal area source NESHAP for gold mine ore processing and production (</w:t>
            </w:r>
            <w:r w:rsidR="00C156FF">
              <w:rPr>
                <w:rFonts w:ascii="Times New Roman" w:eastAsia="Times New Roman" w:hAnsi="Times New Roman" w:cs="Times New Roman"/>
                <w:bCs/>
              </w:rPr>
              <w:t>0</w:t>
            </w:r>
            <w:r w:rsidR="00504D01" w:rsidRPr="00504D01">
              <w:rPr>
                <w:rFonts w:ascii="Times New Roman" w:eastAsia="Times New Roman" w:hAnsi="Times New Roman" w:cs="Times New Roman"/>
                <w:bCs/>
              </w:rPr>
              <w:t xml:space="preserve">); new federal major source NESHAP for electric utility </w:t>
            </w:r>
            <w:r w:rsidR="000127DF">
              <w:rPr>
                <w:rFonts w:ascii="Times New Roman" w:eastAsia="Times New Roman" w:hAnsi="Times New Roman" w:cs="Times New Roman"/>
                <w:bCs/>
              </w:rPr>
              <w:t>steam generating units</w:t>
            </w:r>
            <w:r w:rsidR="00504D01" w:rsidRPr="00504D01">
              <w:rPr>
                <w:rFonts w:ascii="Times New Roman" w:eastAsia="Times New Roman" w:hAnsi="Times New Roman" w:cs="Times New Roman"/>
                <w:bCs/>
              </w:rPr>
              <w:t xml:space="preserve"> (1); </w:t>
            </w:r>
            <w:r w:rsidR="00EB4707">
              <w:rPr>
                <w:rFonts w:ascii="Times New Roman" w:eastAsia="Times New Roman" w:hAnsi="Times New Roman" w:cs="Times New Roman"/>
                <w:bCs/>
              </w:rPr>
              <w:t xml:space="preserve">new federal major source NESHAP for polyvinyl chloride and copolymers production (0); </w:t>
            </w:r>
            <w:r w:rsidR="00504D01" w:rsidRPr="00504D01">
              <w:rPr>
                <w:rFonts w:ascii="Times New Roman" w:eastAsia="Times New Roman" w:hAnsi="Times New Roman" w:cs="Times New Roman"/>
                <w:bCs/>
              </w:rPr>
              <w:t>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w:t>
            </w:r>
            <w:r w:rsidR="00FD00EE">
              <w:rPr>
                <w:rFonts w:ascii="Times New Roman" w:eastAsia="Times New Roman" w:hAnsi="Times New Roman" w:cs="Times New Roman"/>
              </w:rPr>
              <w:lastRenderedPageBreak/>
              <w:t xml:space="preserve">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w:t>
            </w:r>
            <w:proofErr w:type="gramStart"/>
            <w:r w:rsidR="00FD00EE">
              <w:rPr>
                <w:rFonts w:ascii="Times New Roman" w:eastAsia="Times New Roman" w:hAnsi="Times New Roman" w:cs="Times New Roman"/>
                <w:color w:val="000000"/>
              </w:rPr>
              <w:t>majority of these facilities have</w:t>
            </w:r>
            <w:proofErr w:type="gramEnd"/>
            <w:r w:rsidR="00FD00EE">
              <w:rPr>
                <w:rFonts w:ascii="Times New Roman" w:eastAsia="Times New Roman" w:hAnsi="Times New Roman" w:cs="Times New Roman"/>
                <w:color w:val="000000"/>
              </w:rPr>
              <w:t xml:space="preser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may require small businesses to add equipment, supplies, labor or 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w:t>
            </w:r>
            <w:proofErr w:type="gramStart"/>
            <w:r w:rsidR="002D2623">
              <w:rPr>
                <w:rFonts w:ascii="Times New Roman" w:eastAsia="Times New Roman" w:hAnsi="Times New Roman" w:cs="Times New Roman"/>
                <w:color w:val="000000"/>
              </w:rPr>
              <w:t>majority of these facilities have</w:t>
            </w:r>
            <w:proofErr w:type="gramEnd"/>
            <w:r w:rsidR="002D2623">
              <w:rPr>
                <w:rFonts w:ascii="Times New Roman" w:eastAsia="Times New Roman" w:hAnsi="Times New Roman" w:cs="Times New Roman"/>
                <w:color w:val="000000"/>
              </w:rPr>
              <w:t xml:space="preser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B353FD">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sidR="00B353FD">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w:t>
      </w:r>
      <w:r w:rsidR="00D10E89" w:rsidRPr="00D10E89">
        <w:rPr>
          <w:rFonts w:ascii="Times New Roman" w:eastAsia="Times New Roman" w:hAnsi="Times New Roman" w:cs="Times New Roman"/>
        </w:rPr>
        <w:lastRenderedPageBreak/>
        <w:t xml:space="preserve">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9A0D99">
      <w:pPr>
        <w:pStyle w:val="ListParagraph"/>
        <w:numPr>
          <w:ilvl w:val="0"/>
          <w:numId w:val="23"/>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This work will be 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B43B09" w:rsidRDefault="00B43B09" w:rsidP="00CB54E6">
      <w:pPr>
        <w:ind w:left="1080" w:right="630"/>
        <w:rPr>
          <w:rFonts w:ascii="Times New Roman" w:eastAsia="Times New Roman" w:hAnsi="Times New Roman" w:cs="Times New Roman"/>
          <w:bCs/>
        </w:rPr>
      </w:pPr>
    </w:p>
    <w:tbl>
      <w:tblPr>
        <w:tblW w:w="11430" w:type="dxa"/>
        <w:tblInd w:w="108" w:type="dxa"/>
        <w:tblLook w:val="04A0"/>
      </w:tblPr>
      <w:tblGrid>
        <w:gridCol w:w="11430"/>
      </w:tblGrid>
      <w:tr w:rsidR="00A50464" w:rsidRPr="00B15DF7" w:rsidTr="00A50464">
        <w:trPr>
          <w:trHeight w:val="600"/>
        </w:trPr>
        <w:tc>
          <w:tcPr>
            <w:tcW w:w="1143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A50464" w:rsidP="00B43B09">
            <w:pPr>
              <w:tabs>
                <w:tab w:val="right" w:pos="11214"/>
              </w:tabs>
              <w:outlineLvl w:val="0"/>
              <w:rPr>
                <w:rFonts w:eastAsia="Times New Roman"/>
                <w:b/>
                <w:bCs/>
                <w:color w:val="415B5C" w:themeColor="accent3" w:themeShade="80"/>
              </w:rPr>
            </w:pPr>
            <w:r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9" w:name="RANGE!A226:B243"/>
      <w:bookmarkEnd w:id="9"/>
    </w:p>
    <w:p w:rsidR="00B43B09" w:rsidRDefault="001B45C1" w:rsidP="00C531D0">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proposal does not change fee levels or create new fee categories, but it does revise the fee category applicable to crematories required to obtain ACDP permits and changes the date late fees are triggered in the registration program.</w:t>
      </w:r>
    </w:p>
    <w:p w:rsidR="00E4203D" w:rsidRDefault="00E4203D" w:rsidP="00C531D0">
      <w:pPr>
        <w:ind w:left="1080" w:right="630"/>
        <w:rPr>
          <w:rFonts w:ascii="Times New Roman" w:eastAsia="Times New Roman" w:hAnsi="Times New Roman" w:cs="Times New Roman"/>
          <w:color w:val="000000" w:themeColor="text1"/>
        </w:rPr>
      </w:pPr>
    </w:p>
    <w:tbl>
      <w:tblPr>
        <w:tblW w:w="11430" w:type="dxa"/>
        <w:tblInd w:w="108" w:type="dxa"/>
        <w:tblLook w:val="04A0"/>
      </w:tblPr>
      <w:tblGrid>
        <w:gridCol w:w="11430"/>
      </w:tblGrid>
      <w:tr w:rsidR="00823C9D" w:rsidRPr="00B15DF7" w:rsidTr="00823C9D">
        <w:trPr>
          <w:trHeight w:val="600"/>
        </w:trPr>
        <w:tc>
          <w:tcPr>
            <w:tcW w:w="1143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4F673A" w:rsidRDefault="00823C9D" w:rsidP="00823C9D">
            <w:pPr>
              <w:outlineLvl w:val="0"/>
              <w:rPr>
                <w:rFonts w:eastAsia="Times New Roman"/>
                <w:bCs/>
                <w:color w:val="32525C"/>
                <w:sz w:val="28"/>
                <w:szCs w:val="28"/>
              </w:rPr>
            </w:pPr>
            <w:r w:rsidRPr="004F673A">
              <w:rPr>
                <w:rFonts w:eastAsia="Times New Roman"/>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1" w:history="1">
        <w:r w:rsidR="00182C5A" w:rsidRPr="00B15DF7">
          <w:rPr>
            <w:rFonts w:ascii="Times New Roman" w:eastAsia="Times New Roman" w:hAnsi="Times New Roman" w:cs="Times New Roman"/>
            <w:color w:val="504938"/>
            <w:sz w:val="16"/>
            <w:u w:val="single"/>
          </w:rPr>
          <w:t>OAR 340-018</w:t>
        </w:r>
      </w:hyperlink>
    </w:p>
    <w:p w:rsidR="007F4318" w:rsidRPr="00B15DF7" w:rsidRDefault="0051648F" w:rsidP="00182C5A">
      <w:pPr>
        <w:ind w:right="630"/>
        <w:jc w:val="right"/>
        <w:outlineLvl w:val="0"/>
        <w:rPr>
          <w:rFonts w:ascii="Times New Roman" w:eastAsia="Times New Roman" w:hAnsi="Times New Roman" w:cs="Times New Roman"/>
          <w:color w:val="504938"/>
          <w:sz w:val="16"/>
          <w:szCs w:val="16"/>
          <w:u w:val="single"/>
        </w:rPr>
      </w:pPr>
      <w:hyperlink r:id="rId22" w:history="1">
        <w:r w:rsidR="007F4318" w:rsidRPr="00B15DF7">
          <w:rPr>
            <w:rFonts w:ascii="Times New Roman" w:eastAsia="Times New Roman" w:hAnsi="Times New Roman" w:cs="Times New Roman"/>
            <w:color w:val="504938"/>
            <w:sz w:val="16"/>
            <w:u w:val="single"/>
          </w:rPr>
          <w:t>ORS 197.180</w:t>
        </w:r>
      </w:hyperlink>
    </w:p>
    <w:p w:rsidR="007F4318" w:rsidRPr="00B15DF7" w:rsidRDefault="0051648F" w:rsidP="00182C5A">
      <w:pPr>
        <w:ind w:right="630"/>
        <w:jc w:val="right"/>
        <w:outlineLvl w:val="0"/>
        <w:rPr>
          <w:rFonts w:ascii="Times New Roman" w:eastAsia="Times New Roman" w:hAnsi="Times New Roman" w:cs="Times New Roman"/>
          <w:color w:val="504938"/>
          <w:sz w:val="16"/>
          <w:szCs w:val="16"/>
          <w:u w:val="single"/>
        </w:rPr>
      </w:pPr>
      <w:hyperlink r:id="rId2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r>
      <w:proofErr w:type="spellStart"/>
      <w:r w:rsidRPr="00B82764">
        <w:rPr>
          <w:rFonts w:ascii="Cambria" w:eastAsia="Times New Roman" w:hAnsi="Cambria" w:cs="Times New Roman"/>
          <w:color w:val="000000" w:themeColor="text1"/>
        </w:rPr>
        <w:t>Estuarian</w:t>
      </w:r>
      <w:proofErr w:type="spellEnd"/>
      <w:r w:rsidRPr="00B82764">
        <w:rPr>
          <w:rFonts w:ascii="Cambria" w:eastAsia="Times New Roman" w:hAnsi="Cambria" w:cs="Times New Roman"/>
          <w:color w:val="000000" w:themeColor="text1"/>
        </w:rPr>
        <w:t xml:space="preserve">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ACDP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ACDP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sectPr w:rsidR="00E54670" w:rsidSect="00733A49">
      <w:footerReference w:type="default" r:id="rId25"/>
      <w:pgSz w:w="12240" w:h="15840"/>
      <w:pgMar w:top="720" w:right="360" w:bottom="14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52" w:rsidRDefault="00A33652" w:rsidP="00A33652">
      <w:r>
        <w:separator/>
      </w:r>
    </w:p>
  </w:endnote>
  <w:endnote w:type="continuationSeparator" w:id="0">
    <w:p w:rsidR="00A33652" w:rsidRDefault="00A33652" w:rsidP="00A33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52" w:rsidRPr="00A33652" w:rsidRDefault="00A33652" w:rsidP="00A33652">
    <w:pPr>
      <w:pStyle w:val="Footer"/>
      <w:ind w:left="720"/>
      <w:rPr>
        <w:rFonts w:asciiTheme="minorHAnsi" w:hAnsiTheme="minorHAnsi" w:cstheme="minorHAnsi"/>
        <w:sz w:val="22"/>
        <w:szCs w:val="22"/>
      </w:rPr>
    </w:pPr>
    <w:r w:rsidRPr="00A33652">
      <w:rPr>
        <w:rFonts w:asciiTheme="minorHAnsi" w:hAnsiTheme="minorHAnsi" w:cstheme="minorHAnsi"/>
        <w:sz w:val="22"/>
        <w:szCs w:val="22"/>
      </w:rPr>
      <w:t>8/14/2012</w:t>
    </w:r>
    <w:r w:rsidRPr="00A33652">
      <w:rPr>
        <w:rFonts w:asciiTheme="minorHAnsi" w:hAnsiTheme="minorHAnsi" w:cstheme="minorHAnsi"/>
        <w:sz w:val="22"/>
        <w:szCs w:val="22"/>
      </w:rPr>
      <w:tab/>
    </w:r>
    <w:r w:rsidRPr="00A33652">
      <w:rPr>
        <w:rFonts w:asciiTheme="minorHAnsi" w:hAnsiTheme="minorHAnsi" w:cstheme="minorHAnsi"/>
        <w:sz w:val="22"/>
        <w:szCs w:val="22"/>
      </w:rPr>
      <w:tab/>
    </w:r>
    <w:r w:rsidRPr="00A33652">
      <w:rPr>
        <w:rFonts w:asciiTheme="minorHAnsi" w:hAnsiTheme="minorHAnsi" w:cstheme="minorHAnsi"/>
        <w:sz w:val="22"/>
        <w:szCs w:val="22"/>
      </w:rPr>
      <w:tab/>
      <w:t xml:space="preserve">Page | </w:t>
    </w:r>
    <w:r w:rsidR="0051648F" w:rsidRPr="00A33652">
      <w:rPr>
        <w:rFonts w:asciiTheme="minorHAnsi" w:hAnsiTheme="minorHAnsi" w:cstheme="minorHAnsi"/>
        <w:sz w:val="22"/>
        <w:szCs w:val="22"/>
      </w:rPr>
      <w:fldChar w:fldCharType="begin"/>
    </w:r>
    <w:r w:rsidRPr="00A33652">
      <w:rPr>
        <w:rFonts w:asciiTheme="minorHAnsi" w:hAnsiTheme="minorHAnsi" w:cstheme="minorHAnsi"/>
        <w:sz w:val="22"/>
        <w:szCs w:val="22"/>
      </w:rPr>
      <w:instrText xml:space="preserve"> PAGE   \* MERGEFORMAT </w:instrText>
    </w:r>
    <w:r w:rsidR="0051648F" w:rsidRPr="00A33652">
      <w:rPr>
        <w:rFonts w:asciiTheme="minorHAnsi" w:hAnsiTheme="minorHAnsi" w:cstheme="minorHAnsi"/>
        <w:sz w:val="22"/>
        <w:szCs w:val="22"/>
      </w:rPr>
      <w:fldChar w:fldCharType="separate"/>
    </w:r>
    <w:r w:rsidR="00AA7867">
      <w:rPr>
        <w:rFonts w:asciiTheme="minorHAnsi" w:hAnsiTheme="minorHAnsi" w:cstheme="minorHAnsi"/>
        <w:noProof/>
        <w:sz w:val="22"/>
        <w:szCs w:val="22"/>
      </w:rPr>
      <w:t>10</w:t>
    </w:r>
    <w:r w:rsidR="0051648F" w:rsidRPr="00A33652">
      <w:rPr>
        <w:rFonts w:asciiTheme="minorHAnsi" w:hAnsiTheme="minorHAnsi" w:cstheme="minorHAns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52" w:rsidRDefault="00A33652" w:rsidP="00A33652">
      <w:r>
        <w:separator/>
      </w:r>
    </w:p>
  </w:footnote>
  <w:footnote w:type="continuationSeparator" w:id="0">
    <w:p w:rsidR="00A33652" w:rsidRDefault="00A33652"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F7C"/>
    <w:multiLevelType w:val="hybridMultilevel"/>
    <w:tmpl w:val="D9A65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9C91D5A"/>
    <w:multiLevelType w:val="hybridMultilevel"/>
    <w:tmpl w:val="96BAD912"/>
    <w:lvl w:ilvl="0" w:tplc="45C618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0E45"/>
    <w:multiLevelType w:val="hybridMultilevel"/>
    <w:tmpl w:val="E102B01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BA7E0F"/>
    <w:multiLevelType w:val="hybridMultilevel"/>
    <w:tmpl w:val="1AAC8B2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726E46"/>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370003"/>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A2658F4"/>
    <w:multiLevelType w:val="hybridMultilevel"/>
    <w:tmpl w:val="A850A9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9D3E0B"/>
    <w:multiLevelType w:val="hybridMultilevel"/>
    <w:tmpl w:val="A404AD7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617AD3"/>
    <w:multiLevelType w:val="hybridMultilevel"/>
    <w:tmpl w:val="8670111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30AB49F8"/>
    <w:multiLevelType w:val="hybridMultilevel"/>
    <w:tmpl w:val="711EFD88"/>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362F7286"/>
    <w:multiLevelType w:val="hybridMultilevel"/>
    <w:tmpl w:val="7A244570"/>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39E37155"/>
    <w:multiLevelType w:val="hybridMultilevel"/>
    <w:tmpl w:val="4CDE43DE"/>
    <w:lvl w:ilvl="0" w:tplc="897CB9B4">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452422"/>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4B1016F"/>
    <w:multiLevelType w:val="hybridMultilevel"/>
    <w:tmpl w:val="4EFEC5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7606765"/>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535D629A"/>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F26684"/>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9E760C"/>
    <w:multiLevelType w:val="hybridMultilevel"/>
    <w:tmpl w:val="0E4257B8"/>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5D7D5B87"/>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5E731B43"/>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F42404B"/>
    <w:multiLevelType w:val="hybridMultilevel"/>
    <w:tmpl w:val="8DA6B188"/>
    <w:lvl w:ilvl="0" w:tplc="502AAB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B6A9E"/>
    <w:multiLevelType w:val="hybridMultilevel"/>
    <w:tmpl w:val="E28803BE"/>
    <w:lvl w:ilvl="0" w:tplc="C282870E">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966322"/>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nsid w:val="67474F6D"/>
    <w:multiLevelType w:val="hybridMultilevel"/>
    <w:tmpl w:val="D388C714"/>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7DE084D"/>
    <w:multiLevelType w:val="hybridMultilevel"/>
    <w:tmpl w:val="36061372"/>
    <w:lvl w:ilvl="0" w:tplc="897CB9B4">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1131BB"/>
    <w:multiLevelType w:val="hybridMultilevel"/>
    <w:tmpl w:val="1C541E3A"/>
    <w:lvl w:ilvl="0" w:tplc="897CB9B4">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732E03DC"/>
    <w:multiLevelType w:val="hybridMultilevel"/>
    <w:tmpl w:val="A404AD7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39157F"/>
    <w:multiLevelType w:val="hybridMultilevel"/>
    <w:tmpl w:val="F62214E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46D3A3A"/>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392000"/>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nsid w:val="7C0768D7"/>
    <w:multiLevelType w:val="hybridMultilevel"/>
    <w:tmpl w:val="EEBE6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1F680D"/>
    <w:multiLevelType w:val="hybridMultilevel"/>
    <w:tmpl w:val="1478C5A2"/>
    <w:lvl w:ilvl="0" w:tplc="C8781CD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2"/>
  </w:num>
  <w:num w:numId="3">
    <w:abstractNumId w:val="25"/>
  </w:num>
  <w:num w:numId="4">
    <w:abstractNumId w:val="36"/>
  </w:num>
  <w:num w:numId="5">
    <w:abstractNumId w:val="32"/>
  </w:num>
  <w:num w:numId="6">
    <w:abstractNumId w:val="2"/>
  </w:num>
  <w:num w:numId="7">
    <w:abstractNumId w:val="1"/>
  </w:num>
  <w:num w:numId="8">
    <w:abstractNumId w:val="14"/>
  </w:num>
  <w:num w:numId="9">
    <w:abstractNumId w:val="33"/>
  </w:num>
  <w:num w:numId="10">
    <w:abstractNumId w:val="23"/>
  </w:num>
  <w:num w:numId="11">
    <w:abstractNumId w:val="31"/>
  </w:num>
  <w:num w:numId="12">
    <w:abstractNumId w:val="35"/>
  </w:num>
  <w:num w:numId="13">
    <w:abstractNumId w:val="5"/>
  </w:num>
  <w:num w:numId="14">
    <w:abstractNumId w:val="13"/>
  </w:num>
  <w:num w:numId="15">
    <w:abstractNumId w:val="6"/>
  </w:num>
  <w:num w:numId="16">
    <w:abstractNumId w:val="11"/>
  </w:num>
  <w:num w:numId="17">
    <w:abstractNumId w:val="38"/>
  </w:num>
  <w:num w:numId="18">
    <w:abstractNumId w:val="29"/>
  </w:num>
  <w:num w:numId="19">
    <w:abstractNumId w:val="3"/>
  </w:num>
  <w:num w:numId="20">
    <w:abstractNumId w:val="41"/>
  </w:num>
  <w:num w:numId="21">
    <w:abstractNumId w:val="24"/>
  </w:num>
  <w:num w:numId="22">
    <w:abstractNumId w:val="18"/>
  </w:num>
  <w:num w:numId="23">
    <w:abstractNumId w:val="8"/>
  </w:num>
  <w:num w:numId="24">
    <w:abstractNumId w:val="39"/>
  </w:num>
  <w:num w:numId="25">
    <w:abstractNumId w:val="26"/>
  </w:num>
  <w:num w:numId="26">
    <w:abstractNumId w:val="28"/>
  </w:num>
  <w:num w:numId="27">
    <w:abstractNumId w:val="27"/>
  </w:num>
  <w:num w:numId="28">
    <w:abstractNumId w:val="40"/>
  </w:num>
  <w:num w:numId="29">
    <w:abstractNumId w:val="19"/>
  </w:num>
  <w:num w:numId="30">
    <w:abstractNumId w:val="37"/>
  </w:num>
  <w:num w:numId="31">
    <w:abstractNumId w:val="7"/>
  </w:num>
  <w:num w:numId="32">
    <w:abstractNumId w:val="12"/>
  </w:num>
  <w:num w:numId="33">
    <w:abstractNumId w:val="4"/>
  </w:num>
  <w:num w:numId="34">
    <w:abstractNumId w:val="34"/>
  </w:num>
  <w:num w:numId="35">
    <w:abstractNumId w:val="20"/>
  </w:num>
  <w:num w:numId="36">
    <w:abstractNumId w:val="9"/>
  </w:num>
  <w:num w:numId="37">
    <w:abstractNumId w:val="30"/>
  </w:num>
  <w:num w:numId="38">
    <w:abstractNumId w:val="0"/>
  </w:num>
  <w:num w:numId="39">
    <w:abstractNumId w:val="15"/>
  </w:num>
  <w:num w:numId="40">
    <w:abstractNumId w:val="21"/>
  </w:num>
  <w:num w:numId="41">
    <w:abstractNumId w:val="10"/>
  </w:num>
  <w:num w:numId="42">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4D58"/>
    <w:rsid w:val="000012BE"/>
    <w:rsid w:val="000026C2"/>
    <w:rsid w:val="000051D8"/>
    <w:rsid w:val="00006475"/>
    <w:rsid w:val="000124A1"/>
    <w:rsid w:val="000127DF"/>
    <w:rsid w:val="000223DC"/>
    <w:rsid w:val="000251EB"/>
    <w:rsid w:val="00026313"/>
    <w:rsid w:val="00032413"/>
    <w:rsid w:val="00035352"/>
    <w:rsid w:val="00036003"/>
    <w:rsid w:val="000418FA"/>
    <w:rsid w:val="00051DA8"/>
    <w:rsid w:val="0005564A"/>
    <w:rsid w:val="00057C35"/>
    <w:rsid w:val="00066DC5"/>
    <w:rsid w:val="00081F93"/>
    <w:rsid w:val="000871D4"/>
    <w:rsid w:val="000904FA"/>
    <w:rsid w:val="0009279B"/>
    <w:rsid w:val="00095D42"/>
    <w:rsid w:val="00095DAA"/>
    <w:rsid w:val="0009694C"/>
    <w:rsid w:val="000B685A"/>
    <w:rsid w:val="000B783F"/>
    <w:rsid w:val="000D07CA"/>
    <w:rsid w:val="000E4FC6"/>
    <w:rsid w:val="000E5ECC"/>
    <w:rsid w:val="000F7B11"/>
    <w:rsid w:val="00107189"/>
    <w:rsid w:val="00114303"/>
    <w:rsid w:val="00115E48"/>
    <w:rsid w:val="00116F51"/>
    <w:rsid w:val="001316E6"/>
    <w:rsid w:val="0014434D"/>
    <w:rsid w:val="001547D2"/>
    <w:rsid w:val="00154DBC"/>
    <w:rsid w:val="00156774"/>
    <w:rsid w:val="00157C03"/>
    <w:rsid w:val="001602E5"/>
    <w:rsid w:val="00161470"/>
    <w:rsid w:val="00163CC1"/>
    <w:rsid w:val="00164210"/>
    <w:rsid w:val="001743D6"/>
    <w:rsid w:val="00174C57"/>
    <w:rsid w:val="00176D61"/>
    <w:rsid w:val="00182C5A"/>
    <w:rsid w:val="00184DD2"/>
    <w:rsid w:val="00191195"/>
    <w:rsid w:val="0019385F"/>
    <w:rsid w:val="001A4A59"/>
    <w:rsid w:val="001B45C1"/>
    <w:rsid w:val="001C0BC0"/>
    <w:rsid w:val="001C2FCC"/>
    <w:rsid w:val="001C7274"/>
    <w:rsid w:val="001D1358"/>
    <w:rsid w:val="001D1D8C"/>
    <w:rsid w:val="001D574F"/>
    <w:rsid w:val="001D5FA9"/>
    <w:rsid w:val="001F031C"/>
    <w:rsid w:val="001F04FD"/>
    <w:rsid w:val="001F2D3C"/>
    <w:rsid w:val="001F3289"/>
    <w:rsid w:val="001F544C"/>
    <w:rsid w:val="001F7061"/>
    <w:rsid w:val="00200A23"/>
    <w:rsid w:val="002023EE"/>
    <w:rsid w:val="00203E3D"/>
    <w:rsid w:val="002105A3"/>
    <w:rsid w:val="00212A60"/>
    <w:rsid w:val="00214767"/>
    <w:rsid w:val="00216917"/>
    <w:rsid w:val="00220BE6"/>
    <w:rsid w:val="00220DF7"/>
    <w:rsid w:val="002211D7"/>
    <w:rsid w:val="00236519"/>
    <w:rsid w:val="002405F8"/>
    <w:rsid w:val="00245802"/>
    <w:rsid w:val="00246348"/>
    <w:rsid w:val="00254902"/>
    <w:rsid w:val="00267F2F"/>
    <w:rsid w:val="00273E21"/>
    <w:rsid w:val="00282066"/>
    <w:rsid w:val="002A4AE2"/>
    <w:rsid w:val="002D2623"/>
    <w:rsid w:val="002D567F"/>
    <w:rsid w:val="002D7EF6"/>
    <w:rsid w:val="002E283F"/>
    <w:rsid w:val="002E2B34"/>
    <w:rsid w:val="002E4AA0"/>
    <w:rsid w:val="002E7865"/>
    <w:rsid w:val="002F5550"/>
    <w:rsid w:val="00304756"/>
    <w:rsid w:val="00304A23"/>
    <w:rsid w:val="00331503"/>
    <w:rsid w:val="003528AF"/>
    <w:rsid w:val="00355649"/>
    <w:rsid w:val="00365C19"/>
    <w:rsid w:val="00376B3E"/>
    <w:rsid w:val="003918FF"/>
    <w:rsid w:val="00397D49"/>
    <w:rsid w:val="003A3397"/>
    <w:rsid w:val="003A75CB"/>
    <w:rsid w:val="003B7941"/>
    <w:rsid w:val="003C6C7E"/>
    <w:rsid w:val="003C7FFE"/>
    <w:rsid w:val="003E07F2"/>
    <w:rsid w:val="003E2316"/>
    <w:rsid w:val="003E4142"/>
    <w:rsid w:val="003F413E"/>
    <w:rsid w:val="003F5A15"/>
    <w:rsid w:val="004100EF"/>
    <w:rsid w:val="00414959"/>
    <w:rsid w:val="00416363"/>
    <w:rsid w:val="00424FAB"/>
    <w:rsid w:val="004257C7"/>
    <w:rsid w:val="00434046"/>
    <w:rsid w:val="004369FF"/>
    <w:rsid w:val="004420FC"/>
    <w:rsid w:val="00447281"/>
    <w:rsid w:val="00450F79"/>
    <w:rsid w:val="0045366E"/>
    <w:rsid w:val="00465628"/>
    <w:rsid w:val="004709B0"/>
    <w:rsid w:val="00470AD8"/>
    <w:rsid w:val="00472BE7"/>
    <w:rsid w:val="0048066C"/>
    <w:rsid w:val="004962E4"/>
    <w:rsid w:val="00496A70"/>
    <w:rsid w:val="004A2528"/>
    <w:rsid w:val="004A5282"/>
    <w:rsid w:val="004A64FD"/>
    <w:rsid w:val="004B020E"/>
    <w:rsid w:val="004B18D2"/>
    <w:rsid w:val="004B22BC"/>
    <w:rsid w:val="004C5F43"/>
    <w:rsid w:val="004C6F60"/>
    <w:rsid w:val="004C7A17"/>
    <w:rsid w:val="004D3366"/>
    <w:rsid w:val="004F4B6D"/>
    <w:rsid w:val="004F673A"/>
    <w:rsid w:val="00504D01"/>
    <w:rsid w:val="00515273"/>
    <w:rsid w:val="0051648F"/>
    <w:rsid w:val="00516FBC"/>
    <w:rsid w:val="0052233E"/>
    <w:rsid w:val="00537BBF"/>
    <w:rsid w:val="005409B2"/>
    <w:rsid w:val="00540AFE"/>
    <w:rsid w:val="00541568"/>
    <w:rsid w:val="00543F6D"/>
    <w:rsid w:val="005448C4"/>
    <w:rsid w:val="00545A38"/>
    <w:rsid w:val="005476FD"/>
    <w:rsid w:val="0055208D"/>
    <w:rsid w:val="005537F7"/>
    <w:rsid w:val="0055409E"/>
    <w:rsid w:val="00557E26"/>
    <w:rsid w:val="00566B83"/>
    <w:rsid w:val="00572FA9"/>
    <w:rsid w:val="00575BB3"/>
    <w:rsid w:val="00583521"/>
    <w:rsid w:val="005840FD"/>
    <w:rsid w:val="00584C7D"/>
    <w:rsid w:val="005857AA"/>
    <w:rsid w:val="00592199"/>
    <w:rsid w:val="00593446"/>
    <w:rsid w:val="00595677"/>
    <w:rsid w:val="00596D65"/>
    <w:rsid w:val="005A0A8A"/>
    <w:rsid w:val="005A2EBE"/>
    <w:rsid w:val="005A3C33"/>
    <w:rsid w:val="005A424D"/>
    <w:rsid w:val="005C304F"/>
    <w:rsid w:val="005C30D8"/>
    <w:rsid w:val="005D1FA8"/>
    <w:rsid w:val="005E022F"/>
    <w:rsid w:val="005E374E"/>
    <w:rsid w:val="005F0119"/>
    <w:rsid w:val="005F2135"/>
    <w:rsid w:val="005F4145"/>
    <w:rsid w:val="00602EC7"/>
    <w:rsid w:val="006067DA"/>
    <w:rsid w:val="0061029F"/>
    <w:rsid w:val="00611906"/>
    <w:rsid w:val="00624BAA"/>
    <w:rsid w:val="006258BD"/>
    <w:rsid w:val="00626C48"/>
    <w:rsid w:val="006416C7"/>
    <w:rsid w:val="00643871"/>
    <w:rsid w:val="00647232"/>
    <w:rsid w:val="00651920"/>
    <w:rsid w:val="00661F9B"/>
    <w:rsid w:val="00662A5D"/>
    <w:rsid w:val="00665F00"/>
    <w:rsid w:val="00671070"/>
    <w:rsid w:val="00677B8A"/>
    <w:rsid w:val="00696716"/>
    <w:rsid w:val="006A0E65"/>
    <w:rsid w:val="006A1D89"/>
    <w:rsid w:val="006A2188"/>
    <w:rsid w:val="006A6F8C"/>
    <w:rsid w:val="006B481C"/>
    <w:rsid w:val="006C768A"/>
    <w:rsid w:val="006D0A09"/>
    <w:rsid w:val="006D6F9D"/>
    <w:rsid w:val="006E52BE"/>
    <w:rsid w:val="006E68F8"/>
    <w:rsid w:val="006F0D97"/>
    <w:rsid w:val="006F3A8D"/>
    <w:rsid w:val="00705C22"/>
    <w:rsid w:val="0071774B"/>
    <w:rsid w:val="00720349"/>
    <w:rsid w:val="00721D94"/>
    <w:rsid w:val="00732601"/>
    <w:rsid w:val="0073306F"/>
    <w:rsid w:val="00733A49"/>
    <w:rsid w:val="00746B11"/>
    <w:rsid w:val="00752419"/>
    <w:rsid w:val="00752ECF"/>
    <w:rsid w:val="00761C1E"/>
    <w:rsid w:val="00764239"/>
    <w:rsid w:val="00764377"/>
    <w:rsid w:val="007667BF"/>
    <w:rsid w:val="007677D5"/>
    <w:rsid w:val="00772280"/>
    <w:rsid w:val="00772447"/>
    <w:rsid w:val="00775A71"/>
    <w:rsid w:val="007A7988"/>
    <w:rsid w:val="007B3FCE"/>
    <w:rsid w:val="007B648A"/>
    <w:rsid w:val="007C77AA"/>
    <w:rsid w:val="007D1A36"/>
    <w:rsid w:val="007D6004"/>
    <w:rsid w:val="007D60EA"/>
    <w:rsid w:val="007D78F3"/>
    <w:rsid w:val="007E0515"/>
    <w:rsid w:val="007E29E6"/>
    <w:rsid w:val="007E5070"/>
    <w:rsid w:val="007F11D5"/>
    <w:rsid w:val="007F4318"/>
    <w:rsid w:val="007F529A"/>
    <w:rsid w:val="007F6D98"/>
    <w:rsid w:val="008026AE"/>
    <w:rsid w:val="00805C3F"/>
    <w:rsid w:val="008108D1"/>
    <w:rsid w:val="00811EE1"/>
    <w:rsid w:val="008141CD"/>
    <w:rsid w:val="008211D3"/>
    <w:rsid w:val="00821E21"/>
    <w:rsid w:val="00823C9D"/>
    <w:rsid w:val="00825F30"/>
    <w:rsid w:val="0083323F"/>
    <w:rsid w:val="00835C99"/>
    <w:rsid w:val="00866F57"/>
    <w:rsid w:val="00882392"/>
    <w:rsid w:val="0089255D"/>
    <w:rsid w:val="008971A4"/>
    <w:rsid w:val="008A154D"/>
    <w:rsid w:val="008A4E47"/>
    <w:rsid w:val="008A5C06"/>
    <w:rsid w:val="008A7A06"/>
    <w:rsid w:val="008C5193"/>
    <w:rsid w:val="008C7798"/>
    <w:rsid w:val="008D52B1"/>
    <w:rsid w:val="008E2A4A"/>
    <w:rsid w:val="008F2AA3"/>
    <w:rsid w:val="00906139"/>
    <w:rsid w:val="0091236B"/>
    <w:rsid w:val="009235D5"/>
    <w:rsid w:val="00930372"/>
    <w:rsid w:val="009322D3"/>
    <w:rsid w:val="009344EF"/>
    <w:rsid w:val="009403D5"/>
    <w:rsid w:val="00941FFE"/>
    <w:rsid w:val="0094386A"/>
    <w:rsid w:val="0095365D"/>
    <w:rsid w:val="0096369D"/>
    <w:rsid w:val="00965FAA"/>
    <w:rsid w:val="00977FA1"/>
    <w:rsid w:val="009A049C"/>
    <w:rsid w:val="009A0D99"/>
    <w:rsid w:val="009A2CA6"/>
    <w:rsid w:val="009B2E8A"/>
    <w:rsid w:val="009B428B"/>
    <w:rsid w:val="009B4ACA"/>
    <w:rsid w:val="009B6D76"/>
    <w:rsid w:val="009D3EBB"/>
    <w:rsid w:val="009E1691"/>
    <w:rsid w:val="009E34C5"/>
    <w:rsid w:val="009F0D20"/>
    <w:rsid w:val="009F48F9"/>
    <w:rsid w:val="009F669D"/>
    <w:rsid w:val="00A04AFA"/>
    <w:rsid w:val="00A07B59"/>
    <w:rsid w:val="00A1268D"/>
    <w:rsid w:val="00A13D25"/>
    <w:rsid w:val="00A16EBF"/>
    <w:rsid w:val="00A17802"/>
    <w:rsid w:val="00A21C99"/>
    <w:rsid w:val="00A23B90"/>
    <w:rsid w:val="00A3244F"/>
    <w:rsid w:val="00A33652"/>
    <w:rsid w:val="00A46F33"/>
    <w:rsid w:val="00A50464"/>
    <w:rsid w:val="00A61B18"/>
    <w:rsid w:val="00A74227"/>
    <w:rsid w:val="00A77657"/>
    <w:rsid w:val="00A812D7"/>
    <w:rsid w:val="00A868E6"/>
    <w:rsid w:val="00A91466"/>
    <w:rsid w:val="00A9276C"/>
    <w:rsid w:val="00AA1F96"/>
    <w:rsid w:val="00AA7867"/>
    <w:rsid w:val="00AC1660"/>
    <w:rsid w:val="00AD0243"/>
    <w:rsid w:val="00AD33B5"/>
    <w:rsid w:val="00AD518B"/>
    <w:rsid w:val="00AF13BD"/>
    <w:rsid w:val="00B041EC"/>
    <w:rsid w:val="00B1210C"/>
    <w:rsid w:val="00B12268"/>
    <w:rsid w:val="00B15DF7"/>
    <w:rsid w:val="00B17757"/>
    <w:rsid w:val="00B33CBF"/>
    <w:rsid w:val="00B353FD"/>
    <w:rsid w:val="00B356CF"/>
    <w:rsid w:val="00B36A0D"/>
    <w:rsid w:val="00B378D1"/>
    <w:rsid w:val="00B40DB4"/>
    <w:rsid w:val="00B43B09"/>
    <w:rsid w:val="00B43DD8"/>
    <w:rsid w:val="00B4779D"/>
    <w:rsid w:val="00B51723"/>
    <w:rsid w:val="00B52430"/>
    <w:rsid w:val="00B60B1B"/>
    <w:rsid w:val="00B71F02"/>
    <w:rsid w:val="00B82764"/>
    <w:rsid w:val="00B838E2"/>
    <w:rsid w:val="00B84EF5"/>
    <w:rsid w:val="00B932F8"/>
    <w:rsid w:val="00B9578D"/>
    <w:rsid w:val="00BA466F"/>
    <w:rsid w:val="00BB6CA4"/>
    <w:rsid w:val="00BC16FE"/>
    <w:rsid w:val="00BC549C"/>
    <w:rsid w:val="00BD3CBE"/>
    <w:rsid w:val="00BD6173"/>
    <w:rsid w:val="00BD65A6"/>
    <w:rsid w:val="00BD6CBD"/>
    <w:rsid w:val="00BD6F4F"/>
    <w:rsid w:val="00BD7AB1"/>
    <w:rsid w:val="00BE473D"/>
    <w:rsid w:val="00BF1EB5"/>
    <w:rsid w:val="00BF347E"/>
    <w:rsid w:val="00BF6ECF"/>
    <w:rsid w:val="00C02811"/>
    <w:rsid w:val="00C0359C"/>
    <w:rsid w:val="00C046A4"/>
    <w:rsid w:val="00C05391"/>
    <w:rsid w:val="00C11E8E"/>
    <w:rsid w:val="00C156FF"/>
    <w:rsid w:val="00C15DD4"/>
    <w:rsid w:val="00C163B2"/>
    <w:rsid w:val="00C20DCF"/>
    <w:rsid w:val="00C22E0C"/>
    <w:rsid w:val="00C23C61"/>
    <w:rsid w:val="00C243BB"/>
    <w:rsid w:val="00C32B50"/>
    <w:rsid w:val="00C35520"/>
    <w:rsid w:val="00C365F7"/>
    <w:rsid w:val="00C42EC3"/>
    <w:rsid w:val="00C43FE0"/>
    <w:rsid w:val="00C50EE6"/>
    <w:rsid w:val="00C531D0"/>
    <w:rsid w:val="00C53F0F"/>
    <w:rsid w:val="00C60E13"/>
    <w:rsid w:val="00C62ECC"/>
    <w:rsid w:val="00C65D06"/>
    <w:rsid w:val="00C728DF"/>
    <w:rsid w:val="00C7432A"/>
    <w:rsid w:val="00C74D58"/>
    <w:rsid w:val="00C80010"/>
    <w:rsid w:val="00C81A8F"/>
    <w:rsid w:val="00C90C1F"/>
    <w:rsid w:val="00C9194D"/>
    <w:rsid w:val="00C9239E"/>
    <w:rsid w:val="00C944E5"/>
    <w:rsid w:val="00CA6C82"/>
    <w:rsid w:val="00CB188A"/>
    <w:rsid w:val="00CB28E8"/>
    <w:rsid w:val="00CB54E6"/>
    <w:rsid w:val="00CB74D2"/>
    <w:rsid w:val="00CC14AB"/>
    <w:rsid w:val="00CC5108"/>
    <w:rsid w:val="00CC5F0F"/>
    <w:rsid w:val="00CC74F4"/>
    <w:rsid w:val="00CE4CAC"/>
    <w:rsid w:val="00D0217A"/>
    <w:rsid w:val="00D10E89"/>
    <w:rsid w:val="00D17CDB"/>
    <w:rsid w:val="00D244EC"/>
    <w:rsid w:val="00D26D8B"/>
    <w:rsid w:val="00D27A53"/>
    <w:rsid w:val="00D3014B"/>
    <w:rsid w:val="00D34D18"/>
    <w:rsid w:val="00D34E90"/>
    <w:rsid w:val="00D37AA3"/>
    <w:rsid w:val="00D50AA7"/>
    <w:rsid w:val="00D61C6D"/>
    <w:rsid w:val="00D61DA4"/>
    <w:rsid w:val="00D621DC"/>
    <w:rsid w:val="00D6250D"/>
    <w:rsid w:val="00D625AC"/>
    <w:rsid w:val="00D74719"/>
    <w:rsid w:val="00D7600C"/>
    <w:rsid w:val="00D83D41"/>
    <w:rsid w:val="00D90062"/>
    <w:rsid w:val="00D9108B"/>
    <w:rsid w:val="00D93B85"/>
    <w:rsid w:val="00DA7D75"/>
    <w:rsid w:val="00DB30B9"/>
    <w:rsid w:val="00DB5D96"/>
    <w:rsid w:val="00DB6D3B"/>
    <w:rsid w:val="00DC04D1"/>
    <w:rsid w:val="00DC7F19"/>
    <w:rsid w:val="00DD32D2"/>
    <w:rsid w:val="00DD419A"/>
    <w:rsid w:val="00DD5959"/>
    <w:rsid w:val="00DE35A4"/>
    <w:rsid w:val="00DF2184"/>
    <w:rsid w:val="00DF543F"/>
    <w:rsid w:val="00DF76C9"/>
    <w:rsid w:val="00E046C6"/>
    <w:rsid w:val="00E1613B"/>
    <w:rsid w:val="00E221D5"/>
    <w:rsid w:val="00E278B9"/>
    <w:rsid w:val="00E33649"/>
    <w:rsid w:val="00E33CAB"/>
    <w:rsid w:val="00E364BC"/>
    <w:rsid w:val="00E368CA"/>
    <w:rsid w:val="00E4203D"/>
    <w:rsid w:val="00E45282"/>
    <w:rsid w:val="00E51F15"/>
    <w:rsid w:val="00E541B5"/>
    <w:rsid w:val="00E54670"/>
    <w:rsid w:val="00E55F16"/>
    <w:rsid w:val="00E61C21"/>
    <w:rsid w:val="00E71C3C"/>
    <w:rsid w:val="00E75A97"/>
    <w:rsid w:val="00E77F18"/>
    <w:rsid w:val="00E82FA7"/>
    <w:rsid w:val="00E85433"/>
    <w:rsid w:val="00EA4362"/>
    <w:rsid w:val="00EB2CFC"/>
    <w:rsid w:val="00EB4707"/>
    <w:rsid w:val="00ED51BC"/>
    <w:rsid w:val="00EE2F9F"/>
    <w:rsid w:val="00EE32A7"/>
    <w:rsid w:val="00EE3E57"/>
    <w:rsid w:val="00EE6743"/>
    <w:rsid w:val="00EF08E8"/>
    <w:rsid w:val="00EF644E"/>
    <w:rsid w:val="00F00F86"/>
    <w:rsid w:val="00F01FAE"/>
    <w:rsid w:val="00F07710"/>
    <w:rsid w:val="00F1103E"/>
    <w:rsid w:val="00F129EB"/>
    <w:rsid w:val="00F12CDA"/>
    <w:rsid w:val="00F16229"/>
    <w:rsid w:val="00F33900"/>
    <w:rsid w:val="00F339FE"/>
    <w:rsid w:val="00F40260"/>
    <w:rsid w:val="00F42724"/>
    <w:rsid w:val="00F44E4D"/>
    <w:rsid w:val="00F650B7"/>
    <w:rsid w:val="00F654C9"/>
    <w:rsid w:val="00F66EDE"/>
    <w:rsid w:val="00F810EA"/>
    <w:rsid w:val="00F817BC"/>
    <w:rsid w:val="00F91414"/>
    <w:rsid w:val="00F918D4"/>
    <w:rsid w:val="00F951B2"/>
    <w:rsid w:val="00F95CAE"/>
    <w:rsid w:val="00FA250C"/>
    <w:rsid w:val="00FA3595"/>
    <w:rsid w:val="00FA3C76"/>
    <w:rsid w:val="00FA6918"/>
    <w:rsid w:val="00FB10FE"/>
    <w:rsid w:val="00FB2799"/>
    <w:rsid w:val="00FB3480"/>
    <w:rsid w:val="00FB6A86"/>
    <w:rsid w:val="00FC2369"/>
    <w:rsid w:val="00FC28B7"/>
    <w:rsid w:val="00FC5C08"/>
    <w:rsid w:val="00FD00EE"/>
    <w:rsid w:val="00FD7A2B"/>
    <w:rsid w:val="00FE235D"/>
    <w:rsid w:val="00FE410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6-AboutRulesRulemakingActionsDefine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eq05/intranet/working/rulemaking/qcards/P04-AboutRulesNumbersTitles.pdf" TargetMode="External"/><Relationship Id="rId20" Type="http://schemas.openxmlformats.org/officeDocument/2006/relationships/hyperlink" Target="http://www.gpo.gov/fdsys/browse/collection.action?collectionCod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q05/intranet/working/guidance/stateAgencyCoordinationProgram10-MSD-009.pdf" TargetMode="External"/><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arcweb.sos.state.or.us/pages/rules/oars_600/oar_660/660_tofc.html"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gpo.gov/fdsys/browse/collectionCfr.action?collectionCode=C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87B3B078-81D2-4A0D-BCF4-C0AF742B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13</cp:revision>
  <cp:lastPrinted>2012-08-14T17:36:00Z</cp:lastPrinted>
  <dcterms:created xsi:type="dcterms:W3CDTF">2012-07-16T23:50:00Z</dcterms:created>
  <dcterms:modified xsi:type="dcterms:W3CDTF">2012-08-15T23:09:00Z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