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0574A" w:rsidRPr="00A019B4" w:rsidRDefault="0020574A" w:rsidP="0020574A">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hyperlink r:id="rId12" w:history="1">
        <w:r w:rsidR="007667BF" w:rsidRPr="0020574A">
          <w:rPr>
            <w:rStyle w:val="Hyperlink"/>
            <w:rFonts w:ascii="Times New Roman" w:eastAsia="Times New Roman" w:hAnsi="Times New Roman" w:cs="Times New Roman"/>
            <w:color w:val="463D38" w:themeColor="accent4" w:themeShade="80"/>
            <w:u w:val="none"/>
          </w:rPr>
          <w:sym w:font="Wingdings 3" w:char="F07D"/>
        </w:r>
      </w:hyperlink>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20574A" w:rsidP="00B91FC3">
            <w:pPr>
              <w:ind w:left="720"/>
              <w:outlineLvl w:val="0"/>
              <w:rPr>
                <w:rFonts w:eastAsia="Times New Roman"/>
                <w:b/>
                <w:bCs/>
                <w:color w:val="32525C"/>
                <w:sz w:val="28"/>
                <w:szCs w:val="28"/>
              </w:rPr>
            </w:pPr>
            <w:r>
              <w:rPr>
                <w:rFonts w:eastAsia="Times New Roman"/>
                <w:b/>
                <w:bCs/>
                <w:color w:val="32525C"/>
                <w:sz w:val="28"/>
                <w:szCs w:val="28"/>
              </w:rPr>
              <w:t>DEQ Recommendation to the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FC4CE6"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p>
    <w:p w:rsidR="0020574A" w:rsidRDefault="00FC4CE6" w:rsidP="0020574A">
      <w:r>
        <w:rPr>
          <w:noProof/>
        </w:rPr>
        <w:pict>
          <v:roundrect id="AutoShape 28" o:spid="_x0000_s1026" style="position:absolute;margin-left:54.15pt;margin-top:2.7pt;width:484.9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" fillcolor="#ff9" strokecolor="#29353c [814]" strokeweight=".5pt">
            <v:fill opacity="24158f"/>
            <v:textbox inset="10.8pt,,10.8pt">
              <w:txbxContent>
                <w:p w:rsidR="00B23B81" w:rsidRPr="004905F1" w:rsidRDefault="00B23B81" w:rsidP="0020574A">
                  <w:pPr>
                    <w:rPr>
                      <w:sz w:val="22"/>
                      <w:szCs w:val="22"/>
                    </w:rPr>
                  </w:pPr>
                  <w:r>
                    <w:rPr>
                      <w:rFonts w:ascii="Times New Roman" w:hAnsi="Times New Roman"/>
                      <w:color w:val="70481C" w:themeColor="accent6" w:themeShade="80"/>
                      <w:sz w:val="22"/>
                      <w:szCs w:val="22"/>
                    </w:rPr>
                    <w:t xml:space="preserve">EQC assistant will add headers and footers to this document and include Attachment A in the </w:t>
                  </w:r>
                  <w:proofErr w:type="spellStart"/>
                  <w:r>
                    <w:rPr>
                      <w:rFonts w:ascii="Times New Roman" w:hAnsi="Times New Roman"/>
                      <w:color w:val="70481C" w:themeColor="accent6" w:themeShade="80"/>
                      <w:sz w:val="22"/>
                      <w:szCs w:val="22"/>
                    </w:rPr>
                    <w:t>pdf</w:t>
                  </w:r>
                  <w:proofErr w:type="spellEnd"/>
                  <w:r>
                    <w:rPr>
                      <w:rFonts w:ascii="Times New Roman" w:hAnsi="Times New Roman"/>
                      <w:color w:val="70481C" w:themeColor="accent6" w:themeShade="80"/>
                      <w:sz w:val="22"/>
                      <w:szCs w:val="22"/>
                    </w:rPr>
                    <w:t>.</w:t>
                  </w:r>
                </w:p>
              </w:txbxContent>
            </v:textbox>
          </v:roundrect>
        </w:pict>
      </w:r>
    </w:p>
    <w:p w:rsidR="0020574A" w:rsidRDefault="0020574A" w:rsidP="0020574A"/>
    <w:p w:rsidR="0020574A" w:rsidRDefault="0020574A"/>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sidR="00575BB3">
        <w:rPr>
          <w:rFonts w:ascii="Times New Roman" w:hAnsi="Times New Roman" w:cs="Times New Roman"/>
        </w:rPr>
        <w:t xml:space="preserve">ew </w:t>
      </w:r>
      <w:r w:rsidRPr="008108D1">
        <w:rPr>
          <w:rFonts w:ascii="Times New Roman" w:hAnsi="Times New Roman" w:cs="Times New Roman"/>
        </w:rPr>
        <w:t>S</w:t>
      </w:r>
      <w:r w:rsidR="00575BB3">
        <w:rPr>
          <w:rFonts w:ascii="Times New Roman" w:hAnsi="Times New Roman" w:cs="Times New Roman"/>
        </w:rPr>
        <w:t xml:space="preserve">ource </w:t>
      </w:r>
      <w:r w:rsidRPr="008108D1">
        <w:rPr>
          <w:rFonts w:ascii="Times New Roman" w:hAnsi="Times New Roman" w:cs="Times New Roman"/>
        </w:rPr>
        <w:t>P</w:t>
      </w:r>
      <w:r w:rsidR="00575BB3">
        <w:rPr>
          <w:rFonts w:ascii="Times New Roman" w:hAnsi="Times New Roman" w:cs="Times New Roman"/>
        </w:rPr>
        <w:t xml:space="preserve">erformance </w:t>
      </w:r>
      <w:r w:rsidRPr="008108D1">
        <w:rPr>
          <w:rFonts w:ascii="Times New Roman" w:hAnsi="Times New Roman" w:cs="Times New Roman"/>
        </w:rPr>
        <w:t>S</w:t>
      </w:r>
      <w:r w:rsidR="00575BB3">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583521">
      <w:pPr>
        <w:ind w:left="1080" w:right="630"/>
        <w:rPr>
          <w:rFonts w:ascii="Times New Roman" w:hAnsi="Times New Roman" w:cs="Times New Roman"/>
        </w:rPr>
      </w:pPr>
      <w:r>
        <w:rPr>
          <w:rFonts w:ascii="Times New Roman" w:hAnsi="Times New Roman" w:cs="Times New Roman"/>
        </w:rPr>
        <w:t xml:space="preserve">The </w:t>
      </w:r>
      <w:r w:rsidR="00C0359C">
        <w:rPr>
          <w:rFonts w:ascii="Times New Roman" w:hAnsi="Times New Roman" w:cs="Times New Roman"/>
        </w:rPr>
        <w:t>EQC</w:t>
      </w:r>
      <w:r>
        <w:rPr>
          <w:rFonts w:ascii="Times New Roman" w:hAnsi="Times New Roman" w:cs="Times New Roman"/>
        </w:rPr>
        <w:t xml:space="preserve"> </w:t>
      </w:r>
      <w:r w:rsidR="00245802" w:rsidRPr="008108D1">
        <w:rPr>
          <w:rFonts w:ascii="Times New Roman" w:hAnsi="Times New Roman" w:cs="Times New Roman"/>
        </w:rPr>
        <w:t xml:space="preserve">is adopting the area source standards in five phases. The first three phases concluded in December 2008, December 2009, and February 2011. This rulemaking is phase four of five. </w:t>
      </w:r>
      <w:r>
        <w:rPr>
          <w:rFonts w:ascii="Times New Roman" w:hAnsi="Times New Roman" w:cs="Times New Roman"/>
        </w:rPr>
        <w:t>The a</w:t>
      </w:r>
      <w:r w:rsidR="00245802" w:rsidRPr="008108D1">
        <w:rPr>
          <w:rFonts w:ascii="Times New Roman" w:hAnsi="Times New Roman" w:cs="Times New Roman"/>
        </w:rPr>
        <w:t xml:space="preserve">doption of new and amended NSPSs 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standards for </w:t>
      </w:r>
      <w:r w:rsidR="002105A3">
        <w:rPr>
          <w:rFonts w:asciiTheme="minorHAnsi" w:eastAsia="Times New Roman" w:hAnsiTheme="minorHAnsi" w:cstheme="minorHAnsi"/>
          <w:bCs/>
          <w:color w:val="000000" w:themeColor="text1"/>
        </w:rPr>
        <w:t>electric utility 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xml:space="preserve">, and sewage </w:t>
      </w:r>
      <w:r w:rsidR="00FA6918">
        <w:rPr>
          <w:rFonts w:asciiTheme="minorHAnsi" w:eastAsia="Times New Roman" w:hAnsiTheme="minorHAnsi" w:cstheme="minorHAnsi"/>
          <w:bCs/>
          <w:color w:val="000000" w:themeColor="text1"/>
        </w:rPr>
        <w:lastRenderedPageBreak/>
        <w:t>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as well as changes to the federal gasoline dispensing facility rules. The rulemaking proposal would 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Permits are required for sources subject to NSPS and NESHAP.</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 xml:space="preserve">This rulemaking regulates: </w:t>
      </w:r>
    </w:p>
    <w:p w:rsidR="00DC7F19" w:rsidRPr="009403D5" w:rsidRDefault="00DC7F19"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subject to </w:t>
      </w:r>
      <w:r>
        <w:rPr>
          <w:rFonts w:ascii="Times New Roman" w:eastAsia="Times New Roman" w:hAnsi="Times New Roman" w:cs="Times New Roman"/>
        </w:rPr>
        <w:t xml:space="preserve">a </w:t>
      </w:r>
      <w:r w:rsidRPr="009403D5">
        <w:rPr>
          <w:rFonts w:ascii="Times New Roman" w:eastAsia="Times New Roman" w:hAnsi="Times New Roman" w:cs="Times New Roman"/>
        </w:rPr>
        <w:t>newly promulgated NESHAP</w:t>
      </w:r>
      <w:r>
        <w:rPr>
          <w:rFonts w:ascii="Times New Roman" w:eastAsia="Times New Roman" w:hAnsi="Times New Roman" w:cs="Times New Roman"/>
        </w:rPr>
        <w:t xml:space="preserve"> or NSPS</w:t>
      </w:r>
      <w:r w:rsidRPr="009403D5">
        <w:rPr>
          <w:rFonts w:ascii="Times New Roman" w:eastAsia="Times New Roman" w:hAnsi="Times New Roman" w:cs="Times New Roman"/>
        </w:rPr>
        <w:t>: electric utility s</w:t>
      </w:r>
      <w:r>
        <w:rPr>
          <w:rFonts w:ascii="Times New Roman" w:eastAsia="Times New Roman" w:hAnsi="Times New Roman" w:cs="Times New Roman"/>
        </w:rPr>
        <w:t>team generating units</w:t>
      </w:r>
      <w:r w:rsidRPr="009403D5">
        <w:rPr>
          <w:rFonts w:ascii="Times New Roman" w:eastAsia="Times New Roman" w:hAnsi="Times New Roman" w:cs="Times New Roman"/>
        </w:rPr>
        <w:t xml:space="preserve">, gold mine ore processing and production, </w:t>
      </w:r>
      <w:r w:rsidR="003A75CB">
        <w:rPr>
          <w:rFonts w:ascii="Times New Roman" w:eastAsia="Times New Roman" w:hAnsi="Times New Roman" w:cs="Times New Roman"/>
        </w:rPr>
        <w:t xml:space="preserve">polyvinyl chloride and copolymers production, and </w:t>
      </w:r>
      <w:r w:rsidRPr="009403D5">
        <w:rPr>
          <w:rFonts w:ascii="Times New Roman" w:eastAsia="Times New Roman" w:hAnsi="Times New Roman" w:cs="Times New Roman"/>
        </w:rPr>
        <w:t xml:space="preserve">sewage sludge incinerators; </w:t>
      </w:r>
    </w:p>
    <w:p w:rsidR="00DC7F19" w:rsidRPr="00C80010" w:rsidRDefault="00DC7F19"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C80010">
        <w:rPr>
          <w:rFonts w:ascii="Times New Roman" w:eastAsia="Times New Roman" w:hAnsi="Times New Roman" w:cs="Times New Roman"/>
        </w:rPr>
        <w:t>Facilities subject to recently amended NESHAPs or NSPSs: gasoline dispensing facilities that dispense gasoline into non-road vehicles and non-road engines; gasoline distribution bulk terminals; bulk plants; pipeline facilities; mineral wool production; plating and polishing operations, portland cement manufacturing; prepared feed manufacturing; primary lead smelting; shipbuilding and ship repair; and electric utility, industrial, commercial, and institutional steam</w:t>
      </w:r>
      <w:r>
        <w:rPr>
          <w:rFonts w:ascii="Times New Roman" w:eastAsia="Times New Roman" w:hAnsi="Times New Roman" w:cs="Times New Roman"/>
        </w:rPr>
        <w:t xml:space="preserve"> g</w:t>
      </w:r>
      <w:r w:rsidRPr="00C80010">
        <w:rPr>
          <w:rFonts w:ascii="Times New Roman" w:eastAsia="Times New Roman" w:hAnsi="Times New Roman" w:cs="Times New Roman"/>
        </w:rPr>
        <w:t xml:space="preserve">enerating </w:t>
      </w:r>
      <w:r>
        <w:rPr>
          <w:rFonts w:ascii="Times New Roman" w:eastAsia="Times New Roman" w:hAnsi="Times New Roman" w:cs="Times New Roman"/>
        </w:rPr>
        <w:t>u</w:t>
      </w:r>
      <w:r w:rsidRPr="00C80010">
        <w:rPr>
          <w:rFonts w:ascii="Times New Roman" w:eastAsia="Times New Roman" w:hAnsi="Times New Roman" w:cs="Times New Roman"/>
        </w:rPr>
        <w:t xml:space="preserve">nits; </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w:t>
      </w:r>
      <w:r w:rsidR="002211D7">
        <w:rPr>
          <w:rFonts w:ascii="Times New Roman" w:eastAsia="Times New Roman" w:hAnsi="Times New Roman" w:cs="Times New Roman"/>
        </w:rPr>
        <w:t>required to maintain</w:t>
      </w:r>
      <w:r w:rsidRPr="009403D5">
        <w:rPr>
          <w:rFonts w:ascii="Times New Roman" w:eastAsia="Times New Roman" w:hAnsi="Times New Roman" w:cs="Times New Roman"/>
        </w:rPr>
        <w:t xml:space="preserve"> an ACD</w:t>
      </w:r>
      <w:r w:rsidR="00BD7AB1">
        <w:rPr>
          <w:rFonts w:ascii="Times New Roman" w:eastAsia="Times New Roman" w:hAnsi="Times New Roman" w:cs="Times New Roman"/>
        </w:rPr>
        <w:t>P</w:t>
      </w:r>
      <w:r w:rsidRPr="009403D5">
        <w:rPr>
          <w:rFonts w:ascii="Times New Roman" w:eastAsia="Times New Roman" w:hAnsi="Times New Roman" w:cs="Times New Roman"/>
        </w:rPr>
        <w:t xml:space="preserve"> and </w:t>
      </w:r>
      <w:r w:rsidR="002211D7">
        <w:rPr>
          <w:rFonts w:ascii="Times New Roman" w:eastAsia="Times New Roman" w:hAnsi="Times New Roman" w:cs="Times New Roman"/>
        </w:rPr>
        <w:t xml:space="preserve">are </w:t>
      </w:r>
      <w:r w:rsidRPr="009403D5">
        <w:rPr>
          <w:rFonts w:ascii="Times New Roman" w:eastAsia="Times New Roman" w:hAnsi="Times New Roman" w:cs="Times New Roman"/>
        </w:rPr>
        <w:t xml:space="preserve">subject to a NESHAP or NSPS not </w:t>
      </w:r>
      <w:r w:rsidR="002211D7">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002211D7">
        <w:rPr>
          <w:rFonts w:ascii="Times New Roman" w:eastAsia="Times New Roman" w:hAnsi="Times New Roman" w:cs="Times New Roman"/>
        </w:rPr>
        <w:t>, DEQ’s environmental rulemaking board</w:t>
      </w:r>
      <w:r w:rsidRPr="009403D5">
        <w:rPr>
          <w:rFonts w:ascii="Times New Roman" w:eastAsia="Times New Roman" w:hAnsi="Times New Roman" w:cs="Times New Roman"/>
        </w:rPr>
        <w:t xml:space="preserve">; </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Unpermitted facilities that are subject to a NSPS not </w:t>
      </w:r>
      <w:r w:rsidR="005476FD">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Pr="009403D5">
        <w:rPr>
          <w:rFonts w:ascii="Times New Roman" w:eastAsia="Times New Roman" w:hAnsi="Times New Roman" w:cs="Times New Roman"/>
        </w:rPr>
        <w:t xml:space="preserve">; </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or NSPS affected facilities subject to only procedural requirements; </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NESHAP affected chemical manufacturing facilities that are only required to meet work practice standards;</w:t>
      </w:r>
    </w:p>
    <w:p w:rsidR="00245802"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affected </w:t>
      </w:r>
      <w:r w:rsidR="004709B0">
        <w:rPr>
          <w:rFonts w:ascii="Times New Roman" w:eastAsia="Times New Roman" w:hAnsi="Times New Roman" w:cs="Times New Roman"/>
        </w:rPr>
        <w:t xml:space="preserve">paint stripping and </w:t>
      </w:r>
      <w:r w:rsidRPr="009403D5">
        <w:rPr>
          <w:rFonts w:ascii="Times New Roman" w:eastAsia="Times New Roman" w:hAnsi="Times New Roman" w:cs="Times New Roman"/>
        </w:rPr>
        <w:t xml:space="preserve">surface coating operations using less than 20 gallons of coating </w:t>
      </w:r>
      <w:r w:rsidR="00F654C9">
        <w:rPr>
          <w:rFonts w:ascii="Times New Roman" w:eastAsia="Times New Roman" w:hAnsi="Times New Roman" w:cs="Times New Roman"/>
        </w:rPr>
        <w:t xml:space="preserve">and </w:t>
      </w:r>
      <w:r w:rsidR="005F2135">
        <w:rPr>
          <w:rFonts w:ascii="Times New Roman" w:eastAsia="Times New Roman" w:hAnsi="Times New Roman" w:cs="Times New Roman"/>
        </w:rPr>
        <w:t xml:space="preserve">20 gallons of methylene chloride containing </w:t>
      </w:r>
      <w:r w:rsidR="00F654C9">
        <w:rPr>
          <w:rFonts w:ascii="Times New Roman" w:eastAsia="Times New Roman" w:hAnsi="Times New Roman" w:cs="Times New Roman"/>
        </w:rPr>
        <w:t xml:space="preserve">paint stripper </w:t>
      </w:r>
      <w:r w:rsidRPr="009403D5">
        <w:rPr>
          <w:rFonts w:ascii="Times New Roman" w:eastAsia="Times New Roman" w:hAnsi="Times New Roman" w:cs="Times New Roman"/>
        </w:rPr>
        <w:t>per year;</w:t>
      </w:r>
    </w:p>
    <w:p w:rsidR="00267F2F" w:rsidRDefault="00267F2F"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Unp</w:t>
      </w:r>
      <w:r w:rsidRPr="009403D5">
        <w:rPr>
          <w:rFonts w:ascii="Times New Roman" w:eastAsia="Times New Roman" w:hAnsi="Times New Roman" w:cs="Times New Roman"/>
        </w:rPr>
        <w:t>ermitted metal fabrication and finishing operations</w:t>
      </w:r>
      <w:r>
        <w:rPr>
          <w:rFonts w:ascii="Times New Roman" w:eastAsia="Times New Roman" w:hAnsi="Times New Roman" w:cs="Times New Roman"/>
        </w:rPr>
        <w:t>;</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Permitted crematories; and </w:t>
      </w:r>
    </w:p>
    <w:p w:rsidR="00245802" w:rsidRPr="009403D5" w:rsidRDefault="00245802" w:rsidP="00F110B9">
      <w:pPr>
        <w:pStyle w:val="ListParagraph"/>
        <w:numPr>
          <w:ilvl w:val="0"/>
          <w:numId w:val="4"/>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Facilities affected by the federal accidental release prevention program.</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100EF" w:rsidRPr="004100EF"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3A75CB">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NSPS for sewage sludge incineration units; </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4100EF">
        <w:rPr>
          <w:rFonts w:ascii="Times New Roman" w:eastAsia="Times New Roman" w:hAnsi="Times New Roman" w:cs="Times New Roman"/>
          <w:color w:val="000000"/>
        </w:rPr>
        <w:t>; and</w:t>
      </w:r>
    </w:p>
    <w:p w:rsidR="009B2E8A"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9B2E8A" w:rsidRDefault="009B2E8A" w:rsidP="009B2E8A">
      <w:pPr>
        <w:pStyle w:val="ListParagraph"/>
        <w:spacing w:after="120"/>
        <w:ind w:left="1800" w:right="634"/>
        <w:outlineLvl w:val="0"/>
        <w:rPr>
          <w:rFonts w:ascii="Times New Roman" w:eastAsia="Times New Roman" w:hAnsi="Times New Roman" w:cs="Times New Roman"/>
          <w:b/>
          <w:color w:val="000000"/>
        </w:rPr>
      </w:pP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595677"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ED51BC">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affected facilities to obtain an ACDP</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ED51BC">
        <w:rPr>
          <w:rFonts w:ascii="Times New Roman" w:eastAsia="Times New Roman" w:hAnsi="Times New Roman" w:cs="Times New Roman"/>
          <w:color w:val="000000"/>
        </w:rPr>
        <w:t>;</w:t>
      </w:r>
      <w:r w:rsidR="00C43FE0">
        <w:rPr>
          <w:rFonts w:ascii="Times New Roman" w:eastAsia="Times New Roman" w:hAnsi="Times New Roman" w:cs="Times New Roman"/>
          <w:color w:val="000000"/>
        </w:rPr>
        <w:t xml:space="preserve"> </w:t>
      </w:r>
    </w:p>
    <w:p w:rsidR="007F529A" w:rsidRPr="006A2F49"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 xml:space="preserve">Exempt from permitting: </w:t>
      </w:r>
      <w:r w:rsidR="00D74719" w:rsidRPr="006A2F49">
        <w:rPr>
          <w:rFonts w:ascii="Times New Roman" w:eastAsia="Times New Roman" w:hAnsi="Times New Roman" w:cs="Times New Roman"/>
          <w:color w:val="000000"/>
        </w:rPr>
        <w:t>facilities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affected by an NSPS or NESHAP;</w:t>
      </w:r>
      <w:r w:rsidRPr="006A2F49">
        <w:rPr>
          <w:rFonts w:ascii="Times New Roman" w:eastAsia="Times New Roman" w:hAnsi="Times New Roman" w:cs="Times New Roman"/>
          <w:color w:val="000000"/>
        </w:rPr>
        <w:t xml:space="preserve"> chemical manufacturing facilities only subject to work practice standards; and paint stripping and surface coating operations using less than 20 gallons of coating and 20 gallons of methylene chloride containing paint stripper per year;</w:t>
      </w:r>
      <w:r w:rsidR="005840FD" w:rsidRPr="006A2F49">
        <w:rPr>
          <w:rFonts w:ascii="Times New Roman" w:eastAsia="Times New Roman" w:hAnsi="Times New Roman" w:cs="Times New Roman"/>
          <w:color w:val="000000"/>
        </w:rPr>
        <w:t xml:space="preserve"> and</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ACDP program</w:t>
      </w:r>
      <w:r w:rsidR="004100EF">
        <w:rPr>
          <w:rFonts w:ascii="Times New Roman" w:eastAsia="Times New Roman" w:hAnsi="Times New Roman" w:cs="Times New Roman"/>
        </w:rPr>
        <w:t>s</w:t>
      </w:r>
      <w:r>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redundant general permit fee class assignments for halogenated solvent cleaners; </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w:t>
      </w:r>
      <w:r w:rsidR="004100EF">
        <w:rPr>
          <w:rFonts w:ascii="Times New Roman" w:eastAsia="Times New Roman" w:hAnsi="Times New Roman" w:cs="Times New Roman"/>
          <w:color w:val="000000"/>
        </w:rPr>
        <w:t xml:space="preserve"> and</w:t>
      </w:r>
    </w:p>
    <w:p w:rsidR="007D78F3" w:rsidRPr="004100EF"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r w:rsidR="003C7FFE" w:rsidRPr="004100EF">
        <w:rPr>
          <w:rFonts w:ascii="Times New Roman" w:eastAsia="Times New Roman" w:hAnsi="Times New Roman" w:cs="Times New Roman"/>
        </w:rPr>
        <w:t xml:space="preserve"> </w:t>
      </w:r>
      <w:r w:rsidR="007D78F3" w:rsidRPr="004100EF">
        <w:rPr>
          <w:rFonts w:ascii="Times New Roman" w:eastAsia="Times New Roman" w:hAnsi="Times New Roman" w:cs="Times New Roman"/>
        </w:rPr>
        <w:t xml:space="preserve">  </w:t>
      </w:r>
    </w:p>
    <w:p w:rsidR="00470AD8" w:rsidRPr="00B15DF7" w:rsidRDefault="00470AD8" w:rsidP="00A04AFA"/>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A04AFA" w:rsidRPr="004F673A" w:rsidRDefault="0020574A" w:rsidP="00B1210C">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 Mercury can impair neurological development and cause neurological damage, and is a toxic of concern in Oregon.</w:t>
      </w:r>
      <w:r w:rsidR="00C365F7">
        <w:rPr>
          <w:rFonts w:ascii="Times New Roman" w:hAnsi="Times New Roman" w:cs="Times New Roman"/>
        </w:rPr>
        <w:t xml:space="preserve"> The proposal addresses this by adopting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w:t>
      </w:r>
      <w:r w:rsidR="00C365F7">
        <w:rPr>
          <w:rFonts w:ascii="Times New Roman" w:hAnsi="Times New Roman" w:cs="Times New Roman"/>
        </w:rPr>
        <w:lastRenderedPageBreak/>
        <w:t>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The proposal addresses 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p>
    <w:p w:rsidR="00B43DD8" w:rsidRDefault="00B43DD8" w:rsidP="00B43DD8">
      <w:pPr>
        <w:ind w:left="1440" w:right="630"/>
        <w:rPr>
          <w:rFonts w:ascii="Times New Roman" w:hAnsi="Times New Roman" w:cs="Times New Roman"/>
        </w:rPr>
      </w:pPr>
    </w:p>
    <w:p w:rsidR="00BF6ECF" w:rsidRDefault="008E2A4A"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on the federal level, 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incorporating them into ACDP</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 xml:space="preserve">Adoption of a new NSPS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ACDP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new NSPS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NSPS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w:t>
      </w:r>
      <w:r w:rsidR="00EE3E57">
        <w:rPr>
          <w:rFonts w:ascii="Times New Roman" w:hAnsi="Times New Roman" w:cs="Times New Roman"/>
        </w:rPr>
        <w:lastRenderedPageBreak/>
        <w:t xml:space="preserve">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p>
    <w:p w:rsidR="00B91FC3" w:rsidRDefault="00B91FC3"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602EC7" w:rsidRDefault="00A07B59">
      <w:pPr>
        <w:ind w:left="1440" w:right="630"/>
        <w:rPr>
          <w:rFonts w:ascii="Times New Roman" w:hAnsi="Times New Roman" w:cs="Times New Roman"/>
        </w:rPr>
      </w:pPr>
      <w:r>
        <w:rPr>
          <w:rFonts w:ascii="Times New Roman" w:hAnsi="Times New Roman" w:cs="Times New Roman"/>
        </w:rPr>
        <w:t>There is an ongoing need to clarify and make corrections to existing rules when confusing language or errors are discovered. The proposal addresses this by aligning the late fees for the registration and ACDP programs; clarifying the permitting requirements for metal fabrication and finishing operations; removing redundant general permit fee class assignments for halogenated solvent cleaners; remov</w:t>
      </w:r>
      <w:r w:rsidR="00602EC7" w:rsidRPr="00602EC7">
        <w:rPr>
          <w:rFonts w:ascii="Times New Roman" w:hAnsi="Times New Roman" w:cs="Times New Roman"/>
        </w:rPr>
        <w:t>ing redundant gasoline dispensing facility control requirements in OAR 340 Division 232; and reassigning crematories to General ACDP fee class one (crematories were inadvertently assigned to fee class two in a previous rulemaking)</w:t>
      </w:r>
      <w:r w:rsidR="00EE3E57">
        <w:rPr>
          <w:rFonts w:ascii="Times New Roman" w:hAnsi="Times New Roman" w:cs="Times New Roman"/>
        </w:rPr>
        <w:t>.</w:t>
      </w:r>
      <w:r>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 this program is better implemented by federal and other state agencies</w:t>
      </w:r>
      <w:r w:rsidRPr="00BE2B31">
        <w:rPr>
          <w:rFonts w:ascii="Times New Roman" w:hAnsi="Times New Roman" w:cs="Times New Roman"/>
        </w:rPr>
        <w:t xml:space="preserve">, except </w:t>
      </w:r>
      <w:r>
        <w:rPr>
          <w:rFonts w:ascii="Times New Roman" w:hAnsi="Times New Roman" w:cs="Times New Roman"/>
        </w:rPr>
        <w:t xml:space="preserve">for DEQ </w:t>
      </w:r>
      <w:r w:rsidRPr="00BE2B31">
        <w:rPr>
          <w:rFonts w:ascii="Times New Roman" w:hAnsi="Times New Roman" w:cs="Times New Roman"/>
        </w:rPr>
        <w:t>to ensure that affected Title V sources submit their risk management plan to EPA.</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 xml:space="preserve">allow DEQ to: better manage workload;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Pr="00C74D0A">
        <w:rPr>
          <w:rFonts w:ascii="Times New Roman" w:hAnsi="Times New Roman" w:cs="Times New Roman"/>
        </w:rPr>
        <w:t xml:space="preserve">; focus on federal standards with the greatest environmental benefit;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consistent with federal rules so that we can focus resources on </w:t>
      </w:r>
      <w:r w:rsidRPr="00C74D0A">
        <w:rPr>
          <w:rFonts w:ascii="Times New Roman" w:hAnsi="Times New Roman" w:cs="Times New Roman"/>
        </w:rPr>
        <w:t>reducing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0" w:name="RANGE!C33"/>
      <w:r w:rsidRPr="004F673A">
        <w:rPr>
          <w:rFonts w:asciiTheme="majorHAnsi" w:eastAsia="Times New Roman" w:hAnsiTheme="majorHAnsi" w:cstheme="majorHAnsi"/>
          <w:bCs/>
          <w:color w:val="504938"/>
          <w:sz w:val="22"/>
          <w:szCs w:val="22"/>
        </w:rPr>
        <w:t>How will DEQ know the problem has been solved?</w:t>
      </w:r>
      <w:bookmarkEnd w:id="0"/>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Upon adoption by the EQC, DEQ will submit the rules to EPA to update our NSPS and NESHAP delegation and our State Implementation Plan. DEQ will know the problem is solved when EPA approves the delegation request and SIP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A04AFA" w:rsidRDefault="00A04AFA" w:rsidP="00D17CDB">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EE32A7">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w:t>
      </w:r>
      <w:r w:rsidR="004D3366">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F110B9" w:rsidRDefault="00F110B9" w:rsidP="00D17CDB">
      <w:pPr>
        <w:ind w:left="1080" w:right="630"/>
        <w:rPr>
          <w:rFonts w:ascii="Times New Roman" w:eastAsia="Times New Roman" w:hAnsi="Times New Roman" w:cs="Times New Roman"/>
          <w:color w:val="000000" w:themeColor="text1"/>
        </w:rPr>
        <w:sectPr w:rsidR="00F110B9" w:rsidSect="00733A49">
          <w:pgSz w:w="12240" w:h="15840"/>
          <w:pgMar w:top="720" w:right="360" w:bottom="1440" w:left="450" w:header="720" w:footer="720" w:gutter="0"/>
          <w:cols w:space="720"/>
          <w:docGrid w:linePitch="360"/>
        </w:sectPr>
      </w:pP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3"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FC4CE6" w:rsidP="00D17CDB">
      <w:pPr>
        <w:jc w:val="right"/>
        <w:outlineLvl w:val="0"/>
        <w:rPr>
          <w:rFonts w:asciiTheme="minorHAnsi" w:eastAsia="Times New Roman" w:hAnsiTheme="minorHAnsi" w:cstheme="minorHAnsi"/>
          <w:color w:val="504938"/>
          <w:sz w:val="16"/>
          <w:szCs w:val="16"/>
          <w:u w:val="single"/>
        </w:rPr>
      </w:pPr>
      <w:hyperlink r:id="rId14"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FC4CE6" w:rsidP="00A61B18">
      <w:pPr>
        <w:ind w:firstLineChars="100" w:firstLine="240"/>
        <w:jc w:val="right"/>
        <w:outlineLvl w:val="0"/>
        <w:rPr>
          <w:color w:val="504938"/>
          <w:sz w:val="16"/>
          <w:szCs w:val="16"/>
          <w:u w:val="single"/>
        </w:rPr>
      </w:pPr>
      <w:hyperlink r:id="rId15"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F110B9">
      <w:pPr>
        <w:pStyle w:val="ListParagraph"/>
        <w:numPr>
          <w:ilvl w:val="0"/>
          <w:numId w:val="11"/>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ACDP</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ACDP</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ACDP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ACDP, the requirements included in an ACDP and the fee schedule for ACDPs.</w:t>
      </w:r>
    </w:p>
    <w:p w:rsidR="00F110B9"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ACDP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crematories to General ACDP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ACDP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F110B9">
      <w:pPr>
        <w:pStyle w:val="ListParagraph"/>
        <w:numPr>
          <w:ilvl w:val="0"/>
          <w:numId w:val="14"/>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w:t>
      </w:r>
      <w:smartTag w:uri="urn:schemas-microsoft-com:office:smarttags" w:element="State">
        <w:smartTag w:uri="urn:schemas-microsoft-com:office:smarttags" w:element="place">
          <w:r w:rsidR="00D93B85" w:rsidRPr="00D93B85">
            <w:rPr>
              <w:rFonts w:ascii="Times New Roman" w:eastAsia="Times New Roman" w:hAnsi="Times New Roman" w:cs="Times New Roman"/>
              <w:color w:val="000000"/>
            </w:rPr>
            <w:t>Oregon</w:t>
          </w:r>
        </w:smartTag>
      </w:smartTag>
      <w:r w:rsidR="00D93B85" w:rsidRPr="00D93B85">
        <w:rPr>
          <w:rFonts w:ascii="Times New Roman" w:eastAsia="Times New Roman" w:hAnsi="Times New Roman" w:cs="Times New Roman"/>
          <w:color w:val="000000"/>
        </w:rPr>
        <w:t xml:space="preserve">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Because Oregon uses the ACDP program to implement federal standards for sources that are not required to obtain a Title V permit, Oregon's rules must specify which sources must obtain an ACDP, what requirements are included in the ACDP and the fee schedule for ACDPs.</w:t>
      </w:r>
      <w:r>
        <w:rPr>
          <w:rFonts w:asciiTheme="minorHAnsi" w:hAnsiTheme="minorHAnsi" w:cstheme="minorHAnsi"/>
        </w:rPr>
        <w:t xml:space="preserve"> </w:t>
      </w:r>
      <w:r w:rsidRPr="00095DAA">
        <w:rPr>
          <w:rFonts w:asciiTheme="minorHAnsi" w:hAnsiTheme="minorHAnsi" w:cstheme="minorHAnsi"/>
        </w:rPr>
        <w:t>The proposed changes to the ACDP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ACDP rules. </w:t>
      </w:r>
    </w:p>
    <w:p w:rsidR="001D5FA9" w:rsidRDefault="001D5FA9" w:rsidP="00752ECF">
      <w:pPr>
        <w:ind w:left="2520" w:right="630"/>
        <w:rPr>
          <w:rFonts w:ascii="Times New Roman" w:eastAsia="Times New Roman" w:hAnsi="Times New Roman" w:cs="Times New Roman"/>
          <w:color w:val="000000"/>
        </w:rPr>
      </w:pPr>
    </w:p>
    <w:p w:rsidR="00F110B9" w:rsidRDefault="00F110B9" w:rsidP="000E4FC6">
      <w:pPr>
        <w:spacing w:after="120"/>
        <w:ind w:left="1440" w:right="634"/>
        <w:rPr>
          <w:rFonts w:ascii="Times New Roman" w:eastAsia="Times New Roman" w:hAnsi="Times New Roman" w:cs="Times New Roman"/>
          <w:b/>
          <w:bCs/>
          <w:color w:val="463D38" w:themeColor="accent4" w:themeShade="80"/>
        </w:rPr>
        <w:sectPr w:rsidR="00F110B9" w:rsidSect="00F110B9">
          <w:pgSz w:w="12240" w:h="15840"/>
          <w:pgMar w:top="720" w:right="360" w:bottom="990" w:left="450" w:header="720" w:footer="720" w:gutter="0"/>
          <w:cols w:space="720"/>
          <w:docGrid w:linePitch="360"/>
        </w:sectPr>
      </w:pPr>
      <w:bookmarkStart w:id="1" w:name="RANGE!C35"/>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r w:rsidRPr="000E4FC6">
        <w:rPr>
          <w:rFonts w:ascii="Times New Roman" w:eastAsia="Times New Roman" w:hAnsi="Times New Roman" w:cs="Times New Roman"/>
          <w:b/>
          <w:bCs/>
          <w:color w:val="463D38" w:themeColor="accent4" w:themeShade="80"/>
        </w:rPr>
        <w:lastRenderedPageBreak/>
        <w:t>What alternatives did DEQ consider?</w:t>
      </w:r>
      <w:bookmarkEnd w:id="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F110B9">
      <w:pPr>
        <w:pStyle w:val="ListParagraph"/>
        <w:numPr>
          <w:ilvl w:val="0"/>
          <w:numId w:val="15"/>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ule. DEQ rejected this alternative because the mercury limits in the utility mercury rule are more stringent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965FAA" w:rsidRDefault="00965FAA" w:rsidP="00161470">
      <w:pPr>
        <w:ind w:left="1800" w:right="630"/>
        <w:rPr>
          <w:rFonts w:ascii="Times New Roman" w:hAnsi="Times New Roman" w:cs="Times New Roman"/>
        </w:rPr>
      </w:pPr>
    </w:p>
    <w:p w:rsidR="00BC549C" w:rsidRDefault="00BC549C" w:rsidP="00161470">
      <w:pPr>
        <w:ind w:left="1800" w:right="630"/>
        <w:rPr>
          <w:rFonts w:ascii="Times New Roman" w:hAnsi="Times New Roman" w:cs="Times New Roman"/>
        </w:rPr>
      </w:pPr>
    </w:p>
    <w:p w:rsidR="000E4FC6"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ACDP,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w:t>
      </w:r>
      <w:r w:rsidR="00E33CAB">
        <w:rPr>
          <w:rFonts w:ascii="Times New Roman" w:hAnsi="Times New Roman" w:cs="Times New Roman"/>
        </w:rPr>
        <w:lastRenderedPageBreak/>
        <w:t xml:space="preserve">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proofErr w:type="gramStart"/>
      <w:r w:rsidRPr="00626C48">
        <w:rPr>
          <w:rFonts w:asciiTheme="minorHAnsi" w:eastAsia="Times New Roman" w:hAnsiTheme="minorHAnsi" w:cstheme="minorHAnsi"/>
          <w:sz w:val="20"/>
          <w:szCs w:val="20"/>
        </w:rPr>
        <w:t>amend</w:t>
      </w:r>
      <w:bookmarkEnd w:id="3"/>
      <w:proofErr w:type="gramEnd"/>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Simple and Standard ACDP Attachments</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using</w:t>
      </w:r>
      <w:proofErr w:type="gramEnd"/>
      <w:r w:rsidRPr="00626C48">
        <w:rPr>
          <w:rFonts w:asciiTheme="minorHAnsi" w:eastAsia="Times New Roman" w:hAnsiTheme="minorHAnsi" w:cstheme="minorHAnsi"/>
          <w:color w:val="000000"/>
          <w:sz w:val="20"/>
          <w:szCs w:val="20"/>
        </w:rPr>
        <w:t xml:space="preserve">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lastRenderedPageBreak/>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4"/>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8" w:history="1">
        <w:r w:rsidR="00CB54E6" w:rsidRPr="00CB54E6">
          <w:rPr>
            <w:rFonts w:ascii="Times New Roman" w:eastAsia="Times New Roman" w:hAnsi="Times New Roman" w:cs="Times New Roman"/>
            <w:color w:val="504938"/>
            <w:sz w:val="16"/>
            <w:u w:val="single"/>
          </w:rPr>
          <w:t>ORS 183.335(2</w:t>
        </w:r>
        <w:proofErr w:type="gramStart"/>
        <w:r w:rsidR="00CB54E6" w:rsidRPr="00CB54E6">
          <w:rPr>
            <w:rFonts w:ascii="Times New Roman" w:eastAsia="Times New Roman" w:hAnsi="Times New Roman" w:cs="Times New Roman"/>
            <w:color w:val="504938"/>
            <w:sz w:val="16"/>
            <w:u w:val="single"/>
          </w:rPr>
          <w:t>)(</w:t>
        </w:r>
        <w:proofErr w:type="gramEnd"/>
        <w:r w:rsidR="00CB54E6" w:rsidRPr="00CB54E6">
          <w:rPr>
            <w:rFonts w:ascii="Times New Roman" w:eastAsia="Times New Roman" w:hAnsi="Times New Roman" w:cs="Times New Roman"/>
            <w:color w:val="504938"/>
            <w:sz w:val="16"/>
            <w:u w:val="single"/>
          </w:rPr>
          <w:t>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9"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0" w:history="1">
        <w:r w:rsidRPr="00504D01">
          <w:rPr>
            <w:rStyle w:val="Hyperlink"/>
            <w:rFonts w:ascii="Times New Roman" w:eastAsia="Times New Roman" w:hAnsi="Times New Roman" w:cs="Times New Roman"/>
            <w:bCs/>
          </w:rPr>
          <w:t>Federal Register</w:t>
        </w:r>
      </w:hyperlink>
    </w:p>
    <w:p w:rsidR="00F110B9" w:rsidRDefault="00F110B9" w:rsidP="00733A49">
      <w:pPr>
        <w:sectPr w:rsidR="00F110B9" w:rsidSect="00F110B9">
          <w:pgSz w:w="12240" w:h="15840"/>
          <w:pgMar w:top="720" w:right="360" w:bottom="990" w:left="450" w:header="720" w:footer="720" w:gutter="0"/>
          <w:cols w:space="720"/>
          <w:docGrid w:linePitch="360"/>
        </w:sectPr>
      </w:pPr>
    </w:p>
    <w:p w:rsidR="00504D01" w:rsidRPr="00B15DF7" w:rsidRDefault="00504D01" w:rsidP="00733A49"/>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F01FAE" w:rsidRDefault="00CA6C82"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EB4707">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of the ACDP</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ACDP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ACDP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Align the late fees for the registration and ACDP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lastRenderedPageBreak/>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C163B2" w:rsidRPr="00504D01" w:rsidRDefault="00C0359C" w:rsidP="00733A49">
            <w:pPr>
              <w:tabs>
                <w:tab w:val="left" w:pos="12453"/>
                <w:tab w:val="left" w:pos="13188"/>
                <w:tab w:val="left" w:pos="13964"/>
                <w:tab w:val="left" w:pos="14699"/>
                <w:tab w:val="left" w:pos="16283"/>
              </w:tabs>
              <w:outlineLvl w:val="0"/>
              <w:rPr>
                <w:rFonts w:ascii="Times New Roman" w:eastAsia="Times New Roman" w:hAnsi="Times New Roman" w:cs="Times New Roman"/>
                <w:bCs/>
              </w:rPr>
            </w:pPr>
            <w:r>
              <w:rPr>
                <w:rFonts w:ascii="Times New Roman" w:eastAsia="Times New Roman" w:hAnsi="Times New Roman" w:cs="Times New Roman"/>
                <w:bCs/>
              </w:rPr>
              <w:t>Estimated number of small business subject to proposed rules: c</w:t>
            </w:r>
            <w:r w:rsidR="00504D01" w:rsidRPr="00504D01">
              <w:rPr>
                <w:rFonts w:ascii="Times New Roman" w:eastAsia="Times New Roman" w:hAnsi="Times New Roman" w:cs="Times New Roman"/>
                <w:bCs/>
              </w:rPr>
              <w:t xml:space="preserve">hemical manufacturing facilities subject only to work practice standards (1); </w:t>
            </w:r>
            <w:r w:rsidR="004709B0">
              <w:rPr>
                <w:rFonts w:ascii="Times New Roman" w:eastAsia="Times New Roman" w:hAnsi="Times New Roman" w:cs="Times New Roman"/>
                <w:bCs/>
              </w:rPr>
              <w:t xml:space="preserve">paint stripping and </w:t>
            </w:r>
            <w:r w:rsidR="00504D01" w:rsidRPr="00504D01">
              <w:rPr>
                <w:rFonts w:ascii="Times New Roman" w:eastAsia="Times New Roman" w:hAnsi="Times New Roman" w:cs="Times New Roman"/>
                <w:bCs/>
              </w:rPr>
              <w:t xml:space="preserve">surface coating operations using less than 20 gallons of coating </w:t>
            </w:r>
            <w:r w:rsidR="00F654C9">
              <w:rPr>
                <w:rFonts w:ascii="Times New Roman" w:eastAsia="Times New Roman" w:hAnsi="Times New Roman" w:cs="Times New Roman"/>
                <w:bCs/>
              </w:rPr>
              <w:t xml:space="preserve">and </w:t>
            </w:r>
            <w:r w:rsidR="00465628">
              <w:rPr>
                <w:rFonts w:ascii="Times New Roman" w:eastAsia="Times New Roman" w:hAnsi="Times New Roman" w:cs="Times New Roman"/>
                <w:bCs/>
              </w:rPr>
              <w:t xml:space="preserve">20 gallons of methylene chloride </w:t>
            </w:r>
            <w:r w:rsidR="00F654C9">
              <w:rPr>
                <w:rFonts w:ascii="Times New Roman" w:eastAsia="Times New Roman" w:hAnsi="Times New Roman" w:cs="Times New Roman"/>
                <w:bCs/>
              </w:rPr>
              <w:t xml:space="preserve">paint stripper </w:t>
            </w:r>
            <w:r w:rsidR="00504D01" w:rsidRPr="00504D01">
              <w:rPr>
                <w:rFonts w:ascii="Times New Roman" w:eastAsia="Times New Roman" w:hAnsi="Times New Roman" w:cs="Times New Roman"/>
                <w:bCs/>
              </w:rPr>
              <w:t>per year (</w:t>
            </w:r>
            <w:r w:rsidR="00F654C9">
              <w:rPr>
                <w:rFonts w:ascii="Times New Roman" w:eastAsia="Times New Roman" w:hAnsi="Times New Roman" w:cs="Times New Roman"/>
                <w:bCs/>
              </w:rPr>
              <w:t>2</w:t>
            </w:r>
            <w:r w:rsidR="00504D01" w:rsidRPr="00504D01">
              <w:rPr>
                <w:rFonts w:ascii="Times New Roman" w:eastAsia="Times New Roman" w:hAnsi="Times New Roman" w:cs="Times New Roman"/>
                <w:bCs/>
              </w:rPr>
              <w:t>); gasoline dispensing facilities that dispense gasoline into “non-road vehicles” and “non-road engines” (223); new federal area source NESHAP for gold mine ore processing and production (</w:t>
            </w:r>
            <w:r w:rsidR="00C156FF">
              <w:rPr>
                <w:rFonts w:ascii="Times New Roman" w:eastAsia="Times New Roman" w:hAnsi="Times New Roman" w:cs="Times New Roman"/>
                <w:bCs/>
              </w:rPr>
              <w:t>0</w:t>
            </w:r>
            <w:r w:rsidR="00504D01" w:rsidRPr="00504D01">
              <w:rPr>
                <w:rFonts w:ascii="Times New Roman" w:eastAsia="Times New Roman" w:hAnsi="Times New Roman" w:cs="Times New Roman"/>
                <w:bCs/>
              </w:rPr>
              <w:t xml:space="preserve">); new federal major source NESHAP for electric utility </w:t>
            </w:r>
            <w:r w:rsidR="000127DF">
              <w:rPr>
                <w:rFonts w:ascii="Times New Roman" w:eastAsia="Times New Roman" w:hAnsi="Times New Roman" w:cs="Times New Roman"/>
                <w:bCs/>
              </w:rPr>
              <w:t>steam generating units</w:t>
            </w:r>
            <w:r w:rsidR="00504D01" w:rsidRPr="00504D01">
              <w:rPr>
                <w:rFonts w:ascii="Times New Roman" w:eastAsia="Times New Roman" w:hAnsi="Times New Roman" w:cs="Times New Roman"/>
                <w:bCs/>
              </w:rPr>
              <w:t xml:space="preserve"> (1); </w:t>
            </w:r>
            <w:r w:rsidR="00EB4707">
              <w:rPr>
                <w:rFonts w:ascii="Times New Roman" w:eastAsia="Times New Roman" w:hAnsi="Times New Roman" w:cs="Times New Roman"/>
                <w:bCs/>
              </w:rPr>
              <w:t xml:space="preserve">new federal major source NESHAP for polyvinyl chloride and copolymers production (0); </w:t>
            </w:r>
            <w:r w:rsidR="00504D01" w:rsidRPr="00504D01">
              <w:rPr>
                <w:rFonts w:ascii="Times New Roman" w:eastAsia="Times New Roman" w:hAnsi="Times New Roman" w:cs="Times New Roman"/>
                <w:bCs/>
              </w:rPr>
              <w:t>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w:t>
            </w:r>
            <w:proofErr w:type="gramStart"/>
            <w:r w:rsidR="00FD00EE">
              <w:rPr>
                <w:rFonts w:ascii="Times New Roman" w:eastAsia="Times New Roman" w:hAnsi="Times New Roman" w:cs="Times New Roman"/>
                <w:color w:val="000000"/>
              </w:rPr>
              <w:t>majority of these facilities have</w:t>
            </w:r>
            <w:proofErr w:type="gramEnd"/>
            <w:r w:rsidR="00FD00EE">
              <w:rPr>
                <w:rFonts w:ascii="Times New Roman" w:eastAsia="Times New Roman" w:hAnsi="Times New Roman" w:cs="Times New Roman"/>
                <w:color w:val="000000"/>
              </w:rPr>
              <w:t xml:space="preser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w:t>
            </w:r>
            <w:r w:rsidRPr="00B15DF7">
              <w:rPr>
                <w:rFonts w:ascii="Times New Roman" w:eastAsia="Times New Roman" w:hAnsi="Times New Roman" w:cs="Times New Roman"/>
                <w:color w:val="786E54"/>
              </w:rPr>
              <w:lastRenderedPageBreak/>
              <w:t>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lastRenderedPageBreak/>
              <w:t xml:space="preserve">The adoption of new and amended federal standards would not require small businesses to add any equipment, supplies, labor or administration because the federal </w:t>
            </w:r>
            <w:r w:rsidRPr="00B43B09">
              <w:rPr>
                <w:rFonts w:ascii="Times New Roman" w:eastAsia="Times New Roman" w:hAnsi="Times New Roman" w:cs="Times New Roman"/>
                <w:bCs/>
              </w:rPr>
              <w:lastRenderedPageBreak/>
              <w:t xml:space="preserve">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w:t>
            </w:r>
            <w:proofErr w:type="gramStart"/>
            <w:r w:rsidR="002D2623">
              <w:rPr>
                <w:rFonts w:ascii="Times New Roman" w:eastAsia="Times New Roman" w:hAnsi="Times New Roman" w:cs="Times New Roman"/>
                <w:color w:val="000000"/>
              </w:rPr>
              <w:t>majority of these facilities have</w:t>
            </w:r>
            <w:proofErr w:type="gramEnd"/>
            <w:r w:rsidR="002D2623">
              <w:rPr>
                <w:rFonts w:ascii="Times New Roman" w:eastAsia="Times New Roman" w:hAnsi="Times New Roman" w:cs="Times New Roman"/>
                <w:color w:val="000000"/>
              </w:rPr>
              <w:t xml:space="preser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B353FD">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lastRenderedPageBreak/>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A50464"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F110B9" w:rsidP="00F110B9">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00A50464"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8" w:name="RANGE!A226:B243"/>
      <w:bookmarkEnd w:id="8"/>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proposal does not change fee levels or create new fee categories, but it does revise the fee category applicable to crematories required to obtain ACDP permits and changes the date late fees are triggered in the registration program.</w:t>
      </w:r>
    </w:p>
    <w:p w:rsidR="00F110B9" w:rsidRDefault="00F110B9" w:rsidP="00C531D0">
      <w:pPr>
        <w:ind w:left="1080" w:right="630"/>
        <w:rPr>
          <w:rFonts w:ascii="Times New Roman" w:eastAsia="Times New Roman" w:hAnsi="Times New Roman" w:cs="Times New Roman"/>
          <w:color w:val="000000" w:themeColor="text1"/>
        </w:rPr>
        <w:sectPr w:rsidR="00F110B9" w:rsidSect="00F110B9">
          <w:pgSz w:w="12240" w:h="15840"/>
          <w:pgMar w:top="720" w:right="360" w:bottom="990" w:left="450" w:header="720" w:footer="720" w:gutter="0"/>
          <w:cols w:space="720"/>
          <w:docGrid w:linePitch="360"/>
        </w:sectPr>
      </w:pPr>
    </w:p>
    <w:p w:rsidR="00E4203D" w:rsidRDefault="00E4203D" w:rsidP="00C531D0">
      <w:pPr>
        <w:ind w:left="1080" w:right="630"/>
        <w:rPr>
          <w:rFonts w:ascii="Times New Roman" w:eastAsia="Times New Roman" w:hAnsi="Times New Roman" w:cs="Times New Roman"/>
          <w:color w:val="000000" w:themeColor="text1"/>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1" w:history="1">
        <w:r w:rsidR="00182C5A" w:rsidRPr="00B15DF7">
          <w:rPr>
            <w:rFonts w:ascii="Times New Roman" w:eastAsia="Times New Roman" w:hAnsi="Times New Roman" w:cs="Times New Roman"/>
            <w:color w:val="504938"/>
            <w:sz w:val="16"/>
            <w:u w:val="single"/>
          </w:rPr>
          <w:t>OAR 340-018</w:t>
        </w:r>
      </w:hyperlink>
    </w:p>
    <w:p w:rsidR="007F4318" w:rsidRPr="00B15DF7" w:rsidRDefault="00FC4CE6" w:rsidP="00182C5A">
      <w:pPr>
        <w:ind w:right="630"/>
        <w:jc w:val="right"/>
        <w:outlineLvl w:val="0"/>
        <w:rPr>
          <w:rFonts w:ascii="Times New Roman" w:eastAsia="Times New Roman" w:hAnsi="Times New Roman" w:cs="Times New Roman"/>
          <w:color w:val="504938"/>
          <w:sz w:val="16"/>
          <w:szCs w:val="16"/>
          <w:u w:val="single"/>
        </w:rPr>
      </w:pPr>
      <w:hyperlink r:id="rId22" w:history="1">
        <w:r w:rsidR="007F4318" w:rsidRPr="00B15DF7">
          <w:rPr>
            <w:rFonts w:ascii="Times New Roman" w:eastAsia="Times New Roman" w:hAnsi="Times New Roman" w:cs="Times New Roman"/>
            <w:color w:val="504938"/>
            <w:sz w:val="16"/>
            <w:u w:val="single"/>
          </w:rPr>
          <w:t>ORS 197.180</w:t>
        </w:r>
      </w:hyperlink>
    </w:p>
    <w:p w:rsidR="007F4318" w:rsidRPr="00B15DF7" w:rsidRDefault="00FC4CE6"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r>
      <w:proofErr w:type="spellStart"/>
      <w:r w:rsidRPr="00B82764">
        <w:rPr>
          <w:rFonts w:ascii="Cambria" w:eastAsia="Times New Roman" w:hAnsi="Cambria" w:cs="Times New Roman"/>
          <w:color w:val="000000" w:themeColor="text1"/>
        </w:rPr>
        <w:t>Estuarian</w:t>
      </w:r>
      <w:proofErr w:type="spellEnd"/>
      <w:r w:rsidRPr="00B82764">
        <w:rPr>
          <w:rFonts w:ascii="Cambria" w:eastAsia="Times New Roman" w:hAnsi="Cambria" w:cs="Times New Roman"/>
          <w:color w:val="000000" w:themeColor="text1"/>
        </w:rPr>
        <w:t xml:space="preserve">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ACDP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ACDP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6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F110B9"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lastRenderedPageBreak/>
        <w:t>  </w:t>
      </w:r>
    </w:p>
    <w:p w:rsidR="00F110B9" w:rsidRDefault="00A76794" w:rsidP="00AD4884">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imes New Roman" w:hAnsi="Times New Roman" w:cs="Times New Roman"/>
        </w:rPr>
        <w:t xml:space="preserve"> </w:t>
      </w:r>
      <w:r w:rsidR="00F110B9">
        <w:rPr>
          <w:rFonts w:asciiTheme="majorHAnsi" w:eastAsia="Times New Roman" w:hAnsiTheme="majorHAnsi" w:cstheme="majorHAnsi"/>
          <w:bCs/>
          <w:color w:val="504938"/>
          <w:sz w:val="22"/>
          <w:szCs w:val="22"/>
        </w:rPr>
        <w:t>Notification</w:t>
      </w:r>
    </w:p>
    <w:p w:rsidR="00F110B9" w:rsidRDefault="00F110B9" w:rsidP="00F110B9">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FD62FA">
        <w:rPr>
          <w:rFonts w:asciiTheme="minorHAnsi" w:eastAsia="Times New Roman" w:hAnsiTheme="minorHAnsi" w:cstheme="minorHAnsi"/>
          <w:color w:val="000000"/>
        </w:rPr>
        <w:t xml:space="preserve">Feb. </w:t>
      </w:r>
      <w:r w:rsidR="00AD4884">
        <w:rPr>
          <w:rFonts w:asciiTheme="minorHAnsi" w:eastAsia="Times New Roman" w:hAnsiTheme="minorHAnsi" w:cstheme="minorHAnsi"/>
          <w:color w:val="000000"/>
        </w:rPr>
        <w:t>16</w:t>
      </w:r>
      <w:r>
        <w:rPr>
          <w:rFonts w:asciiTheme="minorHAnsi" w:eastAsia="Times New Roman" w:hAnsiTheme="minorHAnsi" w:cstheme="minorHAnsi"/>
          <w:color w:val="000000"/>
        </w:rPr>
        <w:t xml:space="preserve">, </w:t>
      </w:r>
      <w:r w:rsidR="00A91299">
        <w:rPr>
          <w:rFonts w:asciiTheme="minorHAnsi" w:eastAsia="Times New Roman" w:hAnsiTheme="minorHAnsi" w:cstheme="minorHAnsi"/>
          <w:color w:val="000000"/>
        </w:rPr>
        <w:t>2013</w:t>
      </w:r>
      <w:r>
        <w:rPr>
          <w:rFonts w:asciiTheme="minorHAnsi" w:eastAsia="Times New Roman" w:hAnsiTheme="minorHAnsi" w:cstheme="minorHAnsi"/>
          <w:color w:val="000000"/>
        </w:rPr>
        <w:t>. DEQ will notify affected parties by</w:t>
      </w:r>
      <w:r w:rsidR="00A91299">
        <w:rPr>
          <w:rFonts w:asciiTheme="minorHAnsi" w:eastAsia="Times New Roman" w:hAnsiTheme="minorHAnsi" w:cstheme="minorHAnsi"/>
          <w:color w:val="000000"/>
        </w:rPr>
        <w:t>:</w:t>
      </w:r>
    </w:p>
    <w:p w:rsidR="00A91299" w:rsidRDefault="00A91299" w:rsidP="00F110B9">
      <w:pPr>
        <w:ind w:left="720"/>
        <w:outlineLvl w:val="0"/>
        <w:rPr>
          <w:rFonts w:asciiTheme="minorHAnsi" w:eastAsia="Times New Roman" w:hAnsiTheme="minorHAnsi" w:cstheme="minorHAnsi"/>
          <w:color w:val="000000"/>
        </w:rPr>
      </w:pPr>
    </w:p>
    <w:p w:rsid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Pr>
          <w:rFonts w:asciiTheme="minorHAnsi" w:eastAsia="Times New Roman" w:hAnsiTheme="minorHAnsi" w:cstheme="minorHAnsi"/>
          <w:color w:val="000000"/>
        </w:rPr>
        <w:t>;</w:t>
      </w:r>
    </w:p>
    <w:p w:rsidR="00BF1E0F" w:rsidRPr="00A91299" w:rsidRDefault="00BF1E0F"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w:t>
      </w:r>
      <w:r w:rsidR="00E73736">
        <w:rPr>
          <w:rFonts w:asciiTheme="minorHAnsi" w:eastAsia="Times New Roman" w:hAnsiTheme="minorHAnsi" w:cstheme="minorHAnsi"/>
          <w:color w:val="000000"/>
        </w:rPr>
        <w:t xml:space="preserve"> that potentially qualify for the new permit exemption;</w:t>
      </w:r>
      <w:r>
        <w:rPr>
          <w:rFonts w:asciiTheme="minorHAnsi" w:eastAsia="Times New Roman" w:hAnsiTheme="minorHAnsi" w:cstheme="minorHAnsi"/>
          <w:color w:val="000000"/>
        </w:rPr>
        <w:t xml:space="preserve"> </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Track</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BA6903">
        <w:rPr>
          <w:rFonts w:asciiTheme="minorHAnsi" w:eastAsia="Times New Roman" w:hAnsiTheme="minorHAnsi" w:cstheme="minorHAnsi"/>
          <w:color w:val="000000"/>
        </w:rPr>
        <w:t>;</w:t>
      </w:r>
      <w:r w:rsidRPr="00A91299">
        <w:rPr>
          <w:rFonts w:asciiTheme="minorHAnsi" w:eastAsia="Times New Roman" w:hAnsiTheme="minorHAnsi" w:cstheme="minorHAnsi"/>
          <w:color w:val="000000"/>
        </w:rPr>
        <w:t xml:space="preserve"> </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sidR="00BF1E0F">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r w:rsidR="00BA6903">
        <w:rPr>
          <w:rFonts w:asciiTheme="minorHAnsi" w:eastAsia="Times New Roman" w:hAnsiTheme="minorHAnsi" w:cstheme="minorHAnsi"/>
          <w:color w:val="000000"/>
        </w:rPr>
        <w:t>;</w:t>
      </w:r>
    </w:p>
    <w:p w:rsidR="00A91299" w:rsidRPr="00A91299" w:rsidRDefault="00AD4884"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w:t>
      </w:r>
      <w:r w:rsidR="00A91299"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a list of </w:t>
      </w:r>
      <w:r w:rsidR="00BF1E0F">
        <w:rPr>
          <w:rFonts w:asciiTheme="minorHAnsi" w:eastAsia="Times New Roman" w:hAnsiTheme="minorHAnsi" w:cstheme="minorHAnsi"/>
          <w:color w:val="000000"/>
        </w:rPr>
        <w:t xml:space="preserve">facilities </w:t>
      </w:r>
      <w:r w:rsidR="00A91299"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wh</w:t>
      </w:r>
      <w:r w:rsidR="00BF1E0F">
        <w:rPr>
          <w:rFonts w:asciiTheme="minorHAnsi" w:eastAsia="Times New Roman" w:hAnsiTheme="minorHAnsi" w:cstheme="minorHAnsi"/>
          <w:color w:val="000000"/>
        </w:rPr>
        <w:t>ich</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facilities</w:t>
      </w:r>
      <w:r w:rsidR="00A91299"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00A91299"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 xml:space="preserve">to obtain </w:t>
      </w:r>
      <w:r w:rsidR="00A91299" w:rsidRPr="00A91299">
        <w:rPr>
          <w:rFonts w:asciiTheme="minorHAnsi" w:eastAsia="Times New Roman" w:hAnsiTheme="minorHAnsi" w:cstheme="minorHAnsi"/>
          <w:color w:val="000000"/>
        </w:rPr>
        <w:t xml:space="preserve">a new permit or </w:t>
      </w:r>
      <w:r w:rsidR="00BF1E0F">
        <w:rPr>
          <w:rFonts w:asciiTheme="minorHAnsi" w:eastAsia="Times New Roman" w:hAnsiTheme="minorHAnsi" w:cstheme="minorHAnsi"/>
          <w:color w:val="000000"/>
        </w:rPr>
        <w:t xml:space="preserve">have their </w:t>
      </w:r>
      <w:r w:rsidR="00A91299" w:rsidRPr="00A91299">
        <w:rPr>
          <w:rFonts w:asciiTheme="minorHAnsi" w:eastAsia="Times New Roman" w:hAnsiTheme="minorHAnsi" w:cstheme="minorHAnsi"/>
          <w:color w:val="000000"/>
        </w:rPr>
        <w:t>permit revis</w:t>
      </w:r>
      <w:r w:rsidR="00BF1E0F">
        <w:rPr>
          <w:rFonts w:asciiTheme="minorHAnsi" w:eastAsia="Times New Roman" w:hAnsiTheme="minorHAnsi" w:cstheme="minorHAnsi"/>
          <w:color w:val="000000"/>
        </w:rPr>
        <w:t>ed</w:t>
      </w:r>
      <w:r w:rsidR="00BA6903">
        <w:rPr>
          <w:rFonts w:asciiTheme="minorHAnsi" w:eastAsia="Times New Roman" w:hAnsiTheme="minorHAnsi" w:cstheme="minorHAnsi"/>
          <w:color w:val="000000"/>
        </w:rPr>
        <w:t>;</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sidR="00BF1E0F">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C02F53">
        <w:rPr>
          <w:rFonts w:asciiTheme="minorHAnsi" w:eastAsia="Times New Roman" w:hAnsiTheme="minorHAnsi" w:cstheme="minorHAnsi"/>
          <w:color w:val="000000"/>
        </w:rPr>
        <w:t xml:space="preserve"> and that are potentially required to obtain a permit</w:t>
      </w:r>
      <w:r w:rsidR="00BA6903">
        <w:rPr>
          <w:rFonts w:asciiTheme="minorHAnsi" w:eastAsia="Times New Roman" w:hAnsiTheme="minorHAnsi" w:cstheme="minorHAnsi"/>
          <w:color w:val="000000"/>
        </w:rPr>
        <w:t>;</w:t>
      </w:r>
      <w:r w:rsidR="00AD4884">
        <w:rPr>
          <w:rFonts w:asciiTheme="minorHAnsi" w:eastAsia="Times New Roman" w:hAnsiTheme="minorHAnsi" w:cstheme="minorHAnsi"/>
          <w:color w:val="000000"/>
        </w:rPr>
        <w:t xml:space="preserve"> and</w:t>
      </w:r>
    </w:p>
    <w:p w:rsidR="00E73736" w:rsidRPr="00AD4884" w:rsidRDefault="00A91299" w:rsidP="00AD4884">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sidR="00E73736">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sidR="00AD4884">
        <w:rPr>
          <w:rFonts w:asciiTheme="minorHAnsi" w:eastAsia="Times New Roman" w:hAnsiTheme="minorHAnsi" w:cstheme="minorHAnsi"/>
          <w:color w:val="000000"/>
        </w:rPr>
        <w:t>.</w:t>
      </w:r>
    </w:p>
    <w:p w:rsidR="00E73736" w:rsidRDefault="00E73736"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Incorporating new and amended NESHAPs into Title V and ACDP permits and ensuring compliance</w:t>
      </w:r>
      <w:r w:rsidRPr="00AD4884">
        <w:rPr>
          <w:rFonts w:asciiTheme="minorHAnsi" w:eastAsia="Times New Roman" w:hAnsiTheme="minorHAnsi" w:cstheme="minorHAnsi"/>
          <w:color w:val="000000"/>
        </w:rPr>
        <w:t>: Current DEQ rules require that DEQ place new and amended federal standards into Title V and ACDP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xml:space="preserve">: OAR 340-218-0200 requires each issued permit to be reopened and revised if additional applicable requirements under the federal clean air act become applicable to a major Title V source with a remaining permit term of 3 or more years. Such a reopening must be completed </w:t>
      </w:r>
      <w:proofErr w:type="spellStart"/>
      <w:r w:rsidRPr="00AD4884">
        <w:rPr>
          <w:rFonts w:asciiTheme="minorHAnsi" w:eastAsia="Times New Roman" w:hAnsiTheme="minorHAnsi" w:cstheme="minorHAnsi"/>
          <w:color w:val="000000"/>
        </w:rPr>
        <w:t>not</w:t>
      </w:r>
      <w:proofErr w:type="spellEnd"/>
      <w:r w:rsidRPr="00AD4884">
        <w:rPr>
          <w:rFonts w:asciiTheme="minorHAnsi" w:eastAsia="Times New Roman" w:hAnsiTheme="minorHAnsi" w:cstheme="minorHAnsi"/>
          <w:color w:val="000000"/>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ACDP in order to operate. Some facilities affected by the new NESHAPs are already on an ACDP. The new NESHAP requirements will need to be incorporated into these facility’s permits. Facilities not already on an ACDP will need to apply for an ACDP within four months and obtain an ACDP within six months of the EQC’s adoption of the new NESHAPs. DEQ has the ability to defer the requirement to submit an application for, or to obtain an ACDP, or both, by up to an additional twelve months. The current rules are expected to be adopted in February 2011. Therefore, affected sources will be required to submit a permit application in June 2011 and obtain a permit in August 2011. DEQ can defer these dates to June 2012 and August 2012, respectively. </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To avoid the task of reassigning over a thousand GDFs to an amended General ACDP, the clarifying amendments will be handled through outreach and education. Any amendments will be made when the General ACDP expires and needs to be reissued.</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lastRenderedPageBreak/>
        <w:t>Implementing the Paint Stripping and Surface Coating Permit Exemption</w:t>
      </w:r>
      <w:r w:rsidRPr="00AD4884">
        <w:rPr>
          <w:rFonts w:asciiTheme="minorHAnsi" w:eastAsia="Times New Roman" w:hAnsiTheme="minorHAnsi" w:cstheme="minorHAnsi"/>
          <w:color w:val="000000"/>
        </w:rPr>
        <w:t>: The regional offices will begin cancelling permit assignments starting in March 2013 and headquarters will issue prorated refunds of 2013 annual fees starting in April 2013.</w:t>
      </w:r>
    </w:p>
    <w:p w:rsidR="00AD4884" w:rsidRPr="00AD4884" w:rsidRDefault="00AD4884" w:rsidP="00AD4884">
      <w:pPr>
        <w:ind w:left="720"/>
        <w:outlineLvl w:val="0"/>
        <w:rPr>
          <w:rFonts w:asciiTheme="minorHAnsi" w:eastAsia="Times New Roman" w:hAnsiTheme="minorHAnsi" w:cstheme="minorHAnsi"/>
          <w:color w:val="000000"/>
        </w:rPr>
      </w:pPr>
    </w:p>
    <w:p w:rsidR="00F110B9"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Headquarters will send initial notification forms and permit applications to these facilities in March 2013 and the regional offices will start assigning affected facilities to a General ACDP starting in June 2013.</w:t>
      </w:r>
    </w:p>
    <w:p w:rsidR="00AD4884" w:rsidRDefault="00AD4884"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parties - Enter text here.</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F110B9" w:rsidRDefault="00F110B9" w:rsidP="00F110B9">
      <w:pPr>
        <w:ind w:left="720"/>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Enter text here.</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Enter text here</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Enter text here.</w:t>
      </w:r>
    </w:p>
    <w:p w:rsidR="00F110B9" w:rsidRPr="00FF2CB9" w:rsidRDefault="00F110B9" w:rsidP="00F110B9">
      <w:pPr>
        <w:ind w:left="806"/>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parties - Enter text here.</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00A91299" w:rsidRPr="00A91299">
        <w:rPr>
          <w:rFonts w:asciiTheme="minorHAnsi" w:eastAsia="Times New Roman" w:hAnsiTheme="minorHAnsi" w:cstheme="minorHAnsi"/>
          <w:color w:val="000000"/>
        </w:rPr>
        <w:t>Whenever possible, staff training will rely on EPA and industry training, workshops, and implementation materials. Headquarters staff will track training opportunities, workshops and implementation materials to get the appropriate staff the necessary resources to implement the new NESHAP and NSPS. Headquarters staff will also visit regional offices when requested to discuss the new and amended standards.</w:t>
      </w:r>
    </w:p>
    <w:p w:rsidR="00F110B9" w:rsidRDefault="00F110B9" w:rsidP="00F110B9">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FC4CE6"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FC4CE6"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FC4CE6"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F110B9" w:rsidRDefault="00F110B9" w:rsidP="00F110B9">
      <w:pPr>
        <w:ind w:left="720"/>
        <w:outlineLvl w:val="0"/>
        <w:rPr>
          <w:rFonts w:asciiTheme="minorHAnsi" w:eastAsia="Times New Roman" w:hAnsiTheme="minorHAnsi" w:cstheme="minorHAnsi"/>
          <w:color w:val="000000"/>
        </w:rPr>
      </w:pPr>
    </w:p>
    <w:p w:rsidR="00F110B9" w:rsidRDefault="00F110B9" w:rsidP="00F110B9">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F110B9" w:rsidRPr="001F2D3C" w:rsidRDefault="00F110B9" w:rsidP="00F110B9">
      <w:pPr>
        <w:ind w:left="720"/>
        <w:outlineLvl w:val="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71"/>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C9239E" w:rsidRDefault="00F110B9" w:rsidP="00F110B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 w:name="AdvisoryCommittee"/>
      <w:r>
        <w:rPr>
          <w:rFonts w:asciiTheme="majorHAnsi" w:eastAsia="Times New Roman" w:hAnsiTheme="majorHAnsi" w:cstheme="majorHAnsi"/>
          <w:bCs/>
          <w:color w:val="504938"/>
          <w:sz w:val="22"/>
          <w:szCs w:val="22"/>
        </w:rPr>
        <w:t>Advisory committee</w:t>
      </w:r>
      <w:bookmarkEnd w:id="9"/>
    </w:p>
    <w:p w:rsidR="00F110B9" w:rsidRPr="001F2D3C" w:rsidRDefault="00F110B9" w:rsidP="00F110B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sidR="00C21AC4">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sidR="00646E06">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F110B9" w:rsidRDefault="00F110B9" w:rsidP="00F110B9">
      <w:pPr>
        <w:ind w:left="720" w:right="630"/>
        <w:outlineLvl w:val="0"/>
        <w:rPr>
          <w:rFonts w:asciiTheme="minorHAnsi" w:eastAsia="Times New Roman" w:hAnsiTheme="minorHAnsi" w:cstheme="minorHAnsi"/>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10B9" w:rsidRPr="0096369D" w:rsidRDefault="00F110B9" w:rsidP="00F110B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sidR="00646E06">
        <w:rPr>
          <w:rFonts w:asciiTheme="minorHAnsi" w:eastAsia="Times New Roman" w:hAnsiTheme="minorHAnsi" w:cstheme="minorHAnsi"/>
          <w:bCs/>
        </w:rPr>
        <w:t xml:space="preserve">did not </w:t>
      </w:r>
      <w:r w:rsidR="008A1484">
        <w:rPr>
          <w:rFonts w:asciiTheme="minorHAnsi" w:eastAsia="Times New Roman" w:hAnsiTheme="minorHAnsi" w:cstheme="minorHAnsi"/>
          <w:bCs/>
        </w:rPr>
        <w:t xml:space="preserve">previously </w:t>
      </w:r>
      <w:r w:rsidRPr="0096369D">
        <w:rPr>
          <w:rFonts w:asciiTheme="minorHAnsi" w:eastAsia="Times New Roman" w:hAnsiTheme="minorHAnsi" w:cstheme="minorHAnsi"/>
          <w:bCs/>
        </w:rPr>
        <w:t>share information about this rulemaking with the EQC</w:t>
      </w:r>
      <w:r w:rsidRPr="0096369D">
        <w:rPr>
          <w:rFonts w:ascii="Times New Roman" w:eastAsia="Times New Roman" w:hAnsi="Times New Roman" w:cs="Times New Roman"/>
          <w:sz w:val="22"/>
          <w:szCs w:val="22"/>
        </w:rPr>
        <w:t>.</w:t>
      </w:r>
    </w:p>
    <w:p w:rsidR="00F110B9" w:rsidRDefault="00F110B9" w:rsidP="00F110B9">
      <w:pPr>
        <w:ind w:left="810" w:right="630"/>
        <w:outlineLvl w:val="0"/>
        <w:rPr>
          <w:rFonts w:ascii="Times New Roman" w:eastAsia="Times New Roman" w:hAnsi="Times New Roman" w:cs="Times New Roman"/>
          <w:color w:val="504938"/>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10B9" w:rsidRPr="00A74227" w:rsidRDefault="00F110B9" w:rsidP="00F110B9">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w:t>
      </w:r>
      <w:r w:rsidR="00646E06">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heme="minorHAnsi" w:eastAsia="Times New Roman" w:hAnsiTheme="minorHAnsi" w:cstheme="minorHAnsi"/>
          <w:bCs/>
          <w:color w:val="000000" w:themeColor="text1"/>
        </w:rPr>
        <w:t>.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F110B9" w:rsidRPr="00A74227"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5"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sidR="00646E06">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22</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imes New Roman" w:eastAsia="Times New Roman" w:hAnsi="Times New Roman" w:cs="Times New Roman"/>
          <w:color w:val="000000" w:themeColor="text1"/>
        </w:rPr>
        <w:t>.</w:t>
      </w:r>
    </w:p>
    <w:p w:rsidR="00F110B9" w:rsidRPr="00C22E0C"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F110B9" w:rsidRPr="00C22E0C" w:rsidRDefault="000B7BCE"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5,368</w:t>
      </w:r>
      <w:r w:rsidR="00F110B9" w:rsidRPr="00C22E0C">
        <w:rPr>
          <w:rFonts w:ascii="Times New Roman" w:eastAsia="Times New Roman" w:hAnsi="Times New Roman" w:cs="Times New Roman"/>
          <w:color w:val="000000" w:themeColor="text1"/>
        </w:rPr>
        <w:t xml:space="preserve"> interested parties through </w:t>
      </w:r>
      <w:proofErr w:type="spellStart"/>
      <w:r w:rsidR="00F110B9" w:rsidRPr="00C22E0C">
        <w:rPr>
          <w:rFonts w:ascii="Times New Roman" w:eastAsia="Times New Roman" w:hAnsi="Times New Roman" w:cs="Times New Roman"/>
          <w:color w:val="000000" w:themeColor="text1"/>
        </w:rPr>
        <w:t>GovDelivery</w:t>
      </w:r>
      <w:proofErr w:type="spellEnd"/>
      <w:r w:rsidR="00F110B9" w:rsidRPr="00C22E0C">
        <w:rPr>
          <w:rFonts w:ascii="Times New Roman" w:eastAsia="Times New Roman" w:hAnsi="Times New Roman" w:cs="Times New Roman"/>
          <w:color w:val="000000" w:themeColor="text1"/>
        </w:rPr>
        <w:t xml:space="preserve"> on </w:t>
      </w:r>
      <w:bookmarkStart w:id="10" w:name="OLE_LINK1"/>
      <w:r>
        <w:rPr>
          <w:rFonts w:ascii="Times New Roman" w:eastAsia="Times New Roman" w:hAnsi="Times New Roman" w:cs="Times New Roman"/>
          <w:color w:val="000000" w:themeColor="text1"/>
        </w:rPr>
        <w:t>Aug. 22</w:t>
      </w:r>
      <w:r w:rsidR="00F110B9">
        <w:rPr>
          <w:rFonts w:asciiTheme="minorHAnsi" w:eastAsia="Times New Roman" w:hAnsiTheme="minorHAnsi" w:cstheme="minorHAnsi"/>
          <w:bCs/>
          <w:color w:val="000000" w:themeColor="text1"/>
        </w:rPr>
        <w:t xml:space="preserve">, </w:t>
      </w:r>
      <w:bookmarkEnd w:id="10"/>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w:t>
      </w:r>
    </w:p>
    <w:p w:rsidR="00F110B9" w:rsidRPr="00C22E0C" w:rsidRDefault="00D53A93"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F110B9" w:rsidRPr="00C22E0C">
        <w:rPr>
          <w:rFonts w:ascii="Times New Roman" w:eastAsia="Times New Roman" w:hAnsi="Times New Roman" w:cs="Times New Roman"/>
          <w:color w:val="000000" w:themeColor="text1"/>
        </w:rPr>
        <w:t xml:space="preserve"> key legislators required under </w:t>
      </w:r>
      <w:hyperlink r:id="rId26" w:history="1">
        <w:r w:rsidR="00F110B9" w:rsidRPr="00C22E0C">
          <w:rPr>
            <w:rFonts w:asciiTheme="minorHAnsi" w:eastAsia="Times New Roman" w:hAnsiTheme="minorHAnsi" w:cstheme="minorHAnsi"/>
            <w:color w:val="000000" w:themeColor="text1"/>
            <w:u w:val="single"/>
          </w:rPr>
          <w:t>ORS 183.335</w:t>
        </w:r>
      </w:hyperlink>
      <w:r w:rsidR="00F110B9" w:rsidRPr="00C22E0C">
        <w:rPr>
          <w:rFonts w:asciiTheme="minorHAnsi" w:hAnsiTheme="minorHAnsi" w:cstheme="minorHAnsi"/>
          <w:color w:val="000000" w:themeColor="text1"/>
        </w:rPr>
        <w:t xml:space="preserve"> </w:t>
      </w:r>
      <w:r w:rsidR="00F110B9"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23</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 Key legislators included:</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 xml:space="preserve">Jackie </w:t>
      </w:r>
      <w:proofErr w:type="spellStart"/>
      <w:r w:rsidRPr="00551165">
        <w:rPr>
          <w:rFonts w:ascii="Times New Roman" w:eastAsia="Times New Roman" w:hAnsi="Times New Roman" w:cs="Times New Roman"/>
          <w:color w:val="000000" w:themeColor="text1"/>
        </w:rPr>
        <w:t>Dingfelder</w:t>
      </w:r>
      <w:proofErr w:type="spellEnd"/>
      <w:r w:rsidRPr="00551165">
        <w:rPr>
          <w:rFonts w:ascii="Times New Roman" w:eastAsia="Times New Roman" w:hAnsi="Times New Roman" w:cs="Times New Roman"/>
          <w:color w:val="000000" w:themeColor="text1"/>
        </w:rPr>
        <w:t>, Chair, Senate Environment and Natural Resources Committee</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Default="000B7BCE" w:rsidP="00F110B9">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and/or m</w:t>
      </w:r>
      <w:r w:rsidR="00F110B9" w:rsidRPr="00B4779D">
        <w:rPr>
          <w:rFonts w:ascii="Times New Roman" w:eastAsia="Times New Roman" w:hAnsi="Times New Roman" w:cs="Times New Roman"/>
          <w:color w:val="000000" w:themeColor="text1"/>
        </w:rPr>
        <w:t xml:space="preserve">ailed </w:t>
      </w:r>
      <w:r w:rsidR="00F110B9">
        <w:rPr>
          <w:rFonts w:ascii="Times New Roman" w:eastAsia="Times New Roman" w:hAnsi="Times New Roman" w:cs="Times New Roman"/>
          <w:color w:val="000000" w:themeColor="text1"/>
        </w:rPr>
        <w:t xml:space="preserve">the notice </w:t>
      </w:r>
      <w:r w:rsidR="00F110B9" w:rsidRPr="00B4779D">
        <w:rPr>
          <w:rFonts w:ascii="Times New Roman" w:eastAsia="Times New Roman" w:hAnsi="Times New Roman" w:cs="Times New Roman"/>
          <w:color w:val="000000" w:themeColor="text1"/>
        </w:rPr>
        <w:t xml:space="preserve">by </w:t>
      </w:r>
      <w:r w:rsidR="00F110B9">
        <w:rPr>
          <w:rFonts w:ascii="Times New Roman" w:eastAsia="Times New Roman" w:hAnsi="Times New Roman" w:cs="Times New Roman"/>
          <w:color w:val="000000" w:themeColor="text1"/>
        </w:rPr>
        <w:t xml:space="preserve">to </w:t>
      </w:r>
      <w:r w:rsidR="00D53A93">
        <w:rPr>
          <w:rFonts w:ascii="Times New Roman" w:eastAsia="Times New Roman" w:hAnsi="Times New Roman" w:cs="Times New Roman"/>
          <w:color w:val="000000" w:themeColor="text1"/>
        </w:rPr>
        <w:t>130</w:t>
      </w:r>
      <w:r w:rsidR="00F110B9">
        <w:rPr>
          <w:rFonts w:ascii="Times New Roman" w:eastAsia="Times New Roman" w:hAnsi="Times New Roman" w:cs="Times New Roman"/>
          <w:color w:val="000000" w:themeColor="text1"/>
        </w:rPr>
        <w:t xml:space="preserve"> interested parties on </w:t>
      </w:r>
      <w:r w:rsidR="00D53A93">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22,</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2012</w:t>
      </w:r>
      <w:r w:rsidR="00F110B9">
        <w:rPr>
          <w:rFonts w:ascii="Times New Roman" w:eastAsia="Times New Roman" w:hAnsi="Times New Roman" w:cs="Times New Roman"/>
          <w:color w:val="000000" w:themeColor="text1"/>
        </w:rPr>
        <w:t>.</w:t>
      </w:r>
    </w:p>
    <w:p w:rsidR="00F110B9" w:rsidRPr="009C6788" w:rsidRDefault="00F110B9" w:rsidP="00F110B9">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sidR="00A00141">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F110B9" w:rsidRPr="00866F57" w:rsidRDefault="00F110B9" w:rsidP="00F110B9">
      <w:pPr>
        <w:pStyle w:val="ListParagraph"/>
        <w:numPr>
          <w:ilvl w:val="0"/>
          <w:numId w:val="16"/>
        </w:numPr>
        <w:spacing w:after="120"/>
        <w:ind w:left="1440" w:right="630"/>
        <w:outlineLvl w:val="0"/>
        <w:rPr>
          <w:rFonts w:ascii="Times New Roman" w:eastAsia="Times New Roman" w:hAnsi="Times New Roman" w:cs="Times New Roman"/>
          <w:color w:val="504938"/>
        </w:rPr>
      </w:pPr>
      <w:r>
        <w:rPr>
          <w:rFonts w:ascii="Times New Roman" w:eastAsia="Times New Roman" w:hAnsi="Times New Roman" w:cs="Times New Roman"/>
        </w:rPr>
        <w:t>Other</w:t>
      </w:r>
    </w:p>
    <w:p w:rsidR="00F110B9" w:rsidRDefault="00F110B9" w:rsidP="00F110B9">
      <w:pPr>
        <w:pStyle w:val="ListParagraph"/>
        <w:spacing w:after="120"/>
        <w:ind w:left="1440" w:right="630"/>
        <w:outlineLvl w:val="0"/>
        <w:rPr>
          <w:rFonts w:ascii="Times New Roman" w:eastAsia="Times New Roman" w:hAnsi="Times New Roman" w:cs="Times New Roman"/>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that was accessible by phone</w:t>
      </w:r>
      <w:r w:rsidR="000B7BCE">
        <w:rPr>
          <w:rFonts w:asciiTheme="minorHAnsi" w:eastAsia="Times New Roman" w:hAnsiTheme="minorHAnsi" w:cstheme="minorHAnsi"/>
          <w:bCs/>
          <w:color w:val="000000" w:themeColor="text1"/>
        </w:rPr>
        <w:t xml:space="preserve"> from DEQ’s Bend and Medford offices</w:t>
      </w:r>
      <w:r>
        <w:rPr>
          <w:rFonts w:asciiTheme="minorHAnsi" w:eastAsia="Times New Roman" w:hAnsiTheme="minorHAnsi" w:cstheme="minorHAnsi"/>
          <w:bCs/>
          <w:color w:val="000000" w:themeColor="text1"/>
        </w:rPr>
        <w:t>. Before taking public comment, DEQ describe</w:t>
      </w:r>
      <w:r w:rsidR="000B7BCE">
        <w:rPr>
          <w:rFonts w:asciiTheme="minorHAnsi" w:eastAsia="Times New Roman" w:hAnsiTheme="minorHAnsi" w:cstheme="minorHAnsi"/>
          <w:bCs/>
          <w:color w:val="000000" w:themeColor="text1"/>
        </w:rPr>
        <w:t>d</w:t>
      </w:r>
      <w:r>
        <w:rPr>
          <w:rFonts w:asciiTheme="minorHAnsi" w:eastAsia="Times New Roman" w:hAnsiTheme="minorHAnsi" w:cstheme="minorHAnsi"/>
          <w:bCs/>
          <w:color w:val="000000" w:themeColor="text1"/>
        </w:rPr>
        <w:t xml:space="preserv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373B13" w:rsidRDefault="00F110B9" w:rsidP="00F110B9">
      <w:pPr>
        <w:spacing w:after="120"/>
        <w:ind w:left="720" w:right="630"/>
        <w:outlineLvl w:val="0"/>
        <w:rPr>
          <w:rFonts w:asciiTheme="minorHAnsi" w:eastAsia="Times New Roman" w:hAnsiTheme="minorHAnsi" w:cstheme="minorHAnsi"/>
          <w:bCs/>
          <w:color w:val="000000" w:themeColor="text1"/>
          <w:u w:val="single"/>
        </w:rPr>
      </w:pPr>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0B7BCE">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F110B9">
      <w:pPr>
        <w:spacing w:after="120"/>
        <w:ind w:left="360"/>
        <w:outlineLvl w:val="0"/>
        <w:rPr>
          <w:rFonts w:asciiTheme="majorHAnsi" w:eastAsia="Times New Roman" w:hAnsiTheme="majorHAnsi" w:cstheme="majorHAnsi"/>
          <w:bCs/>
          <w:color w:val="504938"/>
          <w:sz w:val="22"/>
          <w:szCs w:val="22"/>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r w:rsidR="00A00141">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public comments. See the </w:t>
      </w:r>
      <w:r w:rsidRPr="00025EC3">
        <w:rPr>
          <w:rFonts w:asciiTheme="minorHAnsi" w:eastAsia="Times New Roman" w:hAnsiTheme="minorHAnsi" w:cstheme="minorHAnsi"/>
          <w:bCs/>
          <w:i/>
          <w:color w:val="000000" w:themeColor="text1"/>
        </w:rPr>
        <w:t>Summary of comments and DEQ responses</w:t>
      </w:r>
      <w:r>
        <w:rPr>
          <w:rFonts w:asciiTheme="minorHAnsi" w:eastAsia="Times New Roman" w:hAnsiTheme="minorHAnsi" w:cstheme="minorHAnsi"/>
          <w:bCs/>
          <w:color w:val="000000" w:themeColor="text1"/>
        </w:rPr>
        <w:t xml:space="preserve"> and </w:t>
      </w:r>
      <w:r w:rsidRPr="00025EC3">
        <w:rPr>
          <w:rFonts w:asciiTheme="minorHAnsi" w:eastAsia="Times New Roman" w:hAnsiTheme="minorHAnsi" w:cstheme="minorHAnsi"/>
          <w:bCs/>
          <w:i/>
          <w:color w:val="000000" w:themeColor="text1"/>
        </w:rPr>
        <w:t>Commenters</w:t>
      </w:r>
      <w:r>
        <w:rPr>
          <w:rFonts w:asciiTheme="minorHAnsi" w:eastAsia="Times New Roman" w:hAnsiTheme="minorHAnsi" w:cstheme="minorHAnsi"/>
          <w:bCs/>
          <w:color w:val="000000" w:themeColor="text1"/>
        </w:rPr>
        <w:t xml:space="preserve"> sections below.</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A00141">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28</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 xml:space="preserve">at </w:t>
      </w:r>
      <w:r w:rsidR="00A00141">
        <w:rPr>
          <w:rFonts w:asciiTheme="minorHAnsi" w:eastAsia="Times New Roman" w:hAnsiTheme="minorHAnsi" w:cstheme="minorHAnsi"/>
          <w:bCs/>
          <w:color w:val="000000" w:themeColor="text1"/>
        </w:rPr>
        <w:t>5</w:t>
      </w:r>
      <w:r>
        <w:rPr>
          <w:rFonts w:asciiTheme="minorHAnsi" w:eastAsia="Times New Roman" w:hAnsiTheme="minorHAnsi" w:cstheme="minorHAnsi"/>
          <w:bCs/>
          <w:color w:val="000000" w:themeColor="text1"/>
        </w:rPr>
        <w:t>:</w:t>
      </w:r>
      <w:r w:rsidR="00A00141">
        <w:rPr>
          <w:rFonts w:asciiTheme="minorHAnsi" w:eastAsia="Times New Roman" w:hAnsiTheme="minorHAnsi" w:cstheme="minorHAnsi"/>
          <w:bCs/>
          <w:color w:val="000000" w:themeColor="text1"/>
        </w:rPr>
        <w:t>00</w:t>
      </w:r>
      <w:r>
        <w:rPr>
          <w:rFonts w:asciiTheme="minorHAnsi" w:eastAsia="Times New Roman" w:hAnsiTheme="minorHAnsi" w:cstheme="minorHAnsi"/>
          <w:bCs/>
          <w:color w:val="000000" w:themeColor="text1"/>
        </w:rPr>
        <w:t xml:space="preserve"> p.m.</w:t>
      </w:r>
      <w:r w:rsidRPr="00643871">
        <w:rPr>
          <w:sz w:val="20"/>
          <w:szCs w:val="20"/>
        </w:rPr>
        <w:t xml:space="preserve"> </w:t>
      </w:r>
    </w:p>
    <w:tbl>
      <w:tblPr>
        <w:tblW w:w="12240" w:type="dxa"/>
        <w:tblInd w:w="-702" w:type="dxa"/>
        <w:tblLook w:val="04A0"/>
      </w:tblPr>
      <w:tblGrid>
        <w:gridCol w:w="12240"/>
      </w:tblGrid>
      <w:tr w:rsidR="00F110B9" w:rsidRPr="00B15DF7" w:rsidTr="000B7BCE">
        <w:trPr>
          <w:trHeight w:val="60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ascii="Times New Roman" w:eastAsia="Times New Roman" w:hAnsi="Times New Roman" w:cs="Times New Roman"/>
                <w:color w:val="32525C"/>
              </w:rPr>
              <w:lastRenderedPageBreak/>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table 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C54EC4">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7C3820" w:rsidRPr="00285C52" w:rsidRDefault="007C3820" w:rsidP="007C3820">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7C3820">
        <w:rPr>
          <w:rFonts w:ascii="Times New Roman" w:eastAsia="Times New Roman" w:hAnsi="Times New Roman" w:cs="Times New Roman"/>
          <w:b/>
          <w:color w:val="000000"/>
        </w:rPr>
        <w:t>Align Oregon’s Rules with Recent Changes to Federal Emission Standards</w:t>
      </w:r>
    </w:p>
    <w:p w:rsidR="006127C7" w:rsidRPr="006127C7" w:rsidRDefault="006127C7"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94C50" w:rsidRDefault="006127C7"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It is correct that </w:t>
      </w:r>
      <w:r w:rsidR="006138C2">
        <w:rPr>
          <w:rFonts w:asciiTheme="majorHAnsi" w:eastAsia="Times New Roman" w:hAnsiTheme="majorHAnsi" w:cstheme="majorHAnsi"/>
          <w:bCs/>
          <w:color w:val="463D38" w:themeColor="accent4" w:themeShade="80"/>
          <w:sz w:val="22"/>
          <w:szCs w:val="22"/>
        </w:rPr>
        <w:t xml:space="preserve">DEQ does </w:t>
      </w:r>
      <w:r w:rsidR="00094C50">
        <w:rPr>
          <w:rFonts w:asciiTheme="majorHAnsi" w:eastAsia="Times New Roman" w:hAnsiTheme="majorHAnsi" w:cstheme="majorHAnsi"/>
          <w:bCs/>
          <w:color w:val="463D38" w:themeColor="accent4" w:themeShade="80"/>
          <w:sz w:val="22"/>
          <w:szCs w:val="22"/>
        </w:rPr>
        <w:t xml:space="preserve">not </w:t>
      </w:r>
      <w:r w:rsidR="006138C2">
        <w:rPr>
          <w:rFonts w:asciiTheme="majorHAnsi" w:eastAsia="Times New Roman" w:hAnsiTheme="majorHAnsi" w:cstheme="majorHAnsi"/>
          <w:bCs/>
          <w:color w:val="463D38" w:themeColor="accent4" w:themeShade="80"/>
          <w:sz w:val="22"/>
          <w:szCs w:val="22"/>
        </w:rPr>
        <w:t>have authority to deny a</w:t>
      </w:r>
      <w:r w:rsidR="00094C50">
        <w:rPr>
          <w:rFonts w:asciiTheme="majorHAnsi" w:eastAsia="Times New Roman" w:hAnsiTheme="majorHAnsi" w:cstheme="majorHAnsi"/>
          <w:bCs/>
          <w:color w:val="463D38" w:themeColor="accent4" w:themeShade="80"/>
          <w:sz w:val="22"/>
          <w:szCs w:val="22"/>
        </w:rPr>
        <w:t>n eligible</w:t>
      </w:r>
      <w:r w:rsidR="006138C2">
        <w:rPr>
          <w:rFonts w:asciiTheme="majorHAnsi" w:eastAsia="Times New Roman" w:hAnsiTheme="majorHAnsi" w:cstheme="majorHAnsi"/>
          <w:bCs/>
          <w:color w:val="463D38" w:themeColor="accent4" w:themeShade="80"/>
          <w:sz w:val="22"/>
          <w:szCs w:val="22"/>
        </w:rPr>
        <w:t xml:space="preserve"> permit </w:t>
      </w:r>
      <w:r w:rsidR="00094C50">
        <w:rPr>
          <w:rFonts w:asciiTheme="majorHAnsi" w:eastAsia="Times New Roman" w:hAnsiTheme="majorHAnsi" w:cstheme="majorHAnsi"/>
          <w:bCs/>
          <w:color w:val="463D38" w:themeColor="accent4" w:themeShade="80"/>
          <w:sz w:val="22"/>
          <w:szCs w:val="22"/>
        </w:rPr>
        <w:t xml:space="preserve">based solely on public comment. However, DEQ can deny a permit </w:t>
      </w:r>
      <w:r w:rsidR="006138C2">
        <w:rPr>
          <w:rFonts w:asciiTheme="majorHAnsi" w:eastAsia="Times New Roman" w:hAnsiTheme="majorHAnsi" w:cstheme="majorHAnsi"/>
          <w:bCs/>
          <w:color w:val="463D38" w:themeColor="accent4" w:themeShade="80"/>
          <w:sz w:val="22"/>
          <w:szCs w:val="22"/>
        </w:rPr>
        <w:t xml:space="preserve">if a source is unable to meet applicable rules and regulations. </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Pr="002A039A"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the EQC for their consideration.</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Update the adoption by reference of previously adopted NESHAPs and NSPSs</w:t>
      </w:r>
      <w:r>
        <w:rPr>
          <w:rFonts w:asciiTheme="minorHAnsi" w:eastAsia="Times New Roman" w:hAnsiTheme="minorHAnsi" w:cstheme="minorHAnsi"/>
          <w:bCs/>
          <w:color w:val="000000" w:themeColor="text1"/>
        </w:rPr>
        <w:t>:</w:t>
      </w: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sidR="00DC5459">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sidR="00DC5459">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sidR="00DC5459">
        <w:rPr>
          <w:rFonts w:asciiTheme="minorHAnsi" w:eastAsia="Times New Roman" w:hAnsiTheme="minorHAnsi" w:cstheme="minorHAnsi"/>
          <w:bCs/>
          <w:color w:val="000000" w:themeColor="text1"/>
        </w:rPr>
        <w:t xml:space="preserve">publication in </w:t>
      </w:r>
      <w:r w:rsidR="00C54EC4">
        <w:rPr>
          <w:rFonts w:asciiTheme="minorHAnsi" w:eastAsia="Times New Roman" w:hAnsiTheme="minorHAnsi" w:cstheme="minorHAnsi"/>
          <w:bCs/>
          <w:color w:val="000000" w:themeColor="text1"/>
        </w:rPr>
        <w:t>the Federal Register, not the Code of Federal Regulations</w:t>
      </w:r>
      <w:r w:rsidRPr="00CF34D2">
        <w:rPr>
          <w:rFonts w:asciiTheme="minorHAnsi" w:eastAsia="Times New Roman" w:hAnsiTheme="minorHAnsi" w:cstheme="minorHAnsi"/>
          <w:bCs/>
          <w:color w:val="000000" w:themeColor="text1"/>
        </w:rPr>
        <w:t xml:space="preserve">. </w:t>
      </w:r>
    </w:p>
    <w:p w:rsidR="00285C52" w:rsidRDefault="00285C52"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DC5459">
        <w:rPr>
          <w:rFonts w:asciiTheme="minorHAnsi" w:eastAsia="Times New Roman" w:hAnsiTheme="minorHAnsi" w:cstheme="minorHAnsi"/>
          <w:bCs/>
          <w:color w:val="000000" w:themeColor="text1"/>
        </w:rPr>
        <w:t xml:space="preserve"> and 5</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T</w:t>
      </w:r>
      <w:r w:rsidR="0014327F">
        <w:rPr>
          <w:rFonts w:asciiTheme="majorHAnsi" w:eastAsia="Times New Roman" w:hAnsiTheme="majorHAnsi" w:cstheme="majorHAnsi"/>
          <w:bCs/>
          <w:color w:val="463D38" w:themeColor="accent4" w:themeShade="80"/>
          <w:sz w:val="22"/>
          <w:szCs w:val="22"/>
        </w:rPr>
        <w:t>he</w:t>
      </w:r>
      <w:r w:rsidR="00CB393A">
        <w:rPr>
          <w:rFonts w:asciiTheme="majorHAnsi" w:eastAsia="Times New Roman" w:hAnsiTheme="majorHAnsi" w:cstheme="majorHAnsi"/>
          <w:bCs/>
          <w:color w:val="463D38" w:themeColor="accent4" w:themeShade="80"/>
          <w:sz w:val="22"/>
          <w:szCs w:val="22"/>
        </w:rPr>
        <w:t xml:space="preserve"> </w:t>
      </w:r>
      <w:r w:rsidR="002F65DE">
        <w:rPr>
          <w:rFonts w:asciiTheme="majorHAnsi" w:eastAsia="Times New Roman" w:hAnsiTheme="majorHAnsi" w:cstheme="majorHAnsi"/>
          <w:bCs/>
          <w:color w:val="463D38" w:themeColor="accent4" w:themeShade="80"/>
          <w:sz w:val="22"/>
          <w:szCs w:val="22"/>
        </w:rPr>
        <w:t xml:space="preserve">problem with </w:t>
      </w:r>
      <w:r w:rsidR="0014327F">
        <w:rPr>
          <w:rFonts w:asciiTheme="majorHAnsi" w:eastAsia="Times New Roman" w:hAnsiTheme="majorHAnsi" w:cstheme="majorHAnsi"/>
          <w:bCs/>
          <w:color w:val="463D38" w:themeColor="accent4" w:themeShade="80"/>
          <w:sz w:val="22"/>
          <w:szCs w:val="22"/>
        </w:rPr>
        <w:t xml:space="preserve">incorporating federal rules by </w:t>
      </w:r>
      <w:r w:rsidR="002F65DE">
        <w:rPr>
          <w:rFonts w:asciiTheme="majorHAnsi" w:eastAsia="Times New Roman" w:hAnsiTheme="majorHAnsi" w:cstheme="majorHAnsi"/>
          <w:bCs/>
          <w:color w:val="463D38" w:themeColor="accent4" w:themeShade="80"/>
          <w:sz w:val="22"/>
          <w:szCs w:val="22"/>
        </w:rPr>
        <w:t>referencing the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is that DEQ would have to reference multiple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rule. </w:t>
      </w:r>
      <w:r w:rsidR="003E5832">
        <w:rPr>
          <w:rFonts w:asciiTheme="majorHAnsi" w:eastAsia="Times New Roman" w:hAnsiTheme="majorHAnsi" w:cstheme="majorHAnsi"/>
          <w:bCs/>
          <w:color w:val="463D38" w:themeColor="accent4" w:themeShade="80"/>
          <w:sz w:val="22"/>
          <w:szCs w:val="22"/>
        </w:rPr>
        <w:t>The CFR lists all F</w:t>
      </w:r>
      <w:r w:rsidR="008A1484">
        <w:rPr>
          <w:rFonts w:asciiTheme="majorHAnsi" w:eastAsia="Times New Roman" w:hAnsiTheme="majorHAnsi" w:cstheme="majorHAnsi"/>
          <w:bCs/>
          <w:color w:val="463D38" w:themeColor="accent4" w:themeShade="80"/>
          <w:sz w:val="22"/>
          <w:szCs w:val="22"/>
        </w:rPr>
        <w:t xml:space="preserve">ederal </w:t>
      </w:r>
      <w:r w:rsidR="003E5832">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3E5832">
        <w:rPr>
          <w:rFonts w:asciiTheme="majorHAnsi" w:eastAsia="Times New Roman" w:hAnsiTheme="majorHAnsi" w:cstheme="majorHAnsi"/>
          <w:bCs/>
          <w:color w:val="463D38" w:themeColor="accent4" w:themeShade="80"/>
          <w:sz w:val="22"/>
          <w:szCs w:val="22"/>
        </w:rPr>
        <w:t xml:space="preserve"> publications included in the CFR. </w:t>
      </w:r>
      <w:r w:rsidR="000D3783">
        <w:rPr>
          <w:rFonts w:asciiTheme="majorHAnsi" w:eastAsia="Times New Roman" w:hAnsiTheme="majorHAnsi" w:cstheme="majorHAnsi"/>
          <w:bCs/>
          <w:color w:val="463D38" w:themeColor="accent4" w:themeShade="80"/>
          <w:sz w:val="22"/>
          <w:szCs w:val="22"/>
        </w:rPr>
        <w:t>By referencing a specific CFR, the EQC adopt</w:t>
      </w:r>
      <w:r w:rsidR="00E52CA2">
        <w:rPr>
          <w:rFonts w:asciiTheme="majorHAnsi" w:eastAsia="Times New Roman" w:hAnsiTheme="majorHAnsi" w:cstheme="majorHAnsi"/>
          <w:bCs/>
          <w:color w:val="463D38" w:themeColor="accent4" w:themeShade="80"/>
          <w:sz w:val="22"/>
          <w:szCs w:val="22"/>
        </w:rPr>
        <w:t>s</w:t>
      </w:r>
      <w:r w:rsidR="000D3783">
        <w:rPr>
          <w:rFonts w:asciiTheme="majorHAnsi" w:eastAsia="Times New Roman" w:hAnsiTheme="majorHAnsi" w:cstheme="majorHAnsi"/>
          <w:bCs/>
          <w:color w:val="463D38" w:themeColor="accent4" w:themeShade="80"/>
          <w:sz w:val="22"/>
          <w:szCs w:val="22"/>
        </w:rPr>
        <w:t xml:space="preserve"> all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 xml:space="preserve">egister </w:t>
      </w:r>
      <w:r w:rsidR="000D3783">
        <w:rPr>
          <w:rFonts w:asciiTheme="majorHAnsi" w:eastAsia="Times New Roman" w:hAnsiTheme="majorHAnsi" w:cstheme="majorHAnsi"/>
          <w:bCs/>
          <w:color w:val="463D38" w:themeColor="accent4" w:themeShade="80"/>
          <w:sz w:val="22"/>
          <w:szCs w:val="22"/>
        </w:rPr>
        <w:t xml:space="preserve">publications </w:t>
      </w:r>
      <w:r w:rsidR="00D654F1">
        <w:rPr>
          <w:rFonts w:asciiTheme="majorHAnsi" w:eastAsia="Times New Roman" w:hAnsiTheme="majorHAnsi" w:cstheme="majorHAnsi"/>
          <w:bCs/>
          <w:color w:val="463D38" w:themeColor="accent4" w:themeShade="80"/>
          <w:sz w:val="22"/>
          <w:szCs w:val="22"/>
        </w:rPr>
        <w:t xml:space="preserve">that occurred </w:t>
      </w:r>
      <w:r w:rsidR="000D3783">
        <w:rPr>
          <w:rFonts w:asciiTheme="majorHAnsi" w:eastAsia="Times New Roman" w:hAnsiTheme="majorHAnsi" w:cstheme="majorHAnsi"/>
          <w:bCs/>
          <w:color w:val="463D38" w:themeColor="accent4" w:themeShade="80"/>
          <w:sz w:val="22"/>
          <w:szCs w:val="22"/>
        </w:rPr>
        <w:t xml:space="preserve">prior to </w:t>
      </w:r>
      <w:r w:rsidR="00D654F1">
        <w:rPr>
          <w:rFonts w:asciiTheme="majorHAnsi" w:eastAsia="Times New Roman" w:hAnsiTheme="majorHAnsi" w:cstheme="majorHAnsi"/>
          <w:bCs/>
          <w:color w:val="463D38" w:themeColor="accent4" w:themeShade="80"/>
          <w:sz w:val="22"/>
          <w:szCs w:val="22"/>
        </w:rPr>
        <w:t>p</w:t>
      </w:r>
      <w:r w:rsidR="000D3783">
        <w:rPr>
          <w:rFonts w:asciiTheme="majorHAnsi" w:eastAsia="Times New Roman" w:hAnsiTheme="majorHAnsi" w:cstheme="majorHAnsi"/>
          <w:bCs/>
          <w:color w:val="463D38" w:themeColor="accent4" w:themeShade="80"/>
          <w:sz w:val="22"/>
          <w:szCs w:val="22"/>
        </w:rPr>
        <w:t>ublication of th</w:t>
      </w:r>
      <w:r w:rsidR="00E52CA2">
        <w:rPr>
          <w:rFonts w:asciiTheme="majorHAnsi" w:eastAsia="Times New Roman" w:hAnsiTheme="majorHAnsi" w:cstheme="majorHAnsi"/>
          <w:bCs/>
          <w:color w:val="463D38" w:themeColor="accent4" w:themeShade="80"/>
          <w:sz w:val="22"/>
          <w:szCs w:val="22"/>
        </w:rPr>
        <w:t>e</w:t>
      </w:r>
      <w:r w:rsidR="000D3783">
        <w:rPr>
          <w:rFonts w:asciiTheme="majorHAnsi" w:eastAsia="Times New Roman" w:hAnsiTheme="majorHAnsi" w:cstheme="majorHAnsi"/>
          <w:bCs/>
          <w:color w:val="463D38" w:themeColor="accent4" w:themeShade="80"/>
          <w:sz w:val="22"/>
          <w:szCs w:val="22"/>
        </w:rPr>
        <w:t xml:space="preserve"> CFR.</w:t>
      </w:r>
      <w:r w:rsidR="00E52CA2">
        <w:rPr>
          <w:rFonts w:asciiTheme="majorHAnsi" w:eastAsia="Times New Roman" w:hAnsiTheme="majorHAnsi" w:cstheme="majorHAnsi"/>
          <w:bCs/>
          <w:color w:val="463D38" w:themeColor="accent4" w:themeShade="80"/>
          <w:sz w:val="22"/>
          <w:szCs w:val="22"/>
        </w:rPr>
        <w:t xml:space="preserve"> </w:t>
      </w:r>
    </w:p>
    <w:p w:rsidR="00285C52" w:rsidRDefault="00285C52" w:rsidP="00285C52">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0D3783"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w:t>
      </w:r>
      <w:r w:rsidR="00706066" w:rsidRPr="009B225C">
        <w:rPr>
          <w:rFonts w:asciiTheme="minorHAnsi" w:eastAsia="Times New Roman" w:hAnsiTheme="minorHAnsi" w:cstheme="minorHAnsi"/>
          <w:bCs/>
          <w:color w:val="000000" w:themeColor="text1"/>
        </w:rPr>
        <w:t xml:space="preserve">sections </w:t>
      </w:r>
      <w:r w:rsidRPr="009B225C">
        <w:rPr>
          <w:rFonts w:asciiTheme="minorHAnsi" w:eastAsia="Times New Roman" w:hAnsiTheme="minorHAnsi" w:cstheme="minorHAnsi"/>
          <w:bCs/>
          <w:color w:val="000000" w:themeColor="text1"/>
        </w:rPr>
        <w:t xml:space="preserve">to determine what requirements have been incorporated into DEQ rules. </w:t>
      </w:r>
    </w:p>
    <w:p w:rsidR="009B225C" w:rsidRP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lastRenderedPageBreak/>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F65DE">
        <w:rPr>
          <w:rFonts w:asciiTheme="majorHAnsi" w:eastAsia="Times New Roman" w:hAnsiTheme="majorHAnsi" w:cstheme="majorHAnsi"/>
          <w:bCs/>
          <w:color w:val="463D38" w:themeColor="accent4" w:themeShade="80"/>
          <w:sz w:val="22"/>
          <w:szCs w:val="22"/>
        </w:rPr>
        <w:t xml:space="preserve">   </w:t>
      </w:r>
      <w:r w:rsidR="009B225C">
        <w:rPr>
          <w:rFonts w:asciiTheme="majorHAnsi" w:eastAsia="Times New Roman" w:hAnsiTheme="majorHAnsi" w:cstheme="majorHAnsi"/>
          <w:bCs/>
          <w:color w:val="463D38" w:themeColor="accent4" w:themeShade="80"/>
          <w:sz w:val="22"/>
          <w:szCs w:val="22"/>
        </w:rPr>
        <w:t>A</w:t>
      </w:r>
      <w:r w:rsidR="000D3783">
        <w:rPr>
          <w:rFonts w:asciiTheme="majorHAnsi" w:eastAsia="Times New Roman" w:hAnsiTheme="majorHAnsi" w:cstheme="majorHAnsi"/>
          <w:bCs/>
          <w:color w:val="463D38" w:themeColor="accent4" w:themeShade="80"/>
          <w:sz w:val="22"/>
          <w:szCs w:val="22"/>
        </w:rPr>
        <w:t xml:space="preserve"> given federal rule may be changed in multiple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0D3783">
        <w:rPr>
          <w:rFonts w:asciiTheme="majorHAnsi" w:eastAsia="Times New Roman" w:hAnsiTheme="majorHAnsi" w:cstheme="majorHAnsi"/>
          <w:bCs/>
          <w:color w:val="463D38" w:themeColor="accent4" w:themeShade="80"/>
          <w:sz w:val="22"/>
          <w:szCs w:val="22"/>
        </w:rPr>
        <w:t xml:space="preserve"> publications. </w:t>
      </w:r>
      <w:r w:rsidR="009B225C">
        <w:rPr>
          <w:rFonts w:asciiTheme="majorHAnsi" w:eastAsia="Times New Roman" w:hAnsiTheme="majorHAnsi" w:cstheme="majorHAnsi"/>
          <w:bCs/>
          <w:color w:val="463D38" w:themeColor="accent4" w:themeShade="80"/>
          <w:sz w:val="22"/>
          <w:szCs w:val="22"/>
        </w:rPr>
        <w:t>However, w</w:t>
      </w:r>
      <w:r w:rsidR="00D654F1">
        <w:rPr>
          <w:rFonts w:asciiTheme="majorHAnsi" w:eastAsia="Times New Roman" w:hAnsiTheme="majorHAnsi" w:cstheme="majorHAnsi"/>
          <w:bCs/>
          <w:color w:val="463D38" w:themeColor="accent4" w:themeShade="80"/>
          <w:sz w:val="22"/>
          <w:szCs w:val="22"/>
        </w:rPr>
        <w:t>hen a federal rule is changed, the F</w:t>
      </w:r>
      <w:r w:rsidR="008A1484">
        <w:rPr>
          <w:rFonts w:asciiTheme="majorHAnsi" w:eastAsia="Times New Roman" w:hAnsiTheme="majorHAnsi" w:cstheme="majorHAnsi"/>
          <w:bCs/>
          <w:color w:val="463D38" w:themeColor="accent4" w:themeShade="80"/>
          <w:sz w:val="22"/>
          <w:szCs w:val="22"/>
        </w:rPr>
        <w:t xml:space="preserve">ederal </w:t>
      </w:r>
      <w:r w:rsidR="00D654F1">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654F1">
        <w:rPr>
          <w:rFonts w:asciiTheme="majorHAnsi" w:eastAsia="Times New Roman" w:hAnsiTheme="majorHAnsi" w:cstheme="majorHAnsi"/>
          <w:bCs/>
          <w:color w:val="463D38" w:themeColor="accent4" w:themeShade="80"/>
          <w:sz w:val="22"/>
          <w:szCs w:val="22"/>
        </w:rPr>
        <w:t xml:space="preserve"> publication typically only lists the sentence</w:t>
      </w:r>
      <w:r w:rsidR="00DC5459">
        <w:rPr>
          <w:rFonts w:asciiTheme="majorHAnsi" w:eastAsia="Times New Roman" w:hAnsiTheme="majorHAnsi" w:cstheme="majorHAnsi"/>
          <w:bCs/>
          <w:color w:val="463D38" w:themeColor="accent4" w:themeShade="80"/>
          <w:sz w:val="22"/>
          <w:szCs w:val="22"/>
        </w:rPr>
        <w:t>(s)</w:t>
      </w:r>
      <w:r w:rsidR="00D654F1">
        <w:rPr>
          <w:rFonts w:asciiTheme="majorHAnsi" w:eastAsia="Times New Roman" w:hAnsiTheme="majorHAnsi" w:cstheme="majorHAnsi"/>
          <w:bCs/>
          <w:color w:val="463D38" w:themeColor="accent4" w:themeShade="80"/>
          <w:sz w:val="22"/>
          <w:szCs w:val="22"/>
        </w:rPr>
        <w:t xml:space="preserve"> and/or paragraph</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s</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 xml:space="preserve"> that </w:t>
      </w:r>
      <w:r w:rsidR="003E5832">
        <w:rPr>
          <w:rFonts w:asciiTheme="majorHAnsi" w:eastAsia="Times New Roman" w:hAnsiTheme="majorHAnsi" w:cstheme="majorHAnsi"/>
          <w:bCs/>
          <w:color w:val="463D38" w:themeColor="accent4" w:themeShade="80"/>
          <w:sz w:val="22"/>
          <w:szCs w:val="22"/>
        </w:rPr>
        <w:t>is</w:t>
      </w:r>
      <w:r w:rsidR="00D654F1">
        <w:rPr>
          <w:rFonts w:asciiTheme="majorHAnsi" w:eastAsia="Times New Roman" w:hAnsiTheme="majorHAnsi" w:cstheme="majorHAnsi"/>
          <w:bCs/>
          <w:color w:val="463D38" w:themeColor="accent4" w:themeShade="80"/>
          <w:sz w:val="22"/>
          <w:szCs w:val="22"/>
        </w:rPr>
        <w:t xml:space="preserve"> being changed, not the entire rule. </w:t>
      </w:r>
      <w:r w:rsidR="000D3783">
        <w:rPr>
          <w:rFonts w:asciiTheme="majorHAnsi" w:eastAsia="Times New Roman" w:hAnsiTheme="majorHAnsi" w:cstheme="majorHAnsi"/>
          <w:bCs/>
          <w:color w:val="463D38" w:themeColor="accent4" w:themeShade="80"/>
          <w:sz w:val="22"/>
          <w:szCs w:val="22"/>
        </w:rPr>
        <w:t xml:space="preserve">The CFR merges all those </w:t>
      </w:r>
      <w:r w:rsidR="00DC5459">
        <w:rPr>
          <w:rFonts w:asciiTheme="majorHAnsi" w:eastAsia="Times New Roman" w:hAnsiTheme="majorHAnsi" w:cstheme="majorHAnsi"/>
          <w:bCs/>
          <w:color w:val="463D38" w:themeColor="accent4" w:themeShade="80"/>
          <w:sz w:val="22"/>
          <w:szCs w:val="22"/>
        </w:rPr>
        <w:t>F</w:t>
      </w:r>
      <w:r w:rsidR="008A1484">
        <w:rPr>
          <w:rFonts w:asciiTheme="majorHAnsi" w:eastAsia="Times New Roman" w:hAnsiTheme="majorHAnsi" w:cstheme="majorHAnsi"/>
          <w:bCs/>
          <w:color w:val="463D38" w:themeColor="accent4" w:themeShade="80"/>
          <w:sz w:val="22"/>
          <w:szCs w:val="22"/>
        </w:rPr>
        <w:t xml:space="preserve">ederal </w:t>
      </w:r>
      <w:r w:rsidR="00DC5459">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C5459">
        <w:rPr>
          <w:rFonts w:asciiTheme="majorHAnsi" w:eastAsia="Times New Roman" w:hAnsiTheme="majorHAnsi" w:cstheme="majorHAnsi"/>
          <w:bCs/>
          <w:color w:val="463D38" w:themeColor="accent4" w:themeShade="80"/>
          <w:sz w:val="22"/>
          <w:szCs w:val="22"/>
        </w:rPr>
        <w:t xml:space="preserve"> publications </w:t>
      </w:r>
      <w:r w:rsidR="000D3783">
        <w:rPr>
          <w:rFonts w:asciiTheme="majorHAnsi" w:eastAsia="Times New Roman" w:hAnsiTheme="majorHAnsi" w:cstheme="majorHAnsi"/>
          <w:bCs/>
          <w:color w:val="463D38" w:themeColor="accent4" w:themeShade="80"/>
          <w:sz w:val="22"/>
          <w:szCs w:val="22"/>
        </w:rPr>
        <w:t xml:space="preserve">and shows </w:t>
      </w:r>
      <w:r w:rsidR="00DC5459">
        <w:rPr>
          <w:rFonts w:asciiTheme="majorHAnsi" w:eastAsia="Times New Roman" w:hAnsiTheme="majorHAnsi" w:cstheme="majorHAnsi"/>
          <w:bCs/>
          <w:color w:val="463D38" w:themeColor="accent4" w:themeShade="80"/>
          <w:sz w:val="22"/>
          <w:szCs w:val="22"/>
        </w:rPr>
        <w:t xml:space="preserve">the </w:t>
      </w:r>
      <w:r w:rsidR="000D3783">
        <w:rPr>
          <w:rFonts w:asciiTheme="majorHAnsi" w:eastAsia="Times New Roman" w:hAnsiTheme="majorHAnsi" w:cstheme="majorHAnsi"/>
          <w:bCs/>
          <w:color w:val="463D38" w:themeColor="accent4" w:themeShade="80"/>
          <w:sz w:val="22"/>
          <w:szCs w:val="22"/>
        </w:rPr>
        <w:t xml:space="preserve">version of the </w:t>
      </w:r>
      <w:r w:rsidR="009B225C">
        <w:rPr>
          <w:rFonts w:asciiTheme="majorHAnsi" w:eastAsia="Times New Roman" w:hAnsiTheme="majorHAnsi" w:cstheme="majorHAnsi"/>
          <w:bCs/>
          <w:color w:val="463D38" w:themeColor="accent4" w:themeShade="80"/>
          <w:sz w:val="22"/>
          <w:szCs w:val="22"/>
        </w:rPr>
        <w:t xml:space="preserve">federal </w:t>
      </w:r>
      <w:r w:rsidR="000D3783">
        <w:rPr>
          <w:rFonts w:asciiTheme="majorHAnsi" w:eastAsia="Times New Roman" w:hAnsiTheme="majorHAnsi" w:cstheme="majorHAnsi"/>
          <w:bCs/>
          <w:color w:val="463D38" w:themeColor="accent4" w:themeShade="80"/>
          <w:sz w:val="22"/>
          <w:szCs w:val="22"/>
        </w:rPr>
        <w:t xml:space="preserve">rule </w:t>
      </w:r>
      <w:r w:rsidR="00DC5459">
        <w:rPr>
          <w:rFonts w:asciiTheme="majorHAnsi" w:eastAsia="Times New Roman" w:hAnsiTheme="majorHAnsi" w:cstheme="majorHAnsi"/>
          <w:bCs/>
          <w:color w:val="463D38" w:themeColor="accent4" w:themeShade="80"/>
          <w:sz w:val="22"/>
          <w:szCs w:val="22"/>
        </w:rPr>
        <w:t xml:space="preserve">that </w:t>
      </w:r>
      <w:r w:rsidR="00D654F1">
        <w:rPr>
          <w:rFonts w:asciiTheme="majorHAnsi" w:eastAsia="Times New Roman" w:hAnsiTheme="majorHAnsi" w:cstheme="majorHAnsi"/>
          <w:bCs/>
          <w:color w:val="463D38" w:themeColor="accent4" w:themeShade="80"/>
          <w:sz w:val="22"/>
          <w:szCs w:val="22"/>
        </w:rPr>
        <w:t xml:space="preserve">exists </w:t>
      </w:r>
      <w:r w:rsidR="000D3783">
        <w:rPr>
          <w:rFonts w:asciiTheme="majorHAnsi" w:eastAsia="Times New Roman" w:hAnsiTheme="majorHAnsi" w:cstheme="majorHAnsi"/>
          <w:bCs/>
          <w:color w:val="463D38" w:themeColor="accent4" w:themeShade="80"/>
          <w:sz w:val="22"/>
          <w:szCs w:val="22"/>
        </w:rPr>
        <w:t xml:space="preserve">at the time the CFR is published. </w:t>
      </w:r>
    </w:p>
    <w:p w:rsidR="009B225C" w:rsidRDefault="009B225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9B225C" w:rsidRPr="000D3783" w:rsidRDefault="009B225C" w:rsidP="009B225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proofErr w:type="gramStart"/>
      <w:r w:rsidRPr="000D3783">
        <w:rPr>
          <w:rFonts w:asciiTheme="majorHAnsi" w:eastAsia="Times New Roman" w:hAnsiTheme="majorHAnsi" w:cstheme="majorHAnsi"/>
          <w:b/>
          <w:bCs/>
          <w:color w:val="463D38" w:themeColor="accent4" w:themeShade="80"/>
          <w:sz w:val="22"/>
          <w:szCs w:val="22"/>
        </w:rPr>
        <w:t>Comment</w:t>
      </w:r>
      <w:proofErr w:type="gramEnd"/>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points to a specific publication that won’t change and eliminates confusion to what versions of the rules are incorporated by reference.</w:t>
      </w:r>
    </w:p>
    <w:p w:rsid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9B225C" w:rsidRPr="000E5ECC" w:rsidRDefault="009B225C" w:rsidP="009B225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B225C" w:rsidRPr="002F5550" w:rsidRDefault="009B225C" w:rsidP="009B225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B225C" w:rsidRDefault="009B225C" w:rsidP="009B225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w:t>
      </w:r>
      <w:r w:rsidR="00A44766">
        <w:rPr>
          <w:rFonts w:asciiTheme="majorHAnsi" w:eastAsia="Times New Roman" w:hAnsiTheme="majorHAnsi" w:cstheme="majorHAnsi"/>
          <w:bCs/>
          <w:color w:val="463D38" w:themeColor="accent4" w:themeShade="80"/>
          <w:sz w:val="22"/>
          <w:szCs w:val="22"/>
        </w:rPr>
        <w:t xml:space="preserve"> by the EQC</w:t>
      </w:r>
      <w:r>
        <w:rPr>
          <w:rFonts w:asciiTheme="majorHAnsi" w:eastAsia="Times New Roman" w:hAnsiTheme="majorHAnsi" w:cstheme="majorHAnsi"/>
          <w:bCs/>
          <w:color w:val="463D38" w:themeColor="accent4" w:themeShade="80"/>
          <w:sz w:val="22"/>
          <w:szCs w:val="22"/>
        </w:rPr>
        <w:t xml:space="preserve">. Any </w:t>
      </w:r>
      <w:r w:rsidR="00A44766">
        <w:rPr>
          <w:rFonts w:asciiTheme="majorHAnsi" w:eastAsia="Times New Roman" w:hAnsiTheme="majorHAnsi" w:cstheme="majorHAnsi"/>
          <w:bCs/>
          <w:color w:val="463D38" w:themeColor="accent4" w:themeShade="80"/>
          <w:sz w:val="22"/>
          <w:szCs w:val="22"/>
        </w:rPr>
        <w:t xml:space="preserve">changes to a rule that are </w:t>
      </w:r>
      <w:r>
        <w:rPr>
          <w:rFonts w:asciiTheme="majorHAnsi" w:eastAsia="Times New Roman" w:hAnsiTheme="majorHAnsi" w:cstheme="majorHAnsi"/>
          <w:bCs/>
          <w:color w:val="463D38" w:themeColor="accent4" w:themeShade="80"/>
          <w:sz w:val="22"/>
          <w:szCs w:val="22"/>
        </w:rPr>
        <w:t xml:space="preserve">published </w:t>
      </w:r>
      <w:r w:rsidR="00A44766">
        <w:rPr>
          <w:rFonts w:asciiTheme="majorHAnsi" w:eastAsia="Times New Roman" w:hAnsiTheme="majorHAnsi" w:cstheme="majorHAnsi"/>
          <w:bCs/>
          <w:color w:val="463D38" w:themeColor="accent4" w:themeShade="80"/>
          <w:sz w:val="22"/>
          <w:szCs w:val="22"/>
        </w:rPr>
        <w:t>in the F</w:t>
      </w:r>
      <w:r w:rsidR="008A1484">
        <w:rPr>
          <w:rFonts w:asciiTheme="majorHAnsi" w:eastAsia="Times New Roman" w:hAnsiTheme="majorHAnsi" w:cstheme="majorHAnsi"/>
          <w:bCs/>
          <w:color w:val="463D38" w:themeColor="accent4" w:themeShade="80"/>
          <w:sz w:val="22"/>
          <w:szCs w:val="22"/>
        </w:rPr>
        <w:t xml:space="preserve">ederal </w:t>
      </w:r>
      <w:r w:rsidR="00A44766">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after this date </w:t>
      </w:r>
      <w:r w:rsidR="00A44766">
        <w:rPr>
          <w:rFonts w:asciiTheme="majorHAnsi" w:eastAsia="Times New Roman" w:hAnsiTheme="majorHAnsi" w:cstheme="majorHAnsi"/>
          <w:bCs/>
          <w:color w:val="463D38" w:themeColor="accent4" w:themeShade="80"/>
          <w:sz w:val="22"/>
          <w:szCs w:val="22"/>
        </w:rPr>
        <w:t>are</w:t>
      </w:r>
      <w:r>
        <w:rPr>
          <w:rFonts w:asciiTheme="majorHAnsi" w:eastAsia="Times New Roman" w:hAnsiTheme="majorHAnsi" w:cstheme="majorHAnsi"/>
          <w:bCs/>
          <w:color w:val="463D38" w:themeColor="accent4" w:themeShade="80"/>
          <w:sz w:val="22"/>
          <w:szCs w:val="22"/>
        </w:rPr>
        <w:t xml:space="preserve"> not incorporated into </w:t>
      </w:r>
      <w:r w:rsidR="00A44766">
        <w:rPr>
          <w:rFonts w:asciiTheme="majorHAnsi" w:eastAsia="Times New Roman" w:hAnsiTheme="majorHAnsi" w:cstheme="majorHAnsi"/>
          <w:bCs/>
          <w:color w:val="463D38" w:themeColor="accent4" w:themeShade="80"/>
          <w:sz w:val="22"/>
          <w:szCs w:val="22"/>
        </w:rPr>
        <w:t>that CFR</w:t>
      </w:r>
      <w:r w:rsidR="00094C50">
        <w:rPr>
          <w:rFonts w:asciiTheme="majorHAnsi" w:eastAsia="Times New Roman" w:hAnsiTheme="majorHAnsi" w:cstheme="majorHAnsi"/>
          <w:bCs/>
          <w:color w:val="463D38" w:themeColor="accent4" w:themeShade="80"/>
          <w:sz w:val="22"/>
          <w:szCs w:val="22"/>
        </w:rPr>
        <w:t xml:space="preserve"> and therefore not </w:t>
      </w:r>
      <w:r w:rsidR="00A44766">
        <w:rPr>
          <w:rFonts w:asciiTheme="majorHAnsi" w:eastAsia="Times New Roman" w:hAnsiTheme="majorHAnsi" w:cstheme="majorHAnsi"/>
          <w:bCs/>
          <w:color w:val="463D38" w:themeColor="accent4" w:themeShade="80"/>
          <w:sz w:val="22"/>
          <w:szCs w:val="22"/>
        </w:rPr>
        <w:t xml:space="preserve">incorporated into </w:t>
      </w:r>
      <w:r w:rsidR="00094C50">
        <w:rPr>
          <w:rFonts w:asciiTheme="majorHAnsi" w:eastAsia="Times New Roman" w:hAnsiTheme="majorHAnsi" w:cstheme="majorHAnsi"/>
          <w:bCs/>
          <w:color w:val="463D38" w:themeColor="accent4" w:themeShade="80"/>
          <w:sz w:val="22"/>
          <w:szCs w:val="22"/>
        </w:rPr>
        <w:t>DEQ rules</w:t>
      </w:r>
      <w:r>
        <w:rPr>
          <w:rFonts w:asciiTheme="majorHAnsi" w:eastAsia="Times New Roman" w:hAnsiTheme="majorHAnsi" w:cstheme="majorHAnsi"/>
          <w:bCs/>
          <w:color w:val="463D38" w:themeColor="accent4" w:themeShade="80"/>
          <w:sz w:val="22"/>
          <w:szCs w:val="22"/>
        </w:rPr>
        <w:t>.</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0D3783" w:rsidRDefault="000D3783"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DD19DC"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contains the preamble which explains the rule in detail, provides additional information, and eliminates any additional confusion.        </w:t>
      </w:r>
      <w:r w:rsidRPr="00841755">
        <w:rPr>
          <w:rFonts w:asciiTheme="minorHAnsi" w:eastAsia="Times New Roman" w:hAnsiTheme="minorHAnsi" w:cstheme="minorHAnsi"/>
          <w:bCs/>
          <w:color w:val="000000" w:themeColor="text1"/>
        </w:rPr>
        <w:t xml:space="preserve"> </w:t>
      </w:r>
    </w:p>
    <w:p w:rsidR="00DD19DC" w:rsidRDefault="00DD19DC" w:rsidP="00DD19D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6138C2">
        <w:rPr>
          <w:rFonts w:asciiTheme="majorHAnsi" w:eastAsia="Times New Roman" w:hAnsiTheme="majorHAnsi" w:cstheme="majorHAnsi"/>
          <w:bCs/>
          <w:color w:val="463D38" w:themeColor="accent4" w:themeShade="80"/>
          <w:sz w:val="22"/>
          <w:szCs w:val="22"/>
        </w:rPr>
        <w:t>DEQ</w:t>
      </w:r>
      <w:r w:rsidR="002F65DE">
        <w:rPr>
          <w:rFonts w:asciiTheme="majorHAnsi" w:eastAsia="Times New Roman" w:hAnsiTheme="majorHAnsi" w:cstheme="majorHAnsi"/>
          <w:bCs/>
          <w:color w:val="463D38" w:themeColor="accent4" w:themeShade="80"/>
          <w:sz w:val="22"/>
          <w:szCs w:val="22"/>
        </w:rPr>
        <w:t xml:space="preserve"> agree</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that the preamble contains important information on the federal standards. </w:t>
      </w:r>
      <w:r w:rsidR="002D1C93">
        <w:rPr>
          <w:rFonts w:asciiTheme="majorHAnsi" w:eastAsia="Times New Roman" w:hAnsiTheme="majorHAnsi" w:cstheme="majorHAnsi"/>
          <w:bCs/>
          <w:color w:val="463D38" w:themeColor="accent4" w:themeShade="80"/>
          <w:sz w:val="22"/>
          <w:szCs w:val="22"/>
        </w:rPr>
        <w:t xml:space="preserve">DEQ will attach a list of FR publications which occurred between July 1, 2010 and July 1, 2012. </w:t>
      </w:r>
      <w:r w:rsidR="002F65DE">
        <w:rPr>
          <w:rFonts w:asciiTheme="majorHAnsi" w:eastAsia="Times New Roman" w:hAnsiTheme="majorHAnsi" w:cstheme="majorHAnsi"/>
          <w:bCs/>
          <w:color w:val="463D38" w:themeColor="accent4" w:themeShade="80"/>
          <w:sz w:val="22"/>
          <w:szCs w:val="22"/>
        </w:rPr>
        <w:t xml:space="preserve">The CFR </w:t>
      </w:r>
      <w:r w:rsidR="002D1C93">
        <w:rPr>
          <w:rFonts w:asciiTheme="majorHAnsi" w:eastAsia="Times New Roman" w:hAnsiTheme="majorHAnsi" w:cstheme="majorHAnsi"/>
          <w:bCs/>
          <w:color w:val="463D38" w:themeColor="accent4" w:themeShade="80"/>
          <w:sz w:val="22"/>
          <w:szCs w:val="22"/>
        </w:rPr>
        <w:t xml:space="preserve">also </w:t>
      </w:r>
      <w:r w:rsidR="002F65DE">
        <w:rPr>
          <w:rFonts w:asciiTheme="majorHAnsi" w:eastAsia="Times New Roman" w:hAnsiTheme="majorHAnsi" w:cstheme="majorHAnsi"/>
          <w:bCs/>
          <w:color w:val="463D38" w:themeColor="accent4" w:themeShade="80"/>
          <w:sz w:val="22"/>
          <w:szCs w:val="22"/>
        </w:rPr>
        <w:t>contain</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a list of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federal </w:t>
      </w:r>
      <w:r w:rsidR="00A44766">
        <w:rPr>
          <w:rFonts w:asciiTheme="majorHAnsi" w:eastAsia="Times New Roman" w:hAnsiTheme="majorHAnsi" w:cstheme="majorHAnsi"/>
          <w:bCs/>
          <w:color w:val="463D38" w:themeColor="accent4" w:themeShade="80"/>
          <w:sz w:val="22"/>
          <w:szCs w:val="22"/>
        </w:rPr>
        <w:t>rule</w:t>
      </w:r>
      <w:r w:rsidR="00D654F1">
        <w:rPr>
          <w:rFonts w:asciiTheme="majorHAnsi" w:eastAsia="Times New Roman" w:hAnsiTheme="majorHAnsi" w:cstheme="majorHAnsi"/>
          <w:bCs/>
          <w:color w:val="463D38" w:themeColor="accent4" w:themeShade="80"/>
          <w:sz w:val="22"/>
          <w:szCs w:val="22"/>
        </w:rPr>
        <w:t>.</w:t>
      </w:r>
      <w:r w:rsidR="002F65DE">
        <w:rPr>
          <w:rFonts w:asciiTheme="majorHAnsi" w:eastAsia="Times New Roman" w:hAnsiTheme="majorHAnsi" w:cstheme="majorHAnsi"/>
          <w:bCs/>
          <w:color w:val="463D38" w:themeColor="accent4" w:themeShade="80"/>
          <w:sz w:val="22"/>
          <w:szCs w:val="22"/>
        </w:rPr>
        <w:t xml:space="preserve"> </w:t>
      </w:r>
      <w:r w:rsidR="00D654F1">
        <w:rPr>
          <w:rFonts w:asciiTheme="majorHAnsi" w:eastAsia="Times New Roman" w:hAnsiTheme="majorHAnsi" w:cstheme="majorHAnsi"/>
          <w:bCs/>
          <w:color w:val="463D38" w:themeColor="accent4" w:themeShade="80"/>
          <w:sz w:val="22"/>
          <w:szCs w:val="22"/>
        </w:rPr>
        <w:t xml:space="preserve">CFRs </w:t>
      </w:r>
      <w:r w:rsidR="00A44766">
        <w:rPr>
          <w:rFonts w:asciiTheme="majorHAnsi" w:eastAsia="Times New Roman" w:hAnsiTheme="majorHAnsi" w:cstheme="majorHAnsi"/>
          <w:bCs/>
          <w:color w:val="463D38" w:themeColor="accent4" w:themeShade="80"/>
          <w:sz w:val="22"/>
          <w:szCs w:val="22"/>
        </w:rPr>
        <w:t xml:space="preserve">dating back to 1996 </w:t>
      </w:r>
      <w:r w:rsidR="002F65DE">
        <w:rPr>
          <w:rFonts w:asciiTheme="majorHAnsi" w:eastAsia="Times New Roman" w:hAnsiTheme="majorHAnsi" w:cstheme="majorHAnsi"/>
          <w:bCs/>
          <w:color w:val="463D38" w:themeColor="accent4" w:themeShade="80"/>
          <w:sz w:val="22"/>
          <w:szCs w:val="22"/>
        </w:rPr>
        <w:t xml:space="preserve">can be found at: </w:t>
      </w:r>
      <w:hyperlink r:id="rId27" w:history="1">
        <w:r w:rsidR="002F65DE" w:rsidRPr="00D654F1">
          <w:rPr>
            <w:rStyle w:val="Hyperlink"/>
            <w:rFonts w:ascii="Times New Roman" w:hAnsi="Times New Roman" w:cs="Times New Roman"/>
            <w:sz w:val="22"/>
            <w:szCs w:val="22"/>
          </w:rPr>
          <w:t>http://www.gpo.gov/fdsys/browse/collectionCfr.action?collectionCode=CFR</w:t>
        </w:r>
      </w:hyperlink>
      <w:r w:rsidR="002F65DE">
        <w:rPr>
          <w:rFonts w:asciiTheme="majorHAnsi" w:eastAsia="Times New Roman" w:hAnsiTheme="majorHAnsi" w:cstheme="majorHAnsi"/>
          <w:bCs/>
          <w:color w:val="463D38" w:themeColor="accent4" w:themeShade="80"/>
          <w:sz w:val="22"/>
          <w:szCs w:val="22"/>
        </w:rPr>
        <w:t>.</w:t>
      </w:r>
    </w:p>
    <w:p w:rsidR="00DD19DC" w:rsidRDefault="00DD19DC" w:rsidP="00DD19DC">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7C3820" w:rsidRDefault="007C3820" w:rsidP="007C3820">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7C3820" w:rsidRDefault="007C3820"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6138C2">
        <w:rPr>
          <w:rFonts w:asciiTheme="majorHAnsi" w:eastAsia="Times New Roman" w:hAnsiTheme="majorHAnsi" w:cstheme="majorHAnsi"/>
          <w:bCs/>
          <w:color w:val="463D38" w:themeColor="accent4" w:themeShade="80"/>
          <w:sz w:val="22"/>
          <w:szCs w:val="22"/>
        </w:rPr>
        <w:t xml:space="preserve">   Thank you for your comment. </w:t>
      </w:r>
      <w:r w:rsidR="00D654F1">
        <w:rPr>
          <w:rFonts w:asciiTheme="majorHAnsi" w:eastAsia="Times New Roman" w:hAnsiTheme="majorHAnsi" w:cstheme="majorHAnsi"/>
          <w:bCs/>
          <w:color w:val="463D38" w:themeColor="accent4" w:themeShade="80"/>
          <w:sz w:val="22"/>
          <w:szCs w:val="22"/>
        </w:rPr>
        <w:t xml:space="preserve">   </w:t>
      </w:r>
    </w:p>
    <w:p w:rsidR="007C3820" w:rsidRDefault="007C3820" w:rsidP="00761DA8">
      <w:pPr>
        <w:pStyle w:val="ListParagraph"/>
        <w:spacing w:after="120"/>
        <w:ind w:left="2340" w:right="630"/>
        <w:outlineLvl w:val="0"/>
        <w:rPr>
          <w:rFonts w:asciiTheme="minorHAnsi" w:eastAsia="Times New Roman" w:hAnsiTheme="minorHAnsi" w:cstheme="minorHAnsi"/>
          <w:bCs/>
          <w:color w:val="000000" w:themeColor="text1"/>
        </w:rPr>
      </w:pPr>
    </w:p>
    <w:p w:rsidR="00F200C3" w:rsidRDefault="00F200C3" w:rsidP="00F200C3">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CB393A">
        <w:rPr>
          <w:rFonts w:asciiTheme="minorHAnsi" w:eastAsia="Times New Roman" w:hAnsiTheme="minorHAnsi" w:cstheme="minorHAnsi"/>
          <w:bCs/>
          <w:color w:val="000000" w:themeColor="text1"/>
        </w:rPr>
        <w:t xml:space="preserve">We are concerned about how DEQ has merged Oregon’s utility mercury rule and the new federal electric utility standards. For instance, </w:t>
      </w:r>
      <w:r>
        <w:rPr>
          <w:rFonts w:asciiTheme="minorHAnsi" w:eastAsia="Times New Roman" w:hAnsiTheme="minorHAnsi" w:cstheme="minorHAnsi"/>
          <w:bCs/>
          <w:color w:val="000000" w:themeColor="text1"/>
        </w:rPr>
        <w:t>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sidR="000A513D">
        <w:rPr>
          <w:rFonts w:asciiTheme="minorHAnsi" w:eastAsia="Times New Roman" w:hAnsiTheme="minorHAnsi" w:cstheme="minorHAnsi"/>
          <w:bCs/>
          <w:color w:val="000000" w:themeColor="text1"/>
        </w:rPr>
        <w:t xml:space="preserve">We urge DEQ to conduct a more thorough review to ensure all terms are defined either in the OAR or the CFR and those that are not used are removed from the OAR. </w:t>
      </w:r>
    </w:p>
    <w:p w:rsidR="00F200C3" w:rsidRDefault="00F200C3" w:rsidP="00F200C3">
      <w:pPr>
        <w:pStyle w:val="ListParagraph"/>
        <w:ind w:left="1800" w:right="634"/>
        <w:outlineLvl w:val="0"/>
        <w:rPr>
          <w:rFonts w:asciiTheme="minorHAnsi" w:eastAsia="Times New Roman" w:hAnsiTheme="minorHAnsi" w:cstheme="minorHAnsi"/>
          <w:bCs/>
          <w:color w:val="000000" w:themeColor="text1"/>
        </w:rPr>
      </w:pPr>
    </w:p>
    <w:p w:rsidR="00F200C3" w:rsidRPr="000E5ECC" w:rsidRDefault="00F200C3" w:rsidP="00F200C3">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200C3" w:rsidRPr="002F5550" w:rsidRDefault="00F200C3" w:rsidP="00F200C3">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06066" w:rsidRDefault="00F200C3"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77D9">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Based on you</w:t>
      </w:r>
      <w:r w:rsidR="005872F3">
        <w:rPr>
          <w:rFonts w:asciiTheme="majorHAnsi" w:eastAsia="Times New Roman" w:hAnsiTheme="majorHAnsi" w:cstheme="majorHAnsi"/>
          <w:bCs/>
          <w:color w:val="463D38" w:themeColor="accent4" w:themeShade="80"/>
          <w:sz w:val="22"/>
          <w:szCs w:val="22"/>
        </w:rPr>
        <w:t>r</w:t>
      </w:r>
      <w:r w:rsidR="00CB393A">
        <w:rPr>
          <w:rFonts w:asciiTheme="majorHAnsi" w:eastAsia="Times New Roman" w:hAnsiTheme="majorHAnsi" w:cstheme="majorHAnsi"/>
          <w:bCs/>
          <w:color w:val="463D38" w:themeColor="accent4" w:themeShade="80"/>
          <w:sz w:val="22"/>
          <w:szCs w:val="22"/>
        </w:rPr>
        <w:t xml:space="preserve"> comment, DEQ performed another review of the definition section for Oregon’s utility mercury rule. As a result of that review, </w:t>
      </w:r>
      <w:r w:rsidR="00094C50">
        <w:rPr>
          <w:rFonts w:asciiTheme="majorHAnsi" w:eastAsia="Times New Roman" w:hAnsiTheme="majorHAnsi" w:cstheme="majorHAnsi"/>
          <w:bCs/>
          <w:color w:val="463D38" w:themeColor="accent4" w:themeShade="80"/>
          <w:sz w:val="22"/>
          <w:szCs w:val="22"/>
        </w:rPr>
        <w:t xml:space="preserve">and these comments, </w:t>
      </w:r>
      <w:r w:rsidR="00CB393A">
        <w:rPr>
          <w:rFonts w:asciiTheme="majorHAnsi" w:eastAsia="Times New Roman" w:hAnsiTheme="majorHAnsi" w:cstheme="majorHAnsi"/>
          <w:bCs/>
          <w:color w:val="463D38" w:themeColor="accent4" w:themeShade="80"/>
          <w:sz w:val="22"/>
          <w:szCs w:val="22"/>
        </w:rPr>
        <w:t>DEQ added back several definition</w:t>
      </w:r>
      <w:r w:rsidR="00AC7325">
        <w:rPr>
          <w:rFonts w:asciiTheme="majorHAnsi" w:eastAsia="Times New Roman" w:hAnsiTheme="majorHAnsi" w:cstheme="majorHAnsi"/>
          <w:bCs/>
          <w:color w:val="463D38" w:themeColor="accent4" w:themeShade="80"/>
          <w:sz w:val="22"/>
          <w:szCs w:val="22"/>
        </w:rPr>
        <w:t>s</w:t>
      </w:r>
      <w:r w:rsidR="00A37B0B">
        <w:rPr>
          <w:rFonts w:asciiTheme="majorHAnsi" w:eastAsia="Times New Roman" w:hAnsiTheme="majorHAnsi" w:cstheme="majorHAnsi"/>
          <w:bCs/>
          <w:color w:val="463D38" w:themeColor="accent4" w:themeShade="80"/>
          <w:sz w:val="22"/>
          <w:szCs w:val="22"/>
        </w:rPr>
        <w:t xml:space="preserve">. </w:t>
      </w:r>
    </w:p>
    <w:p w:rsidR="00706066" w:rsidRDefault="00706066"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706066" w:rsidRPr="00706066" w:rsidRDefault="00706066" w:rsidP="0070606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p>
    <w:p w:rsidR="00706066" w:rsidRDefault="00706066" w:rsidP="00706066">
      <w:pPr>
        <w:pStyle w:val="ListParagraph"/>
        <w:ind w:left="1800" w:right="634"/>
        <w:outlineLvl w:val="0"/>
        <w:rPr>
          <w:rFonts w:asciiTheme="minorHAnsi" w:eastAsia="Times New Roman" w:hAnsiTheme="minorHAnsi" w:cstheme="minorHAnsi"/>
          <w:bCs/>
          <w:color w:val="000000" w:themeColor="text1"/>
        </w:rPr>
      </w:pPr>
    </w:p>
    <w:p w:rsidR="00706066" w:rsidRPr="000E5ECC" w:rsidRDefault="00706066" w:rsidP="0070606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06066" w:rsidRPr="002F5550" w:rsidRDefault="00706066" w:rsidP="0070606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200C3" w:rsidRDefault="00706066" w:rsidP="00706066">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FD2AA8">
        <w:rPr>
          <w:rFonts w:asciiTheme="majorHAnsi" w:eastAsia="Times New Roman" w:hAnsiTheme="majorHAnsi" w:cstheme="majorHAnsi"/>
          <w:bCs/>
          <w:color w:val="463D38" w:themeColor="accent4" w:themeShade="80"/>
          <w:sz w:val="22"/>
          <w:szCs w:val="22"/>
        </w:rPr>
        <w:t>See the following table.</w:t>
      </w:r>
    </w:p>
    <w:p w:rsidR="00DD19DC" w:rsidRDefault="00DD19DC" w:rsidP="00DD19DC">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FD2AA8" w:rsidRPr="00FD2AA8" w:rsidTr="00FD2AA8">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Coal</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F4281C"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3.1.4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F4281C">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lastRenderedPageBreak/>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BD5017" w:rsidRPr="00FD2AA8" w:rsidTr="00BD5017">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BD5017">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Default="000C0805" w:rsidP="002D03A9">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2D03A9"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thermal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p>
        </w:tc>
      </w:tr>
      <w:tr w:rsidR="002D03A9" w:rsidRPr="00FD2AA8" w:rsidTr="002D03A9">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5B2E4A" w:rsidRDefault="005B2E4A" w:rsidP="00DD19DC">
      <w:pPr>
        <w:pStyle w:val="ListParagraph"/>
        <w:spacing w:after="120"/>
        <w:ind w:left="2340" w:right="630"/>
        <w:outlineLvl w:val="0"/>
        <w:rPr>
          <w:rFonts w:asciiTheme="minorHAnsi" w:eastAsia="Times New Roman" w:hAnsiTheme="minorHAnsi" w:cstheme="minorHAnsi"/>
          <w:bCs/>
          <w:color w:val="000000" w:themeColor="text1"/>
        </w:rPr>
      </w:pPr>
    </w:p>
    <w:p w:rsidR="009915D6" w:rsidRPr="00285C52" w:rsidRDefault="009915D6" w:rsidP="00F110B9">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affected by an NSPS or NESHAP; chemical manufacturing facilities only subject to work practice standards; and paint stripping and surface coating operations using less than 20 gallons of coating and 20 gallons of methylene chloride containing paint stripper per year;</w:t>
      </w:r>
    </w:p>
    <w:p w:rsidR="00F110B9" w:rsidRDefault="00F110B9"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 xml:space="preserve">1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9915D6">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Default="00F110B9"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w:t>
      </w:r>
      <w:r w:rsidR="00AC7325">
        <w:rPr>
          <w:rFonts w:asciiTheme="majorHAnsi" w:eastAsia="Times New Roman" w:hAnsiTheme="majorHAnsi" w:cstheme="majorHAnsi"/>
          <w:bCs/>
          <w:color w:val="463D38" w:themeColor="accent4" w:themeShade="80"/>
          <w:sz w:val="22"/>
          <w:szCs w:val="22"/>
        </w:rPr>
        <w:t>e   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I fe</w:t>
      </w:r>
      <w:r w:rsidR="0087744C">
        <w:rPr>
          <w:rFonts w:asciiTheme="minorHAnsi" w:eastAsia="Times New Roman" w:hAnsiTheme="minorHAnsi" w:cstheme="minorHAnsi"/>
          <w:bCs/>
          <w:color w:val="000000" w:themeColor="text1"/>
        </w:rPr>
        <w:t>e</w:t>
      </w:r>
      <w:r w:rsidR="00972897"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F110B9">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DF104E"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w:t>
      </w:r>
      <w:r w:rsidR="00AC7325" w:rsidRPr="00DF104E">
        <w:rPr>
          <w:rFonts w:asciiTheme="majorHAnsi" w:eastAsia="Times New Roman" w:hAnsiTheme="majorHAnsi" w:cstheme="majorHAnsi"/>
          <w:bCs/>
          <w:color w:val="463D38" w:themeColor="accent4" w:themeShade="80"/>
          <w:sz w:val="22"/>
          <w:szCs w:val="22"/>
        </w:rPr>
        <w:t>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2D201A"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lastRenderedPageBreak/>
        <w:t>Response</w:t>
      </w:r>
      <w:r w:rsidR="00094C50">
        <w:rPr>
          <w:rFonts w:asciiTheme="majorHAnsi" w:eastAsia="Times New Roman" w:hAnsiTheme="majorHAnsi" w:cstheme="majorHAnsi"/>
          <w:bCs/>
          <w:color w:val="463D38" w:themeColor="accent4" w:themeShade="80"/>
          <w:sz w:val="22"/>
          <w:szCs w:val="22"/>
        </w:rPr>
        <w:t xml:space="preserve">   </w:t>
      </w:r>
      <w:r w:rsidR="003B0583">
        <w:rPr>
          <w:rFonts w:asciiTheme="majorHAnsi" w:eastAsia="Times New Roman" w:hAnsiTheme="majorHAnsi" w:cstheme="majorHAnsi"/>
          <w:bCs/>
          <w:color w:val="463D38" w:themeColor="accent4" w:themeShade="80"/>
          <w:sz w:val="22"/>
          <w:szCs w:val="22"/>
        </w:rPr>
        <w:t xml:space="preserve">While 25 gallons </w:t>
      </w:r>
      <w:r w:rsidR="0079151D">
        <w:rPr>
          <w:rFonts w:asciiTheme="majorHAnsi" w:eastAsia="Times New Roman" w:hAnsiTheme="majorHAnsi" w:cstheme="majorHAnsi"/>
          <w:bCs/>
          <w:color w:val="463D38" w:themeColor="accent4" w:themeShade="80"/>
          <w:sz w:val="22"/>
          <w:szCs w:val="22"/>
        </w:rPr>
        <w:t xml:space="preserve">(approximately 276 pounds) </w:t>
      </w:r>
      <w:r w:rsidR="003B0583">
        <w:rPr>
          <w:rFonts w:asciiTheme="majorHAnsi" w:eastAsia="Times New Roman" w:hAnsiTheme="majorHAnsi" w:cstheme="majorHAnsi"/>
          <w:bCs/>
          <w:color w:val="463D38" w:themeColor="accent4" w:themeShade="80"/>
          <w:sz w:val="22"/>
          <w:szCs w:val="22"/>
        </w:rPr>
        <w:t xml:space="preserve">of methylene chloride per year </w:t>
      </w:r>
      <w:r w:rsidR="00D32471">
        <w:rPr>
          <w:rFonts w:asciiTheme="majorHAnsi" w:eastAsia="Times New Roman" w:hAnsiTheme="majorHAnsi" w:cstheme="majorHAnsi"/>
          <w:bCs/>
          <w:color w:val="463D38" w:themeColor="accent4" w:themeShade="80"/>
          <w:sz w:val="22"/>
          <w:szCs w:val="22"/>
        </w:rPr>
        <w:t xml:space="preserve">constitutes </w:t>
      </w:r>
      <w:r w:rsidR="003B0583">
        <w:rPr>
          <w:rFonts w:asciiTheme="majorHAnsi" w:eastAsia="Times New Roman" w:hAnsiTheme="majorHAnsi" w:cstheme="majorHAnsi"/>
          <w:bCs/>
          <w:color w:val="463D38" w:themeColor="accent4" w:themeShade="80"/>
          <w:sz w:val="22"/>
          <w:szCs w:val="22"/>
        </w:rPr>
        <w:t xml:space="preserve">a small </w:t>
      </w:r>
      <w:r w:rsidR="00D32471">
        <w:rPr>
          <w:rFonts w:asciiTheme="majorHAnsi" w:eastAsia="Times New Roman" w:hAnsiTheme="majorHAnsi" w:cstheme="majorHAnsi"/>
          <w:bCs/>
          <w:color w:val="463D38" w:themeColor="accent4" w:themeShade="80"/>
          <w:sz w:val="22"/>
          <w:szCs w:val="22"/>
        </w:rPr>
        <w:t xml:space="preserve">paint stripping </w:t>
      </w:r>
      <w:r w:rsidR="003B0583">
        <w:rPr>
          <w:rFonts w:asciiTheme="majorHAnsi" w:eastAsia="Times New Roman" w:hAnsiTheme="majorHAnsi" w:cstheme="majorHAnsi"/>
          <w:bCs/>
          <w:color w:val="463D38" w:themeColor="accent4" w:themeShade="80"/>
          <w:sz w:val="22"/>
          <w:szCs w:val="22"/>
        </w:rPr>
        <w:t xml:space="preserve">operation, it potentially poses a health risk to the public. </w:t>
      </w:r>
      <w:r w:rsidR="00D949D8">
        <w:rPr>
          <w:rFonts w:asciiTheme="majorHAnsi" w:eastAsia="Times New Roman" w:hAnsiTheme="majorHAnsi" w:cstheme="majorHAnsi"/>
          <w:bCs/>
          <w:color w:val="463D38" w:themeColor="accent4" w:themeShade="80"/>
          <w:sz w:val="22"/>
          <w:szCs w:val="22"/>
        </w:rPr>
        <w:t xml:space="preserve">Methylene chloride is on EPA’s list of </w:t>
      </w:r>
      <w:r w:rsidR="00D949D8" w:rsidRPr="00D949D8">
        <w:rPr>
          <w:rFonts w:asciiTheme="majorHAnsi" w:eastAsia="Times New Roman" w:hAnsiTheme="majorHAnsi" w:cstheme="majorHAnsi"/>
          <w:bCs/>
          <w:color w:val="463D38" w:themeColor="accent4" w:themeShade="80"/>
          <w:sz w:val="22"/>
          <w:szCs w:val="22"/>
        </w:rPr>
        <w:t xml:space="preserve">the 30 </w:t>
      </w:r>
      <w:r w:rsidR="00D949D8">
        <w:rPr>
          <w:rFonts w:asciiTheme="majorHAnsi" w:eastAsia="Times New Roman" w:hAnsiTheme="majorHAnsi" w:cstheme="majorHAnsi"/>
          <w:bCs/>
          <w:color w:val="463D38" w:themeColor="accent4" w:themeShade="80"/>
          <w:sz w:val="22"/>
          <w:szCs w:val="22"/>
        </w:rPr>
        <w:t>hazardou</w:t>
      </w:r>
      <w:r w:rsidR="00D949D8" w:rsidRPr="00D949D8">
        <w:rPr>
          <w:rFonts w:asciiTheme="majorHAnsi" w:eastAsia="Times New Roman" w:hAnsiTheme="majorHAnsi" w:cstheme="majorHAnsi"/>
          <w:bCs/>
          <w:color w:val="463D38" w:themeColor="accent4" w:themeShade="80"/>
          <w:sz w:val="22"/>
          <w:szCs w:val="22"/>
        </w:rPr>
        <w:t xml:space="preserve">s </w:t>
      </w:r>
      <w:r w:rsidR="00D949D8">
        <w:rPr>
          <w:rFonts w:asciiTheme="majorHAnsi" w:eastAsia="Times New Roman" w:hAnsiTheme="majorHAnsi" w:cstheme="majorHAnsi"/>
          <w:bCs/>
          <w:color w:val="463D38" w:themeColor="accent4" w:themeShade="80"/>
          <w:sz w:val="22"/>
          <w:szCs w:val="22"/>
        </w:rPr>
        <w:t xml:space="preserve">air pollutants </w:t>
      </w:r>
      <w:r w:rsidR="00D949D8" w:rsidRPr="00D949D8">
        <w:rPr>
          <w:rFonts w:asciiTheme="majorHAnsi" w:eastAsia="Times New Roman" w:hAnsiTheme="majorHAnsi" w:cstheme="majorHAnsi"/>
          <w:bCs/>
          <w:color w:val="463D38" w:themeColor="accent4" w:themeShade="80"/>
          <w:sz w:val="22"/>
          <w:szCs w:val="22"/>
        </w:rPr>
        <w:t>that present the greatest threat to public health</w:t>
      </w:r>
      <w:r w:rsidR="00D949D8">
        <w:rPr>
          <w:rFonts w:asciiTheme="majorHAnsi" w:eastAsia="Times New Roman" w:hAnsiTheme="majorHAnsi" w:cstheme="majorHAnsi"/>
          <w:bCs/>
          <w:color w:val="463D38" w:themeColor="accent4" w:themeShade="80"/>
          <w:sz w:val="22"/>
          <w:szCs w:val="22"/>
        </w:rPr>
        <w:t>.</w:t>
      </w:r>
      <w:r w:rsidR="00F825B4">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According to the Occupational Safety &amp; Health Administration, those </w:t>
      </w:r>
      <w:r w:rsidR="009912CE">
        <w:rPr>
          <w:rFonts w:asciiTheme="majorHAnsi" w:eastAsia="Times New Roman" w:hAnsiTheme="majorHAnsi" w:cstheme="majorHAnsi"/>
          <w:bCs/>
          <w:color w:val="463D38" w:themeColor="accent4" w:themeShade="80"/>
          <w:sz w:val="22"/>
          <w:szCs w:val="22"/>
        </w:rPr>
        <w:t>e</w:t>
      </w:r>
      <w:r w:rsidR="00F825B4" w:rsidRPr="00F825B4">
        <w:rPr>
          <w:rFonts w:asciiTheme="majorHAnsi" w:eastAsia="Times New Roman" w:hAnsiTheme="majorHAnsi" w:cstheme="majorHAnsi"/>
          <w:bCs/>
          <w:color w:val="463D38" w:themeColor="accent4" w:themeShade="80"/>
          <w:sz w:val="22"/>
          <w:szCs w:val="22"/>
        </w:rPr>
        <w:t>xpose</w:t>
      </w:r>
      <w:r w:rsidR="009912CE">
        <w:rPr>
          <w:rFonts w:asciiTheme="majorHAnsi" w:eastAsia="Times New Roman" w:hAnsiTheme="majorHAnsi" w:cstheme="majorHAnsi"/>
          <w:bCs/>
          <w:color w:val="463D38" w:themeColor="accent4" w:themeShade="80"/>
          <w:sz w:val="22"/>
          <w:szCs w:val="22"/>
        </w:rPr>
        <w:t>d</w:t>
      </w:r>
      <w:r w:rsidR="00F825B4"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sidR="00904755">
        <w:rPr>
          <w:rFonts w:asciiTheme="majorHAnsi" w:eastAsia="Times New Roman" w:hAnsiTheme="majorHAnsi" w:cstheme="majorHAnsi"/>
          <w:bCs/>
          <w:color w:val="463D38" w:themeColor="accent4" w:themeShade="80"/>
          <w:sz w:val="22"/>
          <w:szCs w:val="22"/>
        </w:rPr>
        <w:t xml:space="preserve"> </w:t>
      </w:r>
      <w:r w:rsidR="009912CE">
        <w:rPr>
          <w:rFonts w:asciiTheme="majorHAnsi" w:eastAsia="Times New Roman" w:hAnsiTheme="majorHAnsi" w:cstheme="majorHAnsi"/>
          <w:bCs/>
          <w:color w:val="463D38" w:themeColor="accent4" w:themeShade="80"/>
          <w:sz w:val="22"/>
          <w:szCs w:val="22"/>
        </w:rPr>
        <w:t>and</w:t>
      </w:r>
      <w:r w:rsidR="00F825B4" w:rsidRPr="00F825B4">
        <w:rPr>
          <w:rFonts w:asciiTheme="majorHAnsi" w:eastAsia="Times New Roman" w:hAnsiTheme="majorHAnsi" w:cstheme="majorHAnsi"/>
          <w:bCs/>
          <w:color w:val="463D38" w:themeColor="accent4" w:themeShade="80"/>
          <w:sz w:val="22"/>
          <w:szCs w:val="22"/>
        </w:rPr>
        <w:t xml:space="preserve"> adverse effects on the heart</w:t>
      </w:r>
      <w:r w:rsidR="009912CE">
        <w:rPr>
          <w:rFonts w:asciiTheme="majorHAnsi" w:eastAsia="Times New Roman" w:hAnsiTheme="majorHAnsi" w:cstheme="majorHAnsi"/>
          <w:bCs/>
          <w:color w:val="463D38" w:themeColor="accent4" w:themeShade="80"/>
          <w:sz w:val="22"/>
          <w:szCs w:val="22"/>
        </w:rPr>
        <w:t xml:space="preserve">, </w:t>
      </w:r>
      <w:r w:rsidR="00F825B4" w:rsidRPr="00F825B4">
        <w:rPr>
          <w:rFonts w:asciiTheme="majorHAnsi" w:eastAsia="Times New Roman" w:hAnsiTheme="majorHAnsi" w:cstheme="majorHAnsi"/>
          <w:bCs/>
          <w:color w:val="463D38" w:themeColor="accent4" w:themeShade="80"/>
          <w:sz w:val="22"/>
          <w:szCs w:val="22"/>
        </w:rPr>
        <w:t>central nervous system</w:t>
      </w:r>
      <w:r w:rsidR="009912CE">
        <w:rPr>
          <w:rFonts w:asciiTheme="majorHAnsi" w:eastAsia="Times New Roman" w:hAnsiTheme="majorHAnsi" w:cstheme="majorHAnsi"/>
          <w:bCs/>
          <w:color w:val="463D38" w:themeColor="accent4" w:themeShade="80"/>
          <w:sz w:val="22"/>
          <w:szCs w:val="22"/>
        </w:rPr>
        <w:t>,</w:t>
      </w:r>
      <w:r w:rsidR="00F825B4" w:rsidRPr="00F825B4">
        <w:rPr>
          <w:rFonts w:asciiTheme="majorHAnsi" w:eastAsia="Times New Roman" w:hAnsiTheme="majorHAnsi" w:cstheme="majorHAnsi"/>
          <w:bCs/>
          <w:color w:val="463D38" w:themeColor="accent4" w:themeShade="80"/>
          <w:sz w:val="22"/>
          <w:szCs w:val="22"/>
        </w:rPr>
        <w:t xml:space="preserve"> and liver.</w:t>
      </w:r>
      <w:r w:rsidR="009912CE">
        <w:rPr>
          <w:rFonts w:asciiTheme="majorHAnsi" w:eastAsia="Times New Roman" w:hAnsiTheme="majorHAnsi" w:cstheme="majorHAnsi"/>
          <w:bCs/>
          <w:color w:val="463D38" w:themeColor="accent4" w:themeShade="80"/>
          <w:sz w:val="22"/>
          <w:szCs w:val="22"/>
        </w:rPr>
        <w:t xml:space="preserve"> The South Coast Air Quality Management District has a screening level of 255 pounds of methylene chloride per year at 328 feet from the emission source. In other words, </w:t>
      </w:r>
      <w:r w:rsidR="00950D98">
        <w:rPr>
          <w:rFonts w:asciiTheme="majorHAnsi" w:eastAsia="Times New Roman" w:hAnsiTheme="majorHAnsi" w:cstheme="majorHAnsi"/>
          <w:bCs/>
          <w:color w:val="463D38" w:themeColor="accent4" w:themeShade="80"/>
          <w:sz w:val="22"/>
          <w:szCs w:val="22"/>
        </w:rPr>
        <w:t xml:space="preserve">the South Coast Air Quality Management District has determined that </w:t>
      </w:r>
      <w:r w:rsidR="009912CE">
        <w:rPr>
          <w:rFonts w:asciiTheme="majorHAnsi" w:eastAsia="Times New Roman" w:hAnsiTheme="majorHAnsi" w:cstheme="majorHAnsi"/>
          <w:bCs/>
          <w:color w:val="463D38" w:themeColor="accent4" w:themeShade="80"/>
          <w:sz w:val="22"/>
          <w:szCs w:val="22"/>
        </w:rPr>
        <w:t>255 pounds of methylene chloride per year potentially poses a risk to the public as far away as 328 feet from the emission source.</w:t>
      </w:r>
      <w:r w:rsidR="0079151D">
        <w:rPr>
          <w:rFonts w:asciiTheme="majorHAnsi" w:eastAsia="Times New Roman" w:hAnsiTheme="majorHAnsi" w:cstheme="majorHAnsi"/>
          <w:bCs/>
          <w:color w:val="463D38" w:themeColor="accent4" w:themeShade="80"/>
          <w:sz w:val="22"/>
          <w:szCs w:val="22"/>
        </w:rPr>
        <w:t xml:space="preserve"> </w:t>
      </w:r>
      <w:r w:rsidR="005872F3">
        <w:rPr>
          <w:rFonts w:asciiTheme="majorHAnsi" w:eastAsia="Times New Roman" w:hAnsiTheme="majorHAnsi" w:cstheme="majorHAnsi"/>
          <w:bCs/>
          <w:color w:val="463D38" w:themeColor="accent4" w:themeShade="80"/>
          <w:sz w:val="22"/>
          <w:szCs w:val="22"/>
        </w:rPr>
        <w:t>For these reasons, the proposed rules retain the 20 gallon threshold for methylene chloride.</w:t>
      </w:r>
      <w:r w:rsidR="00AC7325">
        <w:rPr>
          <w:rFonts w:asciiTheme="majorHAnsi" w:eastAsia="Times New Roman" w:hAnsiTheme="majorHAnsi" w:cstheme="majorHAnsi"/>
          <w:bCs/>
          <w:color w:val="463D38" w:themeColor="accent4" w:themeShade="80"/>
          <w:sz w:val="22"/>
          <w:szCs w:val="22"/>
        </w:rPr>
        <w:t xml:space="preserve">   </w:t>
      </w:r>
      <w:r w:rsidR="00FB59FD">
        <w:rPr>
          <w:rFonts w:asciiTheme="majorHAnsi" w:eastAsia="Times New Roman" w:hAnsiTheme="majorHAnsi" w:cstheme="majorHAnsi"/>
          <w:bCs/>
          <w:color w:val="463D38" w:themeColor="accent4" w:themeShade="80"/>
          <w:sz w:val="22"/>
          <w:szCs w:val="22"/>
        </w:rPr>
        <w:t xml:space="preserve">  </w:t>
      </w:r>
      <w:r w:rsidR="00115E47">
        <w:rPr>
          <w:rFonts w:asciiTheme="majorHAnsi" w:eastAsia="Times New Roman" w:hAnsiTheme="majorHAnsi" w:cstheme="majorHAnsi"/>
          <w:bCs/>
          <w:color w:val="463D38" w:themeColor="accent4" w:themeShade="80"/>
          <w:sz w:val="22"/>
          <w:szCs w:val="22"/>
        </w:rPr>
        <w:t xml:space="preserve">  </w:t>
      </w:r>
      <w:r w:rsidRPr="002D201A">
        <w:rPr>
          <w:rFonts w:asciiTheme="majorHAnsi" w:eastAsia="Times New Roman" w:hAnsiTheme="majorHAnsi" w:cstheme="majorHAnsi"/>
          <w:bCs/>
          <w:color w:val="463D38" w:themeColor="accent4" w:themeShade="80"/>
          <w:sz w:val="22"/>
          <w:szCs w:val="22"/>
        </w:rPr>
        <w:tab/>
      </w:r>
    </w:p>
    <w:p w:rsidR="00F110B9" w:rsidRDefault="00F110B9" w:rsidP="00F110B9">
      <w:pPr>
        <w:pStyle w:val="ListParagraph"/>
        <w:spacing w:after="120"/>
        <w:ind w:left="14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p>
    <w:p w:rsidR="009915D6" w:rsidRP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Default="00F110B9"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115E47">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DEQ’s ACDP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typically charges the same amount regardless of the size of the source.</w:t>
      </w:r>
    </w:p>
    <w:p w:rsidR="00972897" w:rsidRPr="00B838E2" w:rsidRDefault="00972897" w:rsidP="00972897">
      <w:pPr>
        <w:pStyle w:val="ListParagraph"/>
        <w:spacing w:after="120"/>
        <w:ind w:left="2880" w:right="630"/>
        <w:outlineLvl w:val="0"/>
        <w:rPr>
          <w:rFonts w:asciiTheme="minorHAnsi" w:eastAsia="Times New Roman" w:hAnsiTheme="minorHAnsi" w:cstheme="minorHAnsi"/>
          <w:bCs/>
          <w:color w:val="000000" w:themeColor="text1"/>
        </w:rPr>
      </w:pPr>
    </w:p>
    <w:p w:rsidR="00972897" w:rsidRDefault="00972897"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p>
    <w:p w:rsidR="009915D6" w:rsidRPr="009915D6" w:rsidRDefault="009915D6" w:rsidP="00115EF1">
      <w:pPr>
        <w:pStyle w:val="ListParagraph"/>
        <w:ind w:left="1800" w:right="634"/>
        <w:outlineLvl w:val="0"/>
        <w:rPr>
          <w:rFonts w:asciiTheme="minorHAnsi" w:eastAsia="Times New Roman" w:hAnsiTheme="minorHAnsi" w:cstheme="minorHAnsi"/>
          <w:bCs/>
          <w:color w:val="000000" w:themeColor="text1"/>
        </w:rPr>
      </w:pPr>
    </w:p>
    <w:p w:rsidR="00972897" w:rsidRPr="000E5ECC" w:rsidRDefault="00972897"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1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72897" w:rsidRPr="002F5550" w:rsidRDefault="00972897" w:rsidP="0097289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72897" w:rsidRDefault="00972897" w:rsidP="00C37D5E">
      <w:pPr>
        <w:pStyle w:val="ListParagraph"/>
        <w:spacing w:after="120"/>
        <w:ind w:left="2340" w:right="630"/>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C37D5E" w:rsidRDefault="00C37D5E" w:rsidP="00C37D5E">
      <w:pPr>
        <w:pStyle w:val="ListParagraph"/>
        <w:spacing w:after="120"/>
        <w:ind w:left="2340" w:right="630"/>
        <w:outlineLvl w:val="0"/>
        <w:rPr>
          <w:rFonts w:asciiTheme="minorHAnsi" w:eastAsia="Times New Roman" w:hAnsiTheme="minorHAnsi" w:cstheme="minorHAnsi"/>
          <w:bCs/>
          <w:color w:val="000000" w:themeColor="text1"/>
        </w:rPr>
      </w:pPr>
    </w:p>
    <w:p w:rsidR="003A70C0"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6127C7" w:rsidRPr="006127C7">
        <w:rPr>
          <w:rFonts w:asciiTheme="minorHAnsi" w:eastAsia="Times New Roman" w:hAnsiTheme="minorHAnsi" w:cstheme="minorHAnsi"/>
          <w:bCs/>
          <w:color w:val="000000" w:themeColor="text1"/>
        </w:rPr>
        <w:t>In regard to the propos</w:t>
      </w:r>
      <w:r w:rsidR="006127C7">
        <w:rPr>
          <w:rFonts w:asciiTheme="minorHAnsi" w:eastAsia="Times New Roman" w:hAnsiTheme="minorHAnsi" w:cstheme="minorHAnsi"/>
          <w:bCs/>
          <w:color w:val="000000" w:themeColor="text1"/>
        </w:rPr>
        <w:t>ed</w:t>
      </w:r>
      <w:r w:rsidR="006127C7" w:rsidRPr="006127C7">
        <w:rPr>
          <w:rFonts w:asciiTheme="minorHAnsi" w:eastAsia="Times New Roman" w:hAnsiTheme="minorHAnsi" w:cstheme="minorHAnsi"/>
          <w:bCs/>
          <w:color w:val="000000" w:themeColor="text1"/>
        </w:rPr>
        <w:t xml:space="preserve"> </w:t>
      </w:r>
      <w:r w:rsidR="006127C7">
        <w:rPr>
          <w:rFonts w:asciiTheme="minorHAnsi" w:eastAsia="Times New Roman" w:hAnsiTheme="minorHAnsi" w:cstheme="minorHAnsi"/>
          <w:bCs/>
          <w:color w:val="000000" w:themeColor="text1"/>
        </w:rPr>
        <w:t xml:space="preserve">exemption for </w:t>
      </w:r>
      <w:r w:rsidR="006127C7" w:rsidRPr="006127C7">
        <w:rPr>
          <w:rFonts w:asciiTheme="minorHAnsi" w:eastAsia="Times New Roman" w:hAnsiTheme="minorHAnsi" w:cstheme="minorHAnsi"/>
          <w:bCs/>
          <w:color w:val="000000" w:themeColor="text1"/>
        </w:rPr>
        <w:t xml:space="preserve">sources subject only to procedural requirements, </w:t>
      </w:r>
      <w:r w:rsidR="006127C7">
        <w:rPr>
          <w:rFonts w:asciiTheme="minorHAnsi" w:eastAsia="Times New Roman" w:hAnsiTheme="minorHAnsi" w:cstheme="minorHAnsi"/>
          <w:bCs/>
          <w:color w:val="000000" w:themeColor="text1"/>
        </w:rPr>
        <w:t>w</w:t>
      </w:r>
      <w:r w:rsidR="006127C7" w:rsidRPr="006127C7">
        <w:rPr>
          <w:rFonts w:asciiTheme="minorHAnsi" w:eastAsia="Times New Roman" w:hAnsiTheme="minorHAnsi" w:cstheme="minorHAnsi"/>
          <w:bCs/>
          <w:color w:val="000000" w:themeColor="text1"/>
        </w:rPr>
        <w:t>ith this change, what data will be lost and what are the potential impacts of the lost data?</w:t>
      </w:r>
    </w:p>
    <w:p w:rsidR="003A70C0" w:rsidRPr="009915D6" w:rsidRDefault="003A70C0" w:rsidP="003A70C0">
      <w:pPr>
        <w:pStyle w:val="ListParagraph"/>
        <w:ind w:left="180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3A70C0" w:rsidRDefault="003A70C0" w:rsidP="003A70C0">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576DDF">
        <w:rPr>
          <w:rFonts w:asciiTheme="majorHAnsi" w:eastAsia="Times New Roman" w:hAnsiTheme="majorHAnsi" w:cstheme="majorHAnsi"/>
          <w:bCs/>
          <w:color w:val="463D38" w:themeColor="accent4" w:themeShade="80"/>
          <w:sz w:val="22"/>
          <w:szCs w:val="22"/>
        </w:rPr>
        <w:t xml:space="preserve">   </w:t>
      </w:r>
      <w:r w:rsidR="00EE5A42">
        <w:rPr>
          <w:rFonts w:asciiTheme="majorHAnsi" w:eastAsia="Times New Roman" w:hAnsiTheme="majorHAnsi" w:cstheme="majorHAnsi"/>
          <w:bCs/>
          <w:color w:val="463D38" w:themeColor="accent4" w:themeShade="80"/>
          <w:sz w:val="22"/>
          <w:szCs w:val="22"/>
        </w:rPr>
        <w:t xml:space="preserve">The only requirement that these sources have under the federal rules is to submit an initial notification that they are subject to the rules. </w:t>
      </w:r>
      <w:r w:rsidR="00D65E6A">
        <w:rPr>
          <w:rFonts w:asciiTheme="majorHAnsi" w:eastAsia="Times New Roman" w:hAnsiTheme="majorHAnsi" w:cstheme="majorHAnsi"/>
          <w:bCs/>
          <w:color w:val="463D38" w:themeColor="accent4" w:themeShade="80"/>
          <w:sz w:val="22"/>
          <w:szCs w:val="22"/>
        </w:rPr>
        <w:t>S</w:t>
      </w:r>
      <w:r w:rsidR="00EE5A42">
        <w:rPr>
          <w:rFonts w:asciiTheme="majorHAnsi" w:eastAsia="Times New Roman" w:hAnsiTheme="majorHAnsi" w:cstheme="majorHAnsi"/>
          <w:bCs/>
          <w:color w:val="463D38" w:themeColor="accent4" w:themeShade="80"/>
          <w:sz w:val="22"/>
          <w:szCs w:val="22"/>
        </w:rPr>
        <w:t>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3A70C0" w:rsidRDefault="003A70C0" w:rsidP="00C37D5E">
      <w:pPr>
        <w:pStyle w:val="ListParagraph"/>
        <w:spacing w:after="120"/>
        <w:ind w:left="2340" w:right="630"/>
        <w:outlineLvl w:val="0"/>
        <w:rPr>
          <w:rFonts w:asciiTheme="minorHAnsi" w:eastAsia="Times New Roman" w:hAnsiTheme="minorHAnsi" w:cstheme="minorHAnsi"/>
          <w:bCs/>
          <w:color w:val="000000" w:themeColor="text1"/>
        </w:rPr>
      </w:pPr>
    </w:p>
    <w:p w:rsidR="00972897" w:rsidRDefault="00C37D5E" w:rsidP="00C37D5E">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that have not been adopted by the EQC;</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w:t>
      </w:r>
    </w:p>
    <w:p w:rsidR="00115EF1" w:rsidRDefault="00115EF1" w:rsidP="00115EF1">
      <w:pPr>
        <w:pStyle w:val="ListParagraph"/>
        <w:ind w:left="1800" w:right="634"/>
        <w:outlineLvl w:val="0"/>
        <w:rPr>
          <w:rFonts w:asciiTheme="minorHAnsi" w:eastAsia="Times New Roman" w:hAnsiTheme="minorHAnsi" w:cstheme="minorHAnsi"/>
          <w:bCs/>
          <w:color w:val="000000" w:themeColor="text1"/>
        </w:rPr>
      </w:pPr>
    </w:p>
    <w:p w:rsidR="00A52C0E"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A52C0E" w:rsidRDefault="00A52C0E" w:rsidP="00C37D5E">
      <w:pPr>
        <w:pStyle w:val="ListParagraph"/>
        <w:ind w:left="2340" w:right="634"/>
        <w:outlineLvl w:val="0"/>
        <w:rPr>
          <w:rFonts w:asciiTheme="minorHAnsi" w:eastAsia="Times New Roman" w:hAnsiTheme="minorHAnsi" w:cstheme="minorHAnsi"/>
          <w:bCs/>
          <w:color w:val="000000" w:themeColor="text1"/>
        </w:rPr>
      </w:pPr>
    </w:p>
    <w:p w:rsidR="008968E3" w:rsidRDefault="00115EF1"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15D5">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Allowing an EPA action, such as the adoption of NSPS standards, to trigger a requirement that affected sources obtain a </w:t>
      </w:r>
      <w:r w:rsidR="00FE0CD6">
        <w:rPr>
          <w:rFonts w:asciiTheme="majorHAnsi" w:eastAsia="Times New Roman" w:hAnsiTheme="majorHAnsi" w:cstheme="majorHAnsi"/>
          <w:bCs/>
          <w:color w:val="463D38" w:themeColor="accent4" w:themeShade="80"/>
          <w:sz w:val="22"/>
          <w:szCs w:val="22"/>
        </w:rPr>
        <w:t xml:space="preserve">non-federal </w:t>
      </w:r>
      <w:r w:rsidR="008968E3">
        <w:rPr>
          <w:rFonts w:asciiTheme="majorHAnsi" w:eastAsia="Times New Roman" w:hAnsiTheme="majorHAnsi" w:cstheme="majorHAnsi"/>
          <w:bCs/>
          <w:color w:val="463D38" w:themeColor="accent4" w:themeShade="80"/>
          <w:sz w:val="22"/>
          <w:szCs w:val="22"/>
        </w:rPr>
        <w:t xml:space="preserve">permit, </w:t>
      </w:r>
      <w:r w:rsidR="008968E3" w:rsidRPr="00C7764C">
        <w:rPr>
          <w:rFonts w:asciiTheme="majorHAnsi" w:eastAsia="Times New Roman" w:hAnsiTheme="majorHAnsi" w:cstheme="majorHAnsi"/>
          <w:bCs/>
          <w:color w:val="463D38" w:themeColor="accent4" w:themeShade="80"/>
          <w:sz w:val="22"/>
          <w:szCs w:val="22"/>
        </w:rPr>
        <w:t>delegate</w:t>
      </w:r>
      <w:r w:rsidR="008968E3">
        <w:rPr>
          <w:rFonts w:asciiTheme="majorHAnsi" w:eastAsia="Times New Roman" w:hAnsiTheme="majorHAnsi" w:cstheme="majorHAnsi"/>
          <w:bCs/>
          <w:color w:val="463D38" w:themeColor="accent4" w:themeShade="80"/>
          <w:sz w:val="22"/>
          <w:szCs w:val="22"/>
        </w:rPr>
        <w:t>s</w:t>
      </w:r>
      <w:r w:rsidR="008968E3" w:rsidRPr="00C7764C">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DEQ </w:t>
      </w:r>
      <w:r w:rsidR="008968E3" w:rsidRPr="00C7764C">
        <w:rPr>
          <w:rFonts w:asciiTheme="majorHAnsi" w:eastAsia="Times New Roman" w:hAnsiTheme="majorHAnsi" w:cstheme="majorHAnsi"/>
          <w:bCs/>
          <w:color w:val="463D38" w:themeColor="accent4" w:themeShade="80"/>
          <w:sz w:val="22"/>
          <w:szCs w:val="22"/>
        </w:rPr>
        <w:t xml:space="preserve">rulemaking authority to </w:t>
      </w:r>
      <w:r w:rsidR="008968E3">
        <w:rPr>
          <w:rFonts w:asciiTheme="majorHAnsi" w:eastAsia="Times New Roman" w:hAnsiTheme="majorHAnsi" w:cstheme="majorHAnsi"/>
          <w:bCs/>
          <w:color w:val="463D38" w:themeColor="accent4" w:themeShade="80"/>
          <w:sz w:val="22"/>
          <w:szCs w:val="22"/>
        </w:rPr>
        <w:t>EPA, which is not allowed by state law</w:t>
      </w:r>
      <w:r w:rsidR="008968E3" w:rsidRPr="00C7764C">
        <w:rPr>
          <w:rFonts w:asciiTheme="majorHAnsi" w:eastAsia="Times New Roman" w:hAnsiTheme="majorHAnsi" w:cstheme="majorHAnsi"/>
          <w:bCs/>
          <w:color w:val="463D38" w:themeColor="accent4" w:themeShade="80"/>
          <w:sz w:val="22"/>
          <w:szCs w:val="22"/>
        </w:rPr>
        <w:t>. </w:t>
      </w:r>
      <w:r w:rsidR="00094C50">
        <w:rPr>
          <w:rFonts w:asciiTheme="majorHAnsi" w:eastAsia="Times New Roman" w:hAnsiTheme="majorHAnsi" w:cstheme="majorHAnsi"/>
          <w:bCs/>
          <w:color w:val="463D38" w:themeColor="accent4" w:themeShade="80"/>
          <w:sz w:val="22"/>
          <w:szCs w:val="22"/>
        </w:rPr>
        <w:t xml:space="preserve">This is known as prospective rulemaking. </w:t>
      </w:r>
      <w:r w:rsidR="008968E3">
        <w:rPr>
          <w:rFonts w:asciiTheme="majorHAnsi" w:eastAsia="Times New Roman" w:hAnsiTheme="majorHAnsi" w:cstheme="majorHAnsi"/>
          <w:bCs/>
          <w:color w:val="463D38" w:themeColor="accent4" w:themeShade="80"/>
          <w:sz w:val="22"/>
          <w:szCs w:val="22"/>
        </w:rPr>
        <w:t>EPA is</w:t>
      </w:r>
      <w:r w:rsidR="008968E3" w:rsidRPr="00C7764C">
        <w:rPr>
          <w:rFonts w:asciiTheme="majorHAnsi" w:eastAsia="Times New Roman" w:hAnsiTheme="majorHAnsi" w:cstheme="majorHAnsi"/>
          <w:bCs/>
          <w:color w:val="463D38" w:themeColor="accent4" w:themeShade="80"/>
          <w:sz w:val="22"/>
          <w:szCs w:val="22"/>
        </w:rPr>
        <w:t xml:space="preserve"> not subject to the </w:t>
      </w:r>
      <w:r w:rsidR="005872F3">
        <w:rPr>
          <w:rFonts w:asciiTheme="majorHAnsi" w:eastAsia="Times New Roman" w:hAnsiTheme="majorHAnsi" w:cstheme="majorHAnsi"/>
          <w:bCs/>
          <w:color w:val="463D38" w:themeColor="accent4" w:themeShade="80"/>
          <w:sz w:val="22"/>
          <w:szCs w:val="22"/>
        </w:rPr>
        <w:t xml:space="preserve">Oregon </w:t>
      </w:r>
      <w:r w:rsidR="008968E3" w:rsidRPr="00C7764C">
        <w:rPr>
          <w:rFonts w:asciiTheme="majorHAnsi" w:eastAsia="Times New Roman" w:hAnsiTheme="majorHAnsi" w:cstheme="majorHAnsi"/>
          <w:bCs/>
          <w:color w:val="463D38" w:themeColor="accent4" w:themeShade="80"/>
          <w:sz w:val="22"/>
          <w:szCs w:val="22"/>
        </w:rPr>
        <w:t xml:space="preserve">procedural safeguards </w:t>
      </w:r>
      <w:r w:rsidR="005872F3">
        <w:rPr>
          <w:rFonts w:asciiTheme="majorHAnsi" w:eastAsia="Times New Roman" w:hAnsiTheme="majorHAnsi" w:cstheme="majorHAnsi"/>
          <w:bCs/>
          <w:color w:val="463D38" w:themeColor="accent4" w:themeShade="80"/>
          <w:sz w:val="22"/>
          <w:szCs w:val="22"/>
        </w:rPr>
        <w:t xml:space="preserve">and requirements </w:t>
      </w:r>
      <w:r w:rsidR="008968E3"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sidR="008968E3">
        <w:rPr>
          <w:rFonts w:asciiTheme="majorHAnsi" w:eastAsia="Times New Roman" w:hAnsiTheme="majorHAnsi" w:cstheme="majorHAnsi"/>
          <w:bCs/>
          <w:color w:val="463D38" w:themeColor="accent4" w:themeShade="80"/>
          <w:sz w:val="22"/>
          <w:szCs w:val="22"/>
        </w:rPr>
        <w:t>ing</w:t>
      </w:r>
      <w:r w:rsidR="008968E3" w:rsidRPr="00C7764C">
        <w:rPr>
          <w:rFonts w:asciiTheme="majorHAnsi" w:eastAsia="Times New Roman" w:hAnsiTheme="majorHAnsi" w:cstheme="majorHAnsi"/>
          <w:bCs/>
          <w:color w:val="463D38" w:themeColor="accent4" w:themeShade="80"/>
          <w:sz w:val="22"/>
          <w:szCs w:val="22"/>
        </w:rPr>
        <w:t xml:space="preserve"> a rule</w:t>
      </w:r>
      <w:r w:rsidR="008968E3">
        <w:rPr>
          <w:rFonts w:asciiTheme="majorHAnsi" w:eastAsia="Times New Roman" w:hAnsiTheme="majorHAnsi" w:cstheme="majorHAnsi"/>
          <w:bCs/>
          <w:color w:val="463D38" w:themeColor="accent4" w:themeShade="80"/>
          <w:sz w:val="22"/>
          <w:szCs w:val="22"/>
        </w:rPr>
        <w:t xml:space="preserve">; </w:t>
      </w:r>
      <w:r w:rsidR="008968E3"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sidR="008968E3">
        <w:rPr>
          <w:rFonts w:asciiTheme="majorHAnsi" w:eastAsia="Times New Roman" w:hAnsiTheme="majorHAnsi" w:cstheme="majorHAnsi"/>
          <w:bCs/>
          <w:color w:val="463D38" w:themeColor="accent4" w:themeShade="80"/>
          <w:sz w:val="22"/>
          <w:szCs w:val="22"/>
        </w:rPr>
        <w:t>DEQ</w:t>
      </w:r>
      <w:r w:rsidR="00B34943">
        <w:rPr>
          <w:rFonts w:asciiTheme="majorHAnsi" w:eastAsia="Times New Roman" w:hAnsiTheme="majorHAnsi" w:cstheme="majorHAnsi"/>
          <w:bCs/>
          <w:color w:val="463D38" w:themeColor="accent4" w:themeShade="80"/>
          <w:sz w:val="22"/>
          <w:szCs w:val="22"/>
        </w:rPr>
        <w:t>’s</w:t>
      </w:r>
      <w:r w:rsidR="008968E3">
        <w:rPr>
          <w:rFonts w:asciiTheme="majorHAnsi" w:eastAsia="Times New Roman" w:hAnsiTheme="majorHAnsi" w:cstheme="majorHAnsi"/>
          <w:bCs/>
          <w:color w:val="463D38" w:themeColor="accent4" w:themeShade="80"/>
          <w:sz w:val="22"/>
          <w:szCs w:val="22"/>
        </w:rPr>
        <w:t xml:space="preserve"> implementation strategy</w:t>
      </w:r>
      <w:r w:rsidR="008968E3" w:rsidRPr="00C7764C">
        <w:rPr>
          <w:rFonts w:asciiTheme="majorHAnsi" w:eastAsia="Times New Roman" w:hAnsiTheme="majorHAnsi" w:cstheme="majorHAnsi"/>
          <w:bCs/>
          <w:color w:val="463D38" w:themeColor="accent4" w:themeShade="80"/>
          <w:sz w:val="22"/>
          <w:szCs w:val="22"/>
        </w:rPr>
        <w:t>.</w:t>
      </w:r>
    </w:p>
    <w:p w:rsidR="008968E3" w:rsidRDefault="008968E3"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sidR="00FF29EE">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sidR="00FF29EE">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ACDP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002D201A" w:rsidRPr="007D1F2D">
        <w:rPr>
          <w:rFonts w:asciiTheme="minorHAnsi" w:eastAsia="Times New Roman" w:hAnsiTheme="minorHAnsi" w:cstheme="minorHAnsi"/>
          <w:bCs/>
          <w:color w:val="000000" w:themeColor="text1"/>
        </w:rPr>
        <w:t>I recommend including a time line for review of the standards by DEQ and the EQC.</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2D201A">
        <w:rPr>
          <w:rFonts w:asciiTheme="minorHAnsi" w:eastAsia="Times New Roman" w:hAnsiTheme="minorHAnsi" w:cstheme="minorHAnsi"/>
          <w:bCs/>
          <w:color w:val="000000" w:themeColor="text1"/>
        </w:rPr>
        <w:t>, 4</w:t>
      </w:r>
      <w:r>
        <w:rPr>
          <w:rFonts w:asciiTheme="minorHAnsi" w:eastAsia="Times New Roman" w:hAnsiTheme="minorHAnsi" w:cstheme="minorHAnsi"/>
          <w:bCs/>
          <w:color w:val="000000" w:themeColor="text1"/>
        </w:rPr>
        <w:t xml:space="preserve">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D201A">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Yes, exploring alternative implementation methods could take a significant amount of time. However, exploring alternative implementation methods allow</w:t>
      </w:r>
      <w:r w:rsidR="000703CA">
        <w:rPr>
          <w:rFonts w:asciiTheme="majorHAnsi" w:eastAsia="Times New Roman" w:hAnsiTheme="majorHAnsi" w:cstheme="majorHAnsi"/>
          <w:bCs/>
          <w:color w:val="463D38" w:themeColor="accent4" w:themeShade="80"/>
          <w:sz w:val="22"/>
          <w:szCs w:val="22"/>
        </w:rPr>
        <w:t>s</w:t>
      </w:r>
      <w:r w:rsidR="00B76B8A">
        <w:rPr>
          <w:rFonts w:asciiTheme="majorHAnsi" w:eastAsia="Times New Roman" w:hAnsiTheme="majorHAnsi" w:cstheme="majorHAnsi"/>
          <w:bCs/>
          <w:color w:val="463D38" w:themeColor="accent4" w:themeShade="80"/>
          <w:sz w:val="22"/>
          <w:szCs w:val="22"/>
        </w:rPr>
        <w:t xml:space="preserve"> DEQ to focus its resources on the </w:t>
      </w:r>
      <w:r w:rsidR="000703CA">
        <w:rPr>
          <w:rFonts w:asciiTheme="majorHAnsi" w:eastAsia="Times New Roman" w:hAnsiTheme="majorHAnsi" w:cstheme="majorHAnsi"/>
          <w:bCs/>
          <w:color w:val="463D38" w:themeColor="accent4" w:themeShade="80"/>
          <w:sz w:val="22"/>
          <w:szCs w:val="22"/>
        </w:rPr>
        <w:t>more significant emission sources and on implementing the federal standards that achieve the greatest environmental benefit.</w:t>
      </w:r>
      <w:r w:rsidRPr="00B838E2">
        <w:rPr>
          <w:rFonts w:asciiTheme="minorHAnsi" w:eastAsia="Times New Roman" w:hAnsiTheme="minorHAnsi" w:cstheme="minorHAnsi"/>
          <w:bCs/>
          <w:color w:val="463D38" w:themeColor="accent4" w:themeShade="80"/>
        </w:rPr>
        <w:tab/>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3A70C0" w:rsidRPr="007D1F2D"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p>
    <w:p w:rsidR="003A70C0" w:rsidRDefault="003A70C0" w:rsidP="003A70C0">
      <w:pPr>
        <w:pStyle w:val="ListParagraph"/>
        <w:ind w:left="144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E6DFC" w:rsidRPr="00804912" w:rsidRDefault="003A70C0" w:rsidP="005C1CCA">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5C1CCA" w:rsidRPr="005C1CCA">
        <w:rPr>
          <w:rFonts w:asciiTheme="majorHAnsi" w:eastAsia="Times New Roman" w:hAnsiTheme="majorHAnsi" w:cstheme="majorHAnsi"/>
          <w:bCs/>
          <w:color w:val="463D38" w:themeColor="accent4" w:themeShade="80"/>
          <w:sz w:val="22"/>
          <w:szCs w:val="22"/>
        </w:rPr>
        <w:t xml:space="preserve"> </w:t>
      </w:r>
      <w:r w:rsidR="005C1CCA">
        <w:rPr>
          <w:rFonts w:asciiTheme="majorHAnsi" w:eastAsia="Times New Roman" w:hAnsiTheme="majorHAnsi" w:cstheme="majorHAnsi"/>
          <w:bCs/>
          <w:color w:val="463D38" w:themeColor="accent4" w:themeShade="80"/>
          <w:sz w:val="22"/>
          <w:szCs w:val="22"/>
        </w:rPr>
        <w:t xml:space="preserve">  </w:t>
      </w:r>
      <w:r w:rsidR="00804912">
        <w:rPr>
          <w:rFonts w:asciiTheme="majorHAnsi" w:eastAsia="Times New Roman" w:hAnsiTheme="majorHAnsi" w:cstheme="majorHAnsi"/>
          <w:bCs/>
          <w:color w:val="463D38" w:themeColor="accent4" w:themeShade="80"/>
          <w:sz w:val="22"/>
          <w:szCs w:val="22"/>
        </w:rPr>
        <w:t>It is DEQ’s goal to implement federal standards in Oregon.</w:t>
      </w:r>
      <w:r w:rsidR="00804912" w:rsidRP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DEQ i</w:t>
      </w:r>
      <w:r w:rsidR="00804912" w:rsidRPr="00804912">
        <w:rPr>
          <w:rFonts w:asciiTheme="majorHAnsi" w:eastAsia="Times New Roman" w:hAnsiTheme="majorHAnsi" w:cstheme="majorHAnsi"/>
          <w:bCs/>
          <w:color w:val="463D38" w:themeColor="accent4" w:themeShade="80"/>
          <w:sz w:val="22"/>
          <w:szCs w:val="22"/>
        </w:rPr>
        <w:t xml:space="preserve">mplementation of federal </w:t>
      </w:r>
      <w:r w:rsidR="00804912">
        <w:rPr>
          <w:rFonts w:asciiTheme="majorHAnsi" w:eastAsia="Times New Roman" w:hAnsiTheme="majorHAnsi" w:cstheme="majorHAnsi"/>
          <w:bCs/>
          <w:color w:val="463D38" w:themeColor="accent4" w:themeShade="80"/>
          <w:sz w:val="22"/>
          <w:szCs w:val="22"/>
        </w:rPr>
        <w:t>standards</w:t>
      </w:r>
      <w:r w:rsidR="00804912" w:rsidRPr="00804912">
        <w:rPr>
          <w:rFonts w:asciiTheme="majorHAnsi" w:eastAsia="Times New Roman" w:hAnsiTheme="majorHAnsi" w:cstheme="majorHAnsi"/>
          <w:bCs/>
          <w:color w:val="463D38" w:themeColor="accent4" w:themeShade="80"/>
          <w:sz w:val="22"/>
          <w:szCs w:val="22"/>
        </w:rPr>
        <w:t xml:space="preserve"> increases the likelihood that the </w:t>
      </w:r>
      <w:r w:rsidR="00804912">
        <w:rPr>
          <w:rFonts w:asciiTheme="majorHAnsi" w:eastAsia="Times New Roman" w:hAnsiTheme="majorHAnsi" w:cstheme="majorHAnsi"/>
          <w:bCs/>
          <w:color w:val="463D38" w:themeColor="accent4" w:themeShade="80"/>
          <w:sz w:val="22"/>
          <w:szCs w:val="22"/>
        </w:rPr>
        <w:t xml:space="preserve">emission </w:t>
      </w:r>
      <w:r w:rsidR="00804912" w:rsidRPr="00804912">
        <w:rPr>
          <w:rFonts w:asciiTheme="majorHAnsi" w:eastAsia="Times New Roman" w:hAnsiTheme="majorHAnsi" w:cstheme="majorHAnsi"/>
          <w:bCs/>
          <w:color w:val="463D38" w:themeColor="accent4" w:themeShade="80"/>
          <w:sz w:val="22"/>
          <w:szCs w:val="22"/>
        </w:rPr>
        <w:t>reduction</w:t>
      </w:r>
      <w:r w:rsidR="00804912">
        <w:rPr>
          <w:rFonts w:asciiTheme="majorHAnsi" w:eastAsia="Times New Roman" w:hAnsiTheme="majorHAnsi" w:cstheme="majorHAnsi"/>
          <w:bCs/>
          <w:color w:val="463D38" w:themeColor="accent4" w:themeShade="80"/>
          <w:sz w:val="22"/>
          <w:szCs w:val="22"/>
        </w:rPr>
        <w:t>s</w:t>
      </w:r>
      <w:r w:rsidR="00804912"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sidR="00804912">
        <w:rPr>
          <w:rFonts w:asciiTheme="majorHAnsi" w:eastAsia="Times New Roman" w:hAnsiTheme="majorHAnsi" w:cstheme="majorHAnsi"/>
          <w:bCs/>
          <w:color w:val="463D38" w:themeColor="accent4" w:themeShade="80"/>
          <w:sz w:val="22"/>
          <w:szCs w:val="22"/>
        </w:rPr>
        <w:t xml:space="preserve"> The proposed changes do not change that goal</w:t>
      </w:r>
      <w:r w:rsidR="00B76B8A">
        <w:rPr>
          <w:rFonts w:asciiTheme="majorHAnsi" w:eastAsia="Times New Roman" w:hAnsiTheme="majorHAnsi" w:cstheme="majorHAnsi"/>
          <w:bCs/>
          <w:color w:val="463D38" w:themeColor="accent4" w:themeShade="80"/>
          <w:sz w:val="22"/>
          <w:szCs w:val="22"/>
        </w:rPr>
        <w:t>.</w:t>
      </w:r>
      <w:r w:rsid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 xml:space="preserve">Therefore, DEQ anticipates that the proposed change </w:t>
      </w:r>
      <w:r w:rsidR="005872F3">
        <w:rPr>
          <w:rFonts w:asciiTheme="majorHAnsi" w:eastAsia="Times New Roman" w:hAnsiTheme="majorHAnsi" w:cstheme="majorHAnsi"/>
          <w:bCs/>
          <w:color w:val="463D38" w:themeColor="accent4" w:themeShade="80"/>
          <w:sz w:val="22"/>
          <w:szCs w:val="22"/>
        </w:rPr>
        <w:t xml:space="preserve">will </w:t>
      </w:r>
      <w:r w:rsidR="00094C50">
        <w:rPr>
          <w:rFonts w:asciiTheme="majorHAnsi" w:eastAsia="Times New Roman" w:hAnsiTheme="majorHAnsi" w:cstheme="majorHAnsi"/>
          <w:bCs/>
          <w:color w:val="463D38" w:themeColor="accent4" w:themeShade="80"/>
          <w:sz w:val="22"/>
          <w:szCs w:val="22"/>
        </w:rPr>
        <w:t>have</w:t>
      </w:r>
      <w:r w:rsidR="00B76B8A">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a </w:t>
      </w:r>
      <w:r w:rsidR="00B76B8A">
        <w:rPr>
          <w:rFonts w:asciiTheme="majorHAnsi" w:eastAsia="Times New Roman" w:hAnsiTheme="majorHAnsi" w:cstheme="majorHAnsi"/>
          <w:bCs/>
          <w:color w:val="463D38" w:themeColor="accent4" w:themeShade="80"/>
          <w:sz w:val="22"/>
          <w:szCs w:val="22"/>
        </w:rPr>
        <w:t>minimal</w:t>
      </w:r>
      <w:r w:rsidR="00094C50">
        <w:rPr>
          <w:rFonts w:asciiTheme="majorHAnsi" w:eastAsia="Times New Roman" w:hAnsiTheme="majorHAnsi" w:cstheme="majorHAnsi"/>
          <w:bCs/>
          <w:color w:val="463D38" w:themeColor="accent4" w:themeShade="80"/>
          <w:sz w:val="22"/>
          <w:szCs w:val="22"/>
        </w:rPr>
        <w:t xml:space="preserve"> negative </w:t>
      </w:r>
      <w:r w:rsidR="00094C50" w:rsidRPr="00094C50">
        <w:rPr>
          <w:rFonts w:asciiTheme="majorHAnsi" w:eastAsia="Times New Roman" w:hAnsiTheme="majorHAnsi" w:cstheme="majorHAnsi"/>
          <w:bCs/>
          <w:color w:val="463D38" w:themeColor="accent4" w:themeShade="80"/>
          <w:sz w:val="22"/>
          <w:szCs w:val="22"/>
        </w:rPr>
        <w:t>environmental impact</w:t>
      </w:r>
      <w:r w:rsidR="00B76B8A">
        <w:rPr>
          <w:rFonts w:asciiTheme="majorHAnsi" w:eastAsia="Times New Roman" w:hAnsiTheme="majorHAnsi" w:cstheme="majorHAnsi"/>
          <w:bCs/>
          <w:color w:val="463D38" w:themeColor="accent4" w:themeShade="80"/>
          <w:sz w:val="22"/>
          <w:szCs w:val="22"/>
        </w:rPr>
        <w:t xml:space="preserve">. </w:t>
      </w:r>
    </w:p>
    <w:p w:rsidR="003A70C0" w:rsidRDefault="003A70C0"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C37D5E" w:rsidRPr="00C37D5E" w:rsidRDefault="00C37D5E" w:rsidP="00C37D5E">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C37D5E" w:rsidRDefault="00C37D5E"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sidR="00285C52">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sidR="00285C52">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 xml:space="preserve">that would require EQC adoption of NSPS and NESHAP standards before DEQ is required to put those standards into existing ACDP permits.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841755" w:rsidRDefault="00115EF1" w:rsidP="00C37D5E">
      <w:pPr>
        <w:pStyle w:val="ListParagraph"/>
        <w:ind w:left="2340" w:right="634"/>
        <w:outlineLvl w:val="0"/>
        <w:rPr>
          <w:rFonts w:asciiTheme="minorHAnsi" w:eastAsia="Times New Roman" w:hAnsiTheme="minorHAnsi" w:cstheme="minorHAnsi"/>
          <w:bCs/>
          <w:color w:val="000000" w:themeColor="text1"/>
        </w:rPr>
      </w:pPr>
      <w:r w:rsidRPr="00841755">
        <w:rPr>
          <w:rFonts w:asciiTheme="minorHAnsi" w:eastAsia="Times New Roman" w:hAnsiTheme="minorHAnsi" w:cstheme="minorHAnsi"/>
          <w:bCs/>
          <w:color w:val="000000" w:themeColor="text1"/>
        </w:rPr>
        <w:lastRenderedPageBreak/>
        <w:t xml:space="preserve">DEQ received </w:t>
      </w:r>
      <w:r w:rsidR="00B75163">
        <w:rPr>
          <w:rFonts w:asciiTheme="minorHAnsi" w:eastAsia="Times New Roman" w:hAnsiTheme="minorHAnsi" w:cstheme="minorHAnsi"/>
          <w:bCs/>
          <w:color w:val="000000" w:themeColor="text1"/>
        </w:rPr>
        <w:t>2</w:t>
      </w:r>
      <w:r w:rsidRPr="00841755">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3 </w:t>
      </w:r>
      <w:r w:rsidR="00B75163">
        <w:rPr>
          <w:rFonts w:asciiTheme="minorHAnsi" w:eastAsia="Times New Roman" w:hAnsiTheme="minorHAnsi" w:cstheme="minorHAnsi"/>
          <w:bCs/>
          <w:color w:val="000000" w:themeColor="text1"/>
        </w:rPr>
        <w:t xml:space="preserve">and 5 </w:t>
      </w:r>
      <w:r w:rsidRPr="00841755">
        <w:rPr>
          <w:rFonts w:asciiTheme="minorHAnsi" w:eastAsia="Times New Roman" w:hAnsiTheme="minorHAnsi" w:cstheme="minorHAnsi"/>
          <w:bCs/>
          <w:color w:val="000000" w:themeColor="text1"/>
        </w:rPr>
        <w:t xml:space="preserve">listed in the </w:t>
      </w:r>
      <w:r w:rsidRPr="00841755">
        <w:rPr>
          <w:rFonts w:asciiTheme="minorHAnsi" w:eastAsia="Times New Roman" w:hAnsiTheme="minorHAnsi" w:cstheme="minorHAnsi"/>
          <w:bCs/>
          <w:i/>
          <w:color w:val="000000" w:themeColor="text1"/>
        </w:rPr>
        <w:t>Commenters</w:t>
      </w:r>
      <w:r w:rsidRPr="00841755">
        <w:rPr>
          <w:rFonts w:asciiTheme="minorHAnsi" w:eastAsia="Times New Roman" w:hAnsiTheme="minorHAnsi" w:cstheme="minorHAnsi"/>
          <w:bCs/>
          <w:color w:val="000000" w:themeColor="text1"/>
        </w:rPr>
        <w:t xml:space="preserve"> section below.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6E6F7B"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581195">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Placing new NSPS and NESHAP standards into ACDP permits prior to EQC adoption and requesting delegation of those standards from EPA, puts DEQ and the source in an awkward position</w:t>
      </w:r>
      <w:r w:rsidR="000E0903">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because DEQ would not have the authority to enforce the standards and the source </w:t>
      </w:r>
      <w:r w:rsidR="000E0903">
        <w:rPr>
          <w:rFonts w:asciiTheme="majorHAnsi" w:eastAsia="Times New Roman" w:hAnsiTheme="majorHAnsi" w:cstheme="majorHAnsi"/>
          <w:bCs/>
          <w:color w:val="463D38" w:themeColor="accent4" w:themeShade="80"/>
          <w:sz w:val="22"/>
          <w:szCs w:val="22"/>
        </w:rPr>
        <w:t xml:space="preserve">would potentially have to report to two agencies, EPA and DEQ.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did not explain why a </w:t>
      </w:r>
      <w:r w:rsidR="00227CCE">
        <w:rPr>
          <w:rFonts w:asciiTheme="minorHAnsi" w:eastAsia="Times New Roman" w:hAnsiTheme="minorHAnsi" w:cstheme="minorHAnsi"/>
          <w:bCs/>
          <w:color w:val="000000" w:themeColor="text1"/>
        </w:rPr>
        <w:t xml:space="preserve">federal </w:t>
      </w:r>
      <w:r>
        <w:rPr>
          <w:rFonts w:asciiTheme="minorHAnsi" w:eastAsia="Times New Roman" w:hAnsiTheme="minorHAnsi" w:cstheme="minorHAnsi"/>
          <w:bCs/>
          <w:color w:val="000000" w:themeColor="text1"/>
        </w:rPr>
        <w:t xml:space="preserve">standard </w:t>
      </w:r>
      <w:r w:rsidR="00227CCE">
        <w:rPr>
          <w:rFonts w:asciiTheme="minorHAnsi" w:eastAsia="Times New Roman" w:hAnsiTheme="minorHAnsi" w:cstheme="minorHAnsi"/>
          <w:bCs/>
          <w:color w:val="000000" w:themeColor="text1"/>
        </w:rPr>
        <w:t xml:space="preserve">that is </w:t>
      </w:r>
      <w:r>
        <w:rPr>
          <w:rFonts w:asciiTheme="minorHAnsi" w:eastAsia="Times New Roman" w:hAnsiTheme="minorHAnsi" w:cstheme="minorHAnsi"/>
          <w:bCs/>
          <w:color w:val="000000" w:themeColor="text1"/>
        </w:rPr>
        <w:t>better suited for implementation on the federal level d</w:t>
      </w:r>
      <w:r w:rsidR="00BA1558">
        <w:rPr>
          <w:rFonts w:asciiTheme="minorHAnsi" w:eastAsia="Times New Roman" w:hAnsiTheme="minorHAnsi" w:cstheme="minorHAnsi"/>
          <w:bCs/>
          <w:color w:val="000000" w:themeColor="text1"/>
        </w:rPr>
        <w:t>oesn</w:t>
      </w:r>
      <w:r>
        <w:rPr>
          <w:rFonts w:asciiTheme="minorHAnsi" w:eastAsia="Times New Roman" w:hAnsiTheme="minorHAnsi" w:cstheme="minorHAnsi"/>
          <w:bCs/>
          <w:color w:val="000000" w:themeColor="text1"/>
        </w:rPr>
        <w:t>’t eventually need to be placed in a permit.</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27CCE">
        <w:rPr>
          <w:rFonts w:asciiTheme="majorHAnsi" w:eastAsia="Times New Roman" w:hAnsiTheme="majorHAnsi" w:cstheme="majorHAnsi"/>
          <w:bCs/>
          <w:color w:val="463D38" w:themeColor="accent4" w:themeShade="80"/>
          <w:sz w:val="22"/>
          <w:szCs w:val="22"/>
        </w:rPr>
        <w:t xml:space="preserve">   If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 xml:space="preserve">ederal </w:t>
      </w:r>
      <w:r w:rsidR="000659B7">
        <w:rPr>
          <w:rFonts w:asciiTheme="majorHAnsi" w:eastAsia="Times New Roman" w:hAnsiTheme="majorHAnsi" w:cstheme="majorHAnsi"/>
          <w:bCs/>
          <w:color w:val="463D38" w:themeColor="accent4" w:themeShade="80"/>
          <w:sz w:val="22"/>
          <w:szCs w:val="22"/>
        </w:rPr>
        <w:t>requirements are</w:t>
      </w:r>
      <w:r w:rsidR="00227CCE">
        <w:rPr>
          <w:rFonts w:asciiTheme="majorHAnsi" w:eastAsia="Times New Roman" w:hAnsiTheme="majorHAnsi" w:cstheme="majorHAnsi"/>
          <w:bCs/>
          <w:color w:val="463D38" w:themeColor="accent4" w:themeShade="80"/>
          <w:sz w:val="22"/>
          <w:szCs w:val="22"/>
        </w:rPr>
        <w:t xml:space="preserve"> placed in a permit, DEQ is obligated to enforce th</w:t>
      </w:r>
      <w:r w:rsidR="000659B7">
        <w:rPr>
          <w:rFonts w:asciiTheme="majorHAnsi" w:eastAsia="Times New Roman" w:hAnsiTheme="majorHAnsi" w:cstheme="majorHAnsi"/>
          <w:bCs/>
          <w:color w:val="463D38" w:themeColor="accent4" w:themeShade="80"/>
          <w:sz w:val="22"/>
          <w:szCs w:val="22"/>
        </w:rPr>
        <w:t>ose</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requirements</w:t>
      </w:r>
      <w:r w:rsidR="00B91FC3">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whether or not DEQ has </w:t>
      </w:r>
      <w:r w:rsidR="00B91FC3">
        <w:rPr>
          <w:rFonts w:asciiTheme="majorHAnsi" w:eastAsia="Times New Roman" w:hAnsiTheme="majorHAnsi" w:cstheme="majorHAnsi"/>
          <w:bCs/>
          <w:color w:val="463D38" w:themeColor="accent4" w:themeShade="80"/>
          <w:sz w:val="22"/>
          <w:szCs w:val="22"/>
        </w:rPr>
        <w:t>the expertise and</w:t>
      </w:r>
      <w:r w:rsidR="00DB6DC4">
        <w:rPr>
          <w:rFonts w:asciiTheme="majorHAnsi" w:eastAsia="Times New Roman" w:hAnsiTheme="majorHAnsi" w:cstheme="majorHAnsi"/>
          <w:bCs/>
          <w:color w:val="463D38" w:themeColor="accent4" w:themeShade="80"/>
          <w:sz w:val="22"/>
          <w:szCs w:val="22"/>
        </w:rPr>
        <w:t>/or</w:t>
      </w:r>
      <w:r w:rsidR="00B91FC3">
        <w:rPr>
          <w:rFonts w:asciiTheme="majorHAnsi" w:eastAsia="Times New Roman" w:hAnsiTheme="majorHAnsi" w:cstheme="majorHAnsi"/>
          <w:bCs/>
          <w:color w:val="463D38" w:themeColor="accent4" w:themeShade="80"/>
          <w:sz w:val="22"/>
          <w:szCs w:val="22"/>
        </w:rPr>
        <w:t xml:space="preserve"> resources to implement t</w:t>
      </w:r>
      <w:r w:rsidR="000659B7">
        <w:rPr>
          <w:rFonts w:asciiTheme="majorHAnsi" w:eastAsia="Times New Roman" w:hAnsiTheme="majorHAnsi" w:cstheme="majorHAnsi"/>
          <w:bCs/>
          <w:color w:val="463D38" w:themeColor="accent4" w:themeShade="80"/>
          <w:sz w:val="22"/>
          <w:szCs w:val="22"/>
        </w:rPr>
        <w:t>hem</w:t>
      </w:r>
      <w:r w:rsidR="00B91FC3">
        <w:rPr>
          <w:rFonts w:asciiTheme="majorHAnsi" w:eastAsia="Times New Roman" w:hAnsiTheme="majorHAnsi" w:cstheme="majorHAnsi"/>
          <w:bCs/>
          <w:color w:val="463D38" w:themeColor="accent4" w:themeShade="80"/>
          <w:sz w:val="22"/>
          <w:szCs w:val="22"/>
        </w:rPr>
        <w:t>.</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An example of a federal requirement that </w:t>
      </w:r>
      <w:r w:rsidR="00227CCE">
        <w:rPr>
          <w:rFonts w:asciiTheme="majorHAnsi" w:eastAsia="Times New Roman" w:hAnsiTheme="majorHAnsi" w:cstheme="majorHAnsi"/>
          <w:bCs/>
          <w:color w:val="463D38" w:themeColor="accent4" w:themeShade="80"/>
          <w:sz w:val="22"/>
          <w:szCs w:val="22"/>
        </w:rPr>
        <w:t xml:space="preserve">DEQ </w:t>
      </w:r>
      <w:r w:rsidR="000659B7">
        <w:rPr>
          <w:rFonts w:asciiTheme="majorHAnsi" w:eastAsia="Times New Roman" w:hAnsiTheme="majorHAnsi" w:cstheme="majorHAnsi"/>
          <w:bCs/>
          <w:color w:val="463D38" w:themeColor="accent4" w:themeShade="80"/>
          <w:sz w:val="22"/>
          <w:szCs w:val="22"/>
        </w:rPr>
        <w:t xml:space="preserve">lacks </w:t>
      </w:r>
      <w:r w:rsidR="00227CCE">
        <w:rPr>
          <w:rFonts w:asciiTheme="majorHAnsi" w:eastAsia="Times New Roman" w:hAnsiTheme="majorHAnsi" w:cstheme="majorHAnsi"/>
          <w:bCs/>
          <w:color w:val="463D38" w:themeColor="accent4" w:themeShade="80"/>
          <w:sz w:val="22"/>
          <w:szCs w:val="22"/>
        </w:rPr>
        <w:t>the resources and</w:t>
      </w:r>
      <w:r w:rsidR="00DB6DC4">
        <w:rPr>
          <w:rFonts w:asciiTheme="majorHAnsi" w:eastAsia="Times New Roman" w:hAnsiTheme="majorHAnsi" w:cstheme="majorHAnsi"/>
          <w:bCs/>
          <w:color w:val="463D38" w:themeColor="accent4" w:themeShade="80"/>
          <w:sz w:val="22"/>
          <w:szCs w:val="22"/>
        </w:rPr>
        <w:t>/or</w:t>
      </w:r>
      <w:r w:rsidR="00227CCE">
        <w:rPr>
          <w:rFonts w:asciiTheme="majorHAnsi" w:eastAsia="Times New Roman" w:hAnsiTheme="majorHAnsi" w:cstheme="majorHAnsi"/>
          <w:bCs/>
          <w:color w:val="463D38" w:themeColor="accent4" w:themeShade="80"/>
          <w:sz w:val="22"/>
          <w:szCs w:val="22"/>
        </w:rPr>
        <w:t xml:space="preserve"> expertise to implement </w:t>
      </w:r>
      <w:r w:rsidR="000659B7">
        <w:rPr>
          <w:rFonts w:asciiTheme="majorHAnsi" w:eastAsia="Times New Roman" w:hAnsiTheme="majorHAnsi" w:cstheme="majorHAnsi"/>
          <w:bCs/>
          <w:color w:val="463D38" w:themeColor="accent4" w:themeShade="80"/>
          <w:sz w:val="22"/>
          <w:szCs w:val="22"/>
        </w:rPr>
        <w:t xml:space="preserve">is </w:t>
      </w:r>
      <w:r w:rsidR="00227CCE">
        <w:rPr>
          <w:rFonts w:asciiTheme="majorHAnsi" w:eastAsia="Times New Roman" w:hAnsiTheme="majorHAnsi" w:cstheme="majorHAnsi"/>
          <w:bCs/>
          <w:color w:val="463D38" w:themeColor="accent4" w:themeShade="80"/>
          <w:sz w:val="22"/>
          <w:szCs w:val="22"/>
        </w:rPr>
        <w:t xml:space="preserve">the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ederal accidental release program.</w:t>
      </w:r>
      <w:r w:rsidR="000659B7">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DEQ held an advisory committee to advise DEQ on how to obtain the resources to implement the federal accidental release program. The committee determined that t</w:t>
      </w:r>
      <w:r w:rsidR="000659B7">
        <w:rPr>
          <w:rFonts w:asciiTheme="majorHAnsi" w:eastAsia="Times New Roman" w:hAnsiTheme="majorHAnsi" w:cstheme="majorHAnsi"/>
          <w:bCs/>
          <w:color w:val="463D38" w:themeColor="accent4" w:themeShade="80"/>
          <w:sz w:val="22"/>
          <w:szCs w:val="22"/>
        </w:rPr>
        <w:t>he accidental release program is better implemented on the federal level.</w:t>
      </w:r>
      <w:r w:rsidR="00227CCE">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Without th</w:t>
      </w:r>
      <w:r w:rsidR="00094C50">
        <w:rPr>
          <w:rFonts w:asciiTheme="majorHAnsi" w:eastAsia="Times New Roman" w:hAnsiTheme="majorHAnsi" w:cstheme="majorHAnsi"/>
          <w:bCs/>
          <w:color w:val="463D38" w:themeColor="accent4" w:themeShade="80"/>
          <w:sz w:val="22"/>
          <w:szCs w:val="22"/>
        </w:rPr>
        <w:t>ese</w:t>
      </w:r>
      <w:r w:rsidR="00DB6DC4">
        <w:rPr>
          <w:rFonts w:asciiTheme="majorHAnsi" w:eastAsia="Times New Roman" w:hAnsiTheme="majorHAnsi" w:cstheme="majorHAnsi"/>
          <w:bCs/>
          <w:color w:val="463D38" w:themeColor="accent4" w:themeShade="80"/>
          <w:sz w:val="22"/>
          <w:szCs w:val="22"/>
        </w:rPr>
        <w:t xml:space="preserve"> proposed changes, DEQ </w:t>
      </w:r>
      <w:r w:rsidR="00C272FB">
        <w:rPr>
          <w:rFonts w:asciiTheme="majorHAnsi" w:eastAsia="Times New Roman" w:hAnsiTheme="majorHAnsi" w:cstheme="majorHAnsi"/>
          <w:bCs/>
          <w:color w:val="463D38" w:themeColor="accent4" w:themeShade="80"/>
          <w:sz w:val="22"/>
          <w:szCs w:val="22"/>
        </w:rPr>
        <w:t xml:space="preserve">would be </w:t>
      </w:r>
      <w:r w:rsidR="00DB6DC4">
        <w:rPr>
          <w:rFonts w:asciiTheme="majorHAnsi" w:eastAsia="Times New Roman" w:hAnsiTheme="majorHAnsi" w:cstheme="majorHAnsi"/>
          <w:bCs/>
          <w:color w:val="463D38" w:themeColor="accent4" w:themeShade="80"/>
          <w:sz w:val="22"/>
          <w:szCs w:val="22"/>
        </w:rPr>
        <w:t>required to place the accidental release program into ACDP permits</w:t>
      </w:r>
      <w:r w:rsidR="00C272FB">
        <w:rPr>
          <w:rFonts w:asciiTheme="majorHAnsi" w:eastAsia="Times New Roman" w:hAnsiTheme="majorHAnsi" w:cstheme="majorHAnsi"/>
          <w:bCs/>
          <w:color w:val="463D38" w:themeColor="accent4" w:themeShade="80"/>
          <w:sz w:val="22"/>
          <w:szCs w:val="22"/>
        </w:rPr>
        <w:t>, with</w:t>
      </w:r>
      <w:r w:rsidR="00094C50">
        <w:rPr>
          <w:rFonts w:asciiTheme="majorHAnsi" w:eastAsia="Times New Roman" w:hAnsiTheme="majorHAnsi" w:cstheme="majorHAnsi"/>
          <w:bCs/>
          <w:color w:val="463D38" w:themeColor="accent4" w:themeShade="80"/>
          <w:sz w:val="22"/>
          <w:szCs w:val="22"/>
        </w:rPr>
        <w:t>out</w:t>
      </w:r>
      <w:r w:rsidR="00C272FB">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the appropriate </w:t>
      </w:r>
      <w:r w:rsidR="00C272FB">
        <w:rPr>
          <w:rFonts w:asciiTheme="majorHAnsi" w:eastAsia="Times New Roman" w:hAnsiTheme="majorHAnsi" w:cstheme="majorHAnsi"/>
          <w:bCs/>
          <w:color w:val="463D38" w:themeColor="accent4" w:themeShade="80"/>
          <w:sz w:val="22"/>
          <w:szCs w:val="22"/>
        </w:rPr>
        <w:t xml:space="preserve">resources to </w:t>
      </w:r>
      <w:r w:rsidR="00DB6DC4">
        <w:rPr>
          <w:rFonts w:asciiTheme="majorHAnsi" w:eastAsia="Times New Roman" w:hAnsiTheme="majorHAnsi" w:cstheme="majorHAnsi"/>
          <w:bCs/>
          <w:color w:val="463D38" w:themeColor="accent4" w:themeShade="80"/>
          <w:sz w:val="22"/>
          <w:szCs w:val="22"/>
        </w:rPr>
        <w:t xml:space="preserve">implement the program. </w:t>
      </w:r>
      <w:r w:rsidR="00227CC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sidR="00285C52">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sidR="00285C52">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w:t>
      </w:r>
      <w:r w:rsidR="00285C5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DEQ would prefer not to put all applicable requirements into the permit. This will cause serious confusion because Oregon residents will be looking at a permit that does not include all the emission limits and standards that the source is subject to.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B91FC3" w:rsidRDefault="00115EF1" w:rsidP="00B91FC3">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6D2A82">
        <w:rPr>
          <w:rFonts w:asciiTheme="majorHAnsi" w:eastAsia="Times New Roman" w:hAnsiTheme="majorHAnsi" w:cstheme="majorHAnsi"/>
          <w:bCs/>
          <w:color w:val="463D38" w:themeColor="accent4" w:themeShade="80"/>
          <w:sz w:val="22"/>
          <w:szCs w:val="22"/>
        </w:rPr>
        <w:t xml:space="preserve">   </w:t>
      </w:r>
      <w:r w:rsidR="00085EDD" w:rsidRPr="000E0903">
        <w:rPr>
          <w:rFonts w:asciiTheme="majorHAnsi" w:eastAsia="Times New Roman" w:hAnsiTheme="majorHAnsi" w:cstheme="majorHAnsi"/>
          <w:bCs/>
          <w:color w:val="463D38" w:themeColor="accent4" w:themeShade="80"/>
          <w:sz w:val="22"/>
          <w:szCs w:val="22"/>
        </w:rPr>
        <w:t xml:space="preserve">DEQ </w:t>
      </w:r>
      <w:r w:rsidR="00B91FC3" w:rsidRPr="000E0903">
        <w:rPr>
          <w:rFonts w:asciiTheme="majorHAnsi" w:eastAsia="Times New Roman" w:hAnsiTheme="majorHAnsi" w:cstheme="majorHAnsi"/>
          <w:bCs/>
          <w:color w:val="463D38" w:themeColor="accent4" w:themeShade="80"/>
          <w:sz w:val="22"/>
          <w:szCs w:val="22"/>
        </w:rPr>
        <w:t xml:space="preserve">would </w:t>
      </w:r>
      <w:r w:rsidR="00085EDD" w:rsidRPr="000E0903">
        <w:rPr>
          <w:rFonts w:asciiTheme="majorHAnsi" w:eastAsia="Times New Roman" w:hAnsiTheme="majorHAnsi" w:cstheme="majorHAnsi"/>
          <w:bCs/>
          <w:color w:val="463D38" w:themeColor="accent4" w:themeShade="80"/>
          <w:sz w:val="22"/>
          <w:szCs w:val="22"/>
        </w:rPr>
        <w:t>prefer to put all applicable requirements into an ACDP permit</w:t>
      </w:r>
      <w:r w:rsidR="00B91FC3" w:rsidRPr="000E0903">
        <w:rPr>
          <w:rFonts w:asciiTheme="majorHAnsi" w:eastAsia="Times New Roman" w:hAnsiTheme="majorHAnsi" w:cstheme="majorHAnsi"/>
          <w:bCs/>
          <w:color w:val="463D38" w:themeColor="accent4" w:themeShade="80"/>
          <w:sz w:val="22"/>
          <w:szCs w:val="22"/>
        </w:rPr>
        <w:t>.</w:t>
      </w:r>
      <w:r w:rsidR="00B91FC3">
        <w:rPr>
          <w:rFonts w:asciiTheme="majorHAnsi" w:eastAsia="Times New Roman" w:hAnsiTheme="majorHAnsi" w:cstheme="majorHAnsi"/>
          <w:bCs/>
          <w:color w:val="463D38" w:themeColor="accent4" w:themeShade="80"/>
          <w:sz w:val="22"/>
          <w:szCs w:val="22"/>
        </w:rPr>
        <w:t xml:space="preserve"> </w:t>
      </w:r>
      <w:r w:rsidR="000E0903">
        <w:rPr>
          <w:rFonts w:asciiTheme="majorHAnsi" w:eastAsia="Times New Roman" w:hAnsiTheme="majorHAnsi" w:cstheme="majorHAnsi"/>
          <w:bCs/>
          <w:color w:val="463D38" w:themeColor="accent4" w:themeShade="80"/>
          <w:sz w:val="22"/>
          <w:szCs w:val="22"/>
        </w:rPr>
        <w:t>However, as mentioned previously, that puts DEQ and the source in an awkward position. The preferred approach would be to inform permitted source</w:t>
      </w:r>
      <w:r w:rsidR="00904755">
        <w:rPr>
          <w:rFonts w:asciiTheme="majorHAnsi" w:eastAsia="Times New Roman" w:hAnsiTheme="majorHAnsi" w:cstheme="majorHAnsi"/>
          <w:bCs/>
          <w:color w:val="463D38" w:themeColor="accent4" w:themeShade="80"/>
          <w:sz w:val="22"/>
          <w:szCs w:val="22"/>
        </w:rPr>
        <w:t>s</w:t>
      </w:r>
      <w:r w:rsidR="000E0903">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of the new federal standards </w:t>
      </w:r>
      <w:r w:rsidR="000E0903">
        <w:rPr>
          <w:rFonts w:asciiTheme="majorHAnsi" w:eastAsia="Times New Roman" w:hAnsiTheme="majorHAnsi" w:cstheme="majorHAnsi"/>
          <w:bCs/>
          <w:color w:val="463D38" w:themeColor="accent4" w:themeShade="80"/>
          <w:sz w:val="22"/>
          <w:szCs w:val="22"/>
        </w:rPr>
        <w:t>in the review report, by letter, or verbally</w:t>
      </w:r>
      <w:r w:rsidR="00904755">
        <w:rPr>
          <w:rFonts w:asciiTheme="majorHAnsi" w:eastAsia="Times New Roman" w:hAnsiTheme="majorHAnsi" w:cstheme="majorHAnsi"/>
          <w:bCs/>
          <w:color w:val="463D38" w:themeColor="accent4" w:themeShade="80"/>
          <w:sz w:val="22"/>
          <w:szCs w:val="22"/>
        </w:rPr>
        <w:t>, prior to their adoption by the EQC, and incorporat</w:t>
      </w:r>
      <w:r w:rsidR="00D32471">
        <w:rPr>
          <w:rFonts w:asciiTheme="majorHAnsi" w:eastAsia="Times New Roman" w:hAnsiTheme="majorHAnsi" w:cstheme="majorHAnsi"/>
          <w:bCs/>
          <w:color w:val="463D38" w:themeColor="accent4" w:themeShade="80"/>
          <w:sz w:val="22"/>
          <w:szCs w:val="22"/>
        </w:rPr>
        <w:t>e</w:t>
      </w:r>
      <w:r w:rsidR="00904755">
        <w:rPr>
          <w:rFonts w:asciiTheme="majorHAnsi" w:eastAsia="Times New Roman" w:hAnsiTheme="majorHAnsi" w:cstheme="majorHAnsi"/>
          <w:bCs/>
          <w:color w:val="463D38" w:themeColor="accent4" w:themeShade="80"/>
          <w:sz w:val="22"/>
          <w:szCs w:val="22"/>
        </w:rPr>
        <w:t xml:space="preserve"> </w:t>
      </w:r>
      <w:r w:rsidR="00D32471">
        <w:rPr>
          <w:rFonts w:asciiTheme="majorHAnsi" w:eastAsia="Times New Roman" w:hAnsiTheme="majorHAnsi" w:cstheme="majorHAnsi"/>
          <w:bCs/>
          <w:color w:val="463D38" w:themeColor="accent4" w:themeShade="80"/>
          <w:sz w:val="22"/>
          <w:szCs w:val="22"/>
        </w:rPr>
        <w:t xml:space="preserve">them </w:t>
      </w:r>
      <w:r w:rsidR="00904755">
        <w:rPr>
          <w:rFonts w:asciiTheme="majorHAnsi" w:eastAsia="Times New Roman" w:hAnsiTheme="majorHAnsi" w:cstheme="majorHAnsi"/>
          <w:bCs/>
          <w:color w:val="463D38" w:themeColor="accent4" w:themeShade="80"/>
          <w:sz w:val="22"/>
          <w:szCs w:val="22"/>
        </w:rPr>
        <w:t xml:space="preserve">into permits after </w:t>
      </w:r>
      <w:r w:rsidR="00D32471">
        <w:rPr>
          <w:rFonts w:asciiTheme="majorHAnsi" w:eastAsia="Times New Roman" w:hAnsiTheme="majorHAnsi" w:cstheme="majorHAnsi"/>
          <w:bCs/>
          <w:color w:val="463D38" w:themeColor="accent4" w:themeShade="80"/>
          <w:sz w:val="22"/>
          <w:szCs w:val="22"/>
        </w:rPr>
        <w:t xml:space="preserve">their </w:t>
      </w:r>
      <w:r w:rsidR="00904755">
        <w:rPr>
          <w:rFonts w:asciiTheme="majorHAnsi" w:eastAsia="Times New Roman" w:hAnsiTheme="majorHAnsi" w:cstheme="majorHAnsi"/>
          <w:bCs/>
          <w:color w:val="463D38" w:themeColor="accent4" w:themeShade="80"/>
          <w:sz w:val="22"/>
          <w:szCs w:val="22"/>
        </w:rPr>
        <w:t>adoption</w:t>
      </w:r>
      <w:r w:rsidR="000E0903">
        <w:rPr>
          <w:rFonts w:asciiTheme="majorHAnsi" w:eastAsia="Times New Roman" w:hAnsiTheme="majorHAnsi" w:cstheme="majorHAnsi"/>
          <w:bCs/>
          <w:color w:val="463D38" w:themeColor="accent4" w:themeShade="80"/>
          <w:sz w:val="22"/>
          <w:szCs w:val="22"/>
        </w:rPr>
        <w:t xml:space="preserve">. </w:t>
      </w:r>
    </w:p>
    <w:p w:rsidR="00115EF1" w:rsidRDefault="00085EDD" w:rsidP="00B91FC3">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00115EF1" w:rsidRPr="00B838E2">
        <w:rPr>
          <w:rFonts w:asciiTheme="minorHAnsi" w:eastAsia="Times New Roman" w:hAnsiTheme="minorHAnsi" w:cstheme="minorHAnsi"/>
          <w:bCs/>
          <w:color w:val="463D38" w:themeColor="accent4" w:themeShade="80"/>
        </w:rPr>
        <w:tab/>
      </w: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hasn’t provided any information showing that these incomplete permits will state that they are incomplete and that other federal requirements m</w:t>
      </w:r>
      <w:r w:rsidR="00285C52">
        <w:rPr>
          <w:rFonts w:asciiTheme="minorHAnsi" w:eastAsia="Times New Roman" w:hAnsiTheme="minorHAnsi" w:cstheme="minorHAnsi"/>
          <w:bCs/>
          <w:color w:val="000000" w:themeColor="text1"/>
        </w:rPr>
        <w:t>ay</w:t>
      </w:r>
      <w:r>
        <w:rPr>
          <w:rFonts w:asciiTheme="minorHAnsi" w:eastAsia="Times New Roman" w:hAnsiTheme="minorHAnsi" w:cstheme="minorHAnsi"/>
          <w:bCs/>
          <w:color w:val="000000" w:themeColor="text1"/>
        </w:rPr>
        <w:t xml:space="preserve"> apply.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Pr="00B838E2">
        <w:rPr>
          <w:rFonts w:asciiTheme="minorHAnsi" w:eastAsia="Times New Roman" w:hAnsiTheme="minorHAnsi" w:cstheme="minorHAnsi"/>
          <w:bCs/>
          <w:color w:val="463D38" w:themeColor="accent4" w:themeShade="80"/>
        </w:rPr>
        <w:tab/>
      </w:r>
      <w:r w:rsidR="00D0362F">
        <w:rPr>
          <w:rFonts w:asciiTheme="minorHAnsi" w:eastAsia="Times New Roman" w:hAnsiTheme="minorHAnsi" w:cstheme="minorHAnsi"/>
          <w:bCs/>
          <w:color w:val="463D38" w:themeColor="accent4" w:themeShade="80"/>
        </w:rPr>
        <w:t xml:space="preserve">DEQ typically lists other federal requirements that may apply to a source in the review report to the permit.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6127C7" w:rsidRPr="006127C7" w:rsidRDefault="006127C7"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 xml:space="preserve">hat are some examples of "new requirements" </w:t>
      </w:r>
      <w:r>
        <w:rPr>
          <w:rFonts w:asciiTheme="majorHAnsi" w:eastAsia="Times New Roman" w:hAnsiTheme="majorHAnsi" w:cstheme="majorHAnsi"/>
          <w:bCs/>
          <w:color w:val="000000" w:themeColor="text1"/>
          <w:sz w:val="22"/>
          <w:szCs w:val="22"/>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127C7" w:rsidRPr="006127C7" w:rsidRDefault="006127C7" w:rsidP="006127C7">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NSPS and NESHAP standards are some examples of “new requirements”. </w:t>
      </w:r>
    </w:p>
    <w:p w:rsidR="006127C7" w:rsidRDefault="006127C7"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P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The</w:t>
      </w:r>
      <w:r w:rsidR="00EB630B">
        <w:rPr>
          <w:rFonts w:asciiTheme="majorHAnsi" w:eastAsia="Times New Roman" w:hAnsiTheme="majorHAnsi" w:cstheme="majorHAnsi"/>
          <w:bCs/>
          <w:color w:val="463D38" w:themeColor="accent4" w:themeShade="80"/>
          <w:sz w:val="22"/>
          <w:szCs w:val="22"/>
        </w:rPr>
        <w:t xml:space="preserve"> proposed changes delay when businesses are required to get a permit and when new federal requirements must be put into existing permits. The proposed changes do not affect the federal requirements. Affected businesses must comply with the federal requirements regardless of whether the requirements are in </w:t>
      </w:r>
      <w:r w:rsidR="002B5CCC">
        <w:rPr>
          <w:rFonts w:asciiTheme="majorHAnsi" w:eastAsia="Times New Roman" w:hAnsiTheme="majorHAnsi" w:cstheme="majorHAnsi"/>
          <w:bCs/>
          <w:color w:val="463D38" w:themeColor="accent4" w:themeShade="80"/>
          <w:sz w:val="22"/>
          <w:szCs w:val="22"/>
        </w:rPr>
        <w:t>a</w:t>
      </w:r>
      <w:r w:rsidR="00EB630B">
        <w:rPr>
          <w:rFonts w:asciiTheme="majorHAnsi" w:eastAsia="Times New Roman" w:hAnsiTheme="majorHAnsi" w:cstheme="majorHAnsi"/>
          <w:bCs/>
          <w:color w:val="463D38" w:themeColor="accent4" w:themeShade="80"/>
          <w:sz w:val="22"/>
          <w:szCs w:val="22"/>
        </w:rPr>
        <w:t xml:space="preserve"> </w:t>
      </w:r>
      <w:r w:rsidR="00EB630B" w:rsidRPr="00C70D58">
        <w:rPr>
          <w:rFonts w:asciiTheme="majorHAnsi" w:eastAsia="Times New Roman" w:hAnsiTheme="majorHAnsi" w:cstheme="majorHAnsi"/>
          <w:bCs/>
          <w:color w:val="463D38" w:themeColor="accent4" w:themeShade="80"/>
          <w:sz w:val="22"/>
          <w:szCs w:val="22"/>
        </w:rPr>
        <w:t>permit.</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sidR="00D05ACD">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DEQ continues to make adjustments </w:t>
      </w:r>
      <w:r w:rsidR="00EB630B">
        <w:rPr>
          <w:rFonts w:asciiTheme="majorHAnsi" w:eastAsia="Times New Roman" w:hAnsiTheme="majorHAnsi" w:cstheme="majorHAnsi"/>
          <w:bCs/>
          <w:color w:val="463D38" w:themeColor="accent4" w:themeShade="80"/>
          <w:sz w:val="22"/>
          <w:szCs w:val="22"/>
        </w:rPr>
        <w:t xml:space="preserve">to the ACDP program </w:t>
      </w:r>
      <w:r w:rsidR="00B60E12">
        <w:rPr>
          <w:rFonts w:asciiTheme="majorHAnsi" w:eastAsia="Times New Roman" w:hAnsiTheme="majorHAnsi" w:cstheme="majorHAnsi"/>
          <w:bCs/>
          <w:color w:val="463D38" w:themeColor="accent4" w:themeShade="80"/>
          <w:sz w:val="22"/>
          <w:szCs w:val="22"/>
        </w:rPr>
        <w:t>and its implementation of the federal air toxic standards so that the</w:t>
      </w:r>
      <w:r w:rsidR="00EB630B">
        <w:rPr>
          <w:rFonts w:asciiTheme="majorHAnsi" w:eastAsia="Times New Roman" w:hAnsiTheme="majorHAnsi" w:cstheme="majorHAnsi"/>
          <w:bCs/>
          <w:color w:val="463D38" w:themeColor="accent4" w:themeShade="80"/>
          <w:sz w:val="22"/>
          <w:szCs w:val="22"/>
        </w:rPr>
        <w:t xml:space="preserve"> focus </w:t>
      </w:r>
      <w:r w:rsidR="00B60E12">
        <w:rPr>
          <w:rFonts w:asciiTheme="majorHAnsi" w:eastAsia="Times New Roman" w:hAnsiTheme="majorHAnsi" w:cstheme="majorHAnsi"/>
          <w:bCs/>
          <w:color w:val="463D38" w:themeColor="accent4" w:themeShade="80"/>
          <w:sz w:val="22"/>
          <w:szCs w:val="22"/>
        </w:rPr>
        <w:t xml:space="preserve">is on </w:t>
      </w:r>
      <w:r w:rsidR="00EB630B">
        <w:rPr>
          <w:rFonts w:asciiTheme="majorHAnsi" w:eastAsia="Times New Roman" w:hAnsiTheme="majorHAnsi" w:cstheme="majorHAnsi"/>
          <w:bCs/>
          <w:color w:val="463D38" w:themeColor="accent4" w:themeShade="80"/>
          <w:sz w:val="22"/>
          <w:szCs w:val="22"/>
        </w:rPr>
        <w:t xml:space="preserve">the more significant sources of toxic air pollution and on the federal </w:t>
      </w:r>
      <w:r w:rsidR="00B60E12">
        <w:rPr>
          <w:rFonts w:asciiTheme="majorHAnsi" w:eastAsia="Times New Roman" w:hAnsiTheme="majorHAnsi" w:cstheme="majorHAnsi"/>
          <w:bCs/>
          <w:color w:val="463D38" w:themeColor="accent4" w:themeShade="80"/>
          <w:sz w:val="22"/>
          <w:szCs w:val="22"/>
        </w:rPr>
        <w:t xml:space="preserve">standards that achieve </w:t>
      </w:r>
      <w:r w:rsidR="000C3A14">
        <w:rPr>
          <w:rFonts w:asciiTheme="majorHAnsi" w:eastAsia="Times New Roman" w:hAnsiTheme="majorHAnsi" w:cstheme="majorHAnsi"/>
          <w:bCs/>
          <w:color w:val="463D38" w:themeColor="accent4" w:themeShade="80"/>
          <w:sz w:val="22"/>
          <w:szCs w:val="22"/>
        </w:rPr>
        <w:t xml:space="preserve">more </w:t>
      </w:r>
      <w:r w:rsidR="00B60E12">
        <w:rPr>
          <w:rFonts w:asciiTheme="majorHAnsi" w:eastAsia="Times New Roman" w:hAnsiTheme="majorHAnsi" w:cstheme="majorHAnsi"/>
          <w:bCs/>
          <w:color w:val="463D38" w:themeColor="accent4" w:themeShade="80"/>
          <w:sz w:val="22"/>
          <w:szCs w:val="22"/>
        </w:rPr>
        <w:t>significant reductions of toxic air pollution in Oregon.</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B59FD" w:rsidRDefault="00FB59FD" w:rsidP="00FB59F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fully consider the burden that delaying permitting would 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delaying implementation of the emission standards.</w:t>
      </w:r>
      <w:r w:rsidRPr="009F7036">
        <w:rPr>
          <w:rFonts w:asciiTheme="minorHAnsi" w:eastAsia="Times New Roman" w:hAnsiTheme="minorHAnsi" w:cstheme="minorHAnsi"/>
          <w:bCs/>
          <w:color w:val="000000" w:themeColor="text1"/>
        </w:rPr>
        <w:t xml:space="preserve"> </w:t>
      </w:r>
    </w:p>
    <w:p w:rsidR="00FB59FD" w:rsidRDefault="00FB59FD" w:rsidP="00FB59FD">
      <w:pPr>
        <w:pStyle w:val="ListParagraph"/>
        <w:ind w:left="1440" w:right="634"/>
        <w:outlineLvl w:val="0"/>
        <w:rPr>
          <w:rFonts w:asciiTheme="minorHAnsi" w:eastAsia="Times New Roman" w:hAnsiTheme="minorHAnsi" w:cstheme="minorHAnsi"/>
          <w:bCs/>
          <w:color w:val="000000" w:themeColor="text1"/>
        </w:rPr>
      </w:pPr>
    </w:p>
    <w:p w:rsidR="00FB59FD" w:rsidRPr="000E5ECC" w:rsidRDefault="00FB59FD" w:rsidP="00FB59F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B59FD" w:rsidRPr="002F5550" w:rsidRDefault="00FB59FD" w:rsidP="00FB59F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B59FD" w:rsidRDefault="00FB59FD" w:rsidP="00FB59F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is concerned about the impact of delaying permitting on the public. While requiring EQC adoption of </w:t>
      </w:r>
      <w:r w:rsidR="0094338E">
        <w:rPr>
          <w:rFonts w:asciiTheme="majorHAnsi" w:eastAsia="Times New Roman" w:hAnsiTheme="majorHAnsi" w:cstheme="majorHAnsi"/>
          <w:bCs/>
          <w:color w:val="463D38" w:themeColor="accent4" w:themeShade="80"/>
          <w:sz w:val="22"/>
          <w:szCs w:val="22"/>
        </w:rPr>
        <w:t>federal standards</w:t>
      </w:r>
      <w:r>
        <w:rPr>
          <w:rFonts w:asciiTheme="majorHAnsi" w:eastAsia="Times New Roman" w:hAnsiTheme="majorHAnsi" w:cstheme="majorHAnsi"/>
          <w:bCs/>
          <w:color w:val="463D38" w:themeColor="accent4" w:themeShade="80"/>
          <w:sz w:val="22"/>
          <w:szCs w:val="22"/>
        </w:rPr>
        <w:t xml:space="preserve"> before </w:t>
      </w:r>
      <w:r w:rsidR="0094338E">
        <w:rPr>
          <w:rFonts w:asciiTheme="majorHAnsi" w:eastAsia="Times New Roman" w:hAnsiTheme="majorHAnsi" w:cstheme="majorHAnsi"/>
          <w:bCs/>
          <w:color w:val="463D38" w:themeColor="accent4" w:themeShade="80"/>
          <w:sz w:val="22"/>
          <w:szCs w:val="22"/>
        </w:rPr>
        <w:t xml:space="preserve">placing them into </w:t>
      </w:r>
      <w:r>
        <w:rPr>
          <w:rFonts w:asciiTheme="majorHAnsi" w:eastAsia="Times New Roman" w:hAnsiTheme="majorHAnsi" w:cstheme="majorHAnsi"/>
          <w:bCs/>
          <w:color w:val="463D38" w:themeColor="accent4" w:themeShade="80"/>
          <w:sz w:val="22"/>
          <w:szCs w:val="22"/>
        </w:rPr>
        <w:t>permit</w:t>
      </w:r>
      <w:r w:rsidR="0094338E">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would potentially delay </w:t>
      </w:r>
      <w:r w:rsidR="0094338E">
        <w:rPr>
          <w:rFonts w:asciiTheme="majorHAnsi" w:eastAsia="Times New Roman" w:hAnsiTheme="majorHAnsi" w:cstheme="majorHAnsi"/>
          <w:bCs/>
          <w:color w:val="463D38" w:themeColor="accent4" w:themeShade="80"/>
          <w:sz w:val="22"/>
          <w:szCs w:val="22"/>
        </w:rPr>
        <w:t xml:space="preserve">their </w:t>
      </w:r>
      <w:r>
        <w:rPr>
          <w:rFonts w:asciiTheme="majorHAnsi" w:eastAsia="Times New Roman" w:hAnsiTheme="majorHAnsi" w:cstheme="majorHAnsi"/>
          <w:bCs/>
          <w:color w:val="463D38" w:themeColor="accent4" w:themeShade="80"/>
          <w:sz w:val="22"/>
          <w:szCs w:val="22"/>
        </w:rPr>
        <w:t xml:space="preserve">implementation, many affected sources learn about </w:t>
      </w:r>
      <w:r w:rsidR="0094338E">
        <w:rPr>
          <w:rFonts w:asciiTheme="majorHAnsi" w:eastAsia="Times New Roman" w:hAnsiTheme="majorHAnsi" w:cstheme="majorHAnsi"/>
          <w:bCs/>
          <w:color w:val="463D38" w:themeColor="accent4" w:themeShade="80"/>
          <w:sz w:val="22"/>
          <w:szCs w:val="22"/>
        </w:rPr>
        <w:t xml:space="preserve">federal standards and are working </w:t>
      </w:r>
      <w:r>
        <w:rPr>
          <w:rFonts w:asciiTheme="majorHAnsi" w:eastAsia="Times New Roman" w:hAnsiTheme="majorHAnsi" w:cstheme="majorHAnsi"/>
          <w:bCs/>
          <w:color w:val="463D38" w:themeColor="accent4" w:themeShade="80"/>
          <w:sz w:val="22"/>
          <w:szCs w:val="22"/>
        </w:rPr>
        <w:t>towards compliance prior to EQC adoption. Sources of information include: industry associations, equipment suppliers, consultants, competitors, EPA, and DEQ.</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B59FD" w:rsidRDefault="00FB59F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E0CD6" w:rsidRDefault="00FE0CD6" w:rsidP="00FE0CD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ACDP is important because it lets local residences know what industries are located in their neighborhood as well as what limits EPA or DEQ has put on operations of local emissions sources. </w:t>
      </w:r>
    </w:p>
    <w:p w:rsidR="00FE0CD6" w:rsidRDefault="00FE0CD6" w:rsidP="00FE0CD6">
      <w:pPr>
        <w:pStyle w:val="ListParagraph"/>
        <w:ind w:left="1440" w:right="634"/>
        <w:outlineLvl w:val="0"/>
        <w:rPr>
          <w:rFonts w:asciiTheme="minorHAnsi" w:eastAsia="Times New Roman" w:hAnsiTheme="minorHAnsi" w:cstheme="minorHAnsi"/>
          <w:bCs/>
          <w:color w:val="000000" w:themeColor="text1"/>
        </w:rPr>
      </w:pPr>
    </w:p>
    <w:p w:rsidR="00FE0CD6" w:rsidRPr="000E5ECC" w:rsidRDefault="00FE0CD6" w:rsidP="00FE0CD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lastRenderedPageBreak/>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E0CD6" w:rsidRPr="002F5550" w:rsidRDefault="00FE0CD6" w:rsidP="00FE0CD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E0CD6" w:rsidRDefault="00FE0CD6" w:rsidP="00FE0CD6">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w:t>
      </w:r>
      <w:r w:rsidR="0094338E">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lets local residences know what industries are located in their neighborhoods as well as what limits EPA or DEQ has put on operations of local emissions sources. The purpose of the</w:t>
      </w:r>
      <w:r w:rsidR="0094338E">
        <w:rPr>
          <w:rFonts w:asciiTheme="majorHAnsi" w:eastAsia="Times New Roman" w:hAnsiTheme="majorHAnsi" w:cstheme="majorHAnsi"/>
          <w:bCs/>
          <w:color w:val="463D38" w:themeColor="accent4" w:themeShade="80"/>
          <w:sz w:val="22"/>
          <w:szCs w:val="22"/>
        </w:rPr>
        <w:t>se</w:t>
      </w:r>
      <w:r>
        <w:rPr>
          <w:rFonts w:asciiTheme="majorHAnsi" w:eastAsia="Times New Roman" w:hAnsiTheme="majorHAnsi" w:cstheme="majorHAnsi"/>
          <w:bCs/>
          <w:color w:val="463D38" w:themeColor="accent4" w:themeShade="80"/>
          <w:sz w:val="22"/>
          <w:szCs w:val="22"/>
        </w:rPr>
        <w:t xml:space="preserve"> change</w:t>
      </w:r>
      <w:r w:rsidR="0094338E">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is to meet state law, not to withhold information from the public. One of DEQ’s strategic directions is to support communities in solving environmental problems and increase education and involve the public in protecting health and the environment.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E0CD6" w:rsidRDefault="00FE0CD6" w:rsidP="00FE0CD6">
      <w:pPr>
        <w:pStyle w:val="ListParagraph"/>
        <w:ind w:left="2340" w:right="634"/>
        <w:outlineLvl w:val="0"/>
        <w:rPr>
          <w:rFonts w:asciiTheme="minorHAnsi" w:eastAsia="Times New Roman" w:hAnsiTheme="minorHAnsi" w:cstheme="minorHAnsi"/>
          <w:bCs/>
          <w:color w:val="000000" w:themeColor="text1"/>
        </w:rPr>
      </w:pPr>
    </w:p>
    <w:p w:rsidR="00FA025D" w:rsidRDefault="00FA025D" w:rsidP="00FA025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DEQ did not explain why the </w:t>
      </w:r>
      <w:r>
        <w:rPr>
          <w:rFonts w:asciiTheme="minorHAnsi" w:eastAsia="Times New Roman" w:hAnsiTheme="minorHAnsi" w:cstheme="minorHAnsi"/>
          <w:bCs/>
          <w:color w:val="000000" w:themeColor="text1"/>
        </w:rPr>
        <w:t xml:space="preserve">above changes </w:t>
      </w:r>
      <w:r w:rsidRPr="00F90125">
        <w:rPr>
          <w:rFonts w:asciiTheme="minorHAnsi" w:eastAsia="Times New Roman" w:hAnsiTheme="minorHAnsi" w:cstheme="minorHAnsi"/>
          <w:bCs/>
          <w:color w:val="000000" w:themeColor="text1"/>
        </w:rPr>
        <w:t>could not be handled through the issuance of a General ACDP</w:t>
      </w:r>
      <w:r>
        <w:rPr>
          <w:rFonts w:asciiTheme="minorHAnsi" w:eastAsia="Times New Roman" w:hAnsiTheme="minorHAnsi" w:cstheme="minorHAnsi"/>
          <w:bCs/>
          <w:color w:val="000000" w:themeColor="text1"/>
        </w:rPr>
        <w:t xml:space="preserve"> or General ACDP Attachment</w:t>
      </w:r>
      <w:r w:rsidRPr="00F9012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w:t>
      </w:r>
    </w:p>
    <w:p w:rsidR="00FA025D" w:rsidRDefault="00FA025D" w:rsidP="00FA025D">
      <w:pPr>
        <w:pStyle w:val="ListParagraph"/>
        <w:ind w:left="1440" w:right="634"/>
        <w:outlineLvl w:val="0"/>
        <w:rPr>
          <w:rFonts w:asciiTheme="minorHAnsi" w:eastAsia="Times New Roman" w:hAnsiTheme="minorHAnsi" w:cstheme="minorHAnsi"/>
          <w:bCs/>
          <w:color w:val="000000" w:themeColor="text1"/>
        </w:rPr>
      </w:pPr>
    </w:p>
    <w:p w:rsidR="00FA025D" w:rsidRPr="000E5ECC" w:rsidRDefault="00FA025D" w:rsidP="00FA025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A025D" w:rsidRPr="002F5550" w:rsidRDefault="00FA025D" w:rsidP="00FA025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A025D" w:rsidRDefault="00FA025D" w:rsidP="00FA025D">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ACDP or General ACDP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make it clear what </w:t>
      </w:r>
      <w:r w:rsidRPr="00FA025D">
        <w:rPr>
          <w:rFonts w:asciiTheme="majorHAnsi" w:eastAsia="Times New Roman" w:hAnsiTheme="majorHAnsi" w:cstheme="majorHAnsi"/>
          <w:bCs/>
          <w:color w:val="463D38" w:themeColor="accent4" w:themeShade="80"/>
          <w:sz w:val="22"/>
          <w:szCs w:val="22"/>
        </w:rPr>
        <w:t>sources are subject to th</w:t>
      </w:r>
      <w:r w:rsidR="00E7735A">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sidR="00E7735A">
        <w:rPr>
          <w:rFonts w:asciiTheme="majorHAnsi" w:eastAsia="Times New Roman" w:hAnsiTheme="majorHAnsi" w:cstheme="majorHAnsi"/>
          <w:bCs/>
          <w:color w:val="463D38" w:themeColor="accent4" w:themeShade="80"/>
          <w:sz w:val="22"/>
          <w:szCs w:val="22"/>
        </w:rPr>
        <w:t>standards</w:t>
      </w:r>
      <w:r>
        <w:rPr>
          <w:rFonts w:asciiTheme="majorHAnsi" w:eastAsia="Times New Roman" w:hAnsiTheme="majorHAnsi" w:cstheme="majorHAnsi"/>
          <w:bCs/>
          <w:color w:val="463D38" w:themeColor="accent4" w:themeShade="80"/>
          <w:sz w:val="22"/>
          <w:szCs w:val="22"/>
        </w:rPr>
        <w:t>. However, as discussed above, DEQ implementation of non-EQC adopted federal standard</w:t>
      </w:r>
      <w:r w:rsidR="00E7735A">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EPA, which is not allowed by state law</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p>
    <w:p w:rsidR="00FA025D" w:rsidRDefault="00FA025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Pr="007D1F2D" w:rsidRDefault="00A155FF" w:rsidP="00A155FF">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A155FF">
        <w:rPr>
          <w:rFonts w:ascii="Times New Roman" w:eastAsia="Times New Roman" w:hAnsi="Times New Roman" w:cs="Times New Roman"/>
          <w:b/>
          <w:color w:val="000000"/>
        </w:rPr>
        <w:t>Clarify and Clean-up Rules</w:t>
      </w:r>
    </w:p>
    <w:p w:rsidR="007D1F2D" w:rsidRPr="007D1F2D" w:rsidRDefault="007D1F2D"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and ACDP programs</w:t>
      </w: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The deadline for annual </w:t>
      </w:r>
      <w:r w:rsidR="0014327F">
        <w:rPr>
          <w:rFonts w:asciiTheme="majorHAnsi" w:eastAsia="Times New Roman" w:hAnsiTheme="majorHAnsi" w:cstheme="majorHAnsi"/>
          <w:bCs/>
          <w:color w:val="463D38" w:themeColor="accent4" w:themeShade="80"/>
          <w:sz w:val="22"/>
          <w:szCs w:val="22"/>
        </w:rPr>
        <w:t xml:space="preserve">ACDP </w:t>
      </w:r>
      <w:r w:rsidR="00B978EC">
        <w:rPr>
          <w:rFonts w:asciiTheme="majorHAnsi" w:eastAsia="Times New Roman" w:hAnsiTheme="majorHAnsi" w:cstheme="majorHAnsi"/>
          <w:bCs/>
          <w:color w:val="463D38" w:themeColor="accent4" w:themeShade="80"/>
          <w:sz w:val="22"/>
          <w:szCs w:val="22"/>
        </w:rPr>
        <w:t xml:space="preserve">fees </w:t>
      </w:r>
      <w:r w:rsidR="009D1B93">
        <w:rPr>
          <w:rFonts w:asciiTheme="majorHAnsi" w:eastAsia="Times New Roman" w:hAnsiTheme="majorHAnsi" w:cstheme="majorHAnsi"/>
          <w:bCs/>
          <w:color w:val="463D38" w:themeColor="accent4" w:themeShade="80"/>
          <w:sz w:val="22"/>
          <w:szCs w:val="22"/>
        </w:rPr>
        <w:t>is set by rule as December 1 but may be adjusted to December 2 or 3 if December 1 falls on a weekend</w:t>
      </w:r>
      <w:r w:rsidR="002B5CCC">
        <w:rPr>
          <w:rFonts w:asciiTheme="majorHAnsi" w:eastAsia="Times New Roman" w:hAnsiTheme="majorHAnsi" w:cstheme="majorHAnsi"/>
          <w:bCs/>
          <w:color w:val="463D38" w:themeColor="accent4" w:themeShade="80"/>
          <w:sz w:val="22"/>
          <w:szCs w:val="22"/>
        </w:rPr>
        <w:t xml:space="preserve"> day</w:t>
      </w:r>
      <w:r w:rsidR="009D1B93">
        <w:rPr>
          <w:rFonts w:asciiTheme="majorHAnsi" w:eastAsia="Times New Roman" w:hAnsiTheme="majorHAnsi" w:cstheme="majorHAnsi"/>
          <w:bCs/>
          <w:color w:val="463D38" w:themeColor="accent4" w:themeShade="80"/>
          <w:sz w:val="22"/>
          <w:szCs w:val="22"/>
        </w:rPr>
        <w:t xml:space="preserve">. Late fees are triggered if the deadline is missed by 8 days or more. Late fees for the registration program were meant to mirror the ACDP </w:t>
      </w:r>
      <w:r w:rsidR="002B5CCC">
        <w:rPr>
          <w:rFonts w:asciiTheme="majorHAnsi" w:eastAsia="Times New Roman" w:hAnsiTheme="majorHAnsi" w:cstheme="majorHAnsi"/>
          <w:bCs/>
          <w:color w:val="463D38" w:themeColor="accent4" w:themeShade="80"/>
          <w:sz w:val="22"/>
          <w:szCs w:val="22"/>
        </w:rPr>
        <w:t xml:space="preserve">program for consistency and to avoid the expense of having to reprogram the invoicing system. However, DEQ inadvertently omitted the 8 day trigger for late fees. Alternatives were not considered because this change is a simple fix to the rules.  </w:t>
      </w:r>
      <w:r w:rsidR="009D1B93">
        <w:rPr>
          <w:rFonts w:asciiTheme="majorHAnsi" w:eastAsia="Times New Roman" w:hAnsiTheme="majorHAnsi" w:cstheme="majorHAnsi"/>
          <w:bCs/>
          <w:color w:val="463D38" w:themeColor="accent4" w:themeShade="80"/>
          <w:sz w:val="22"/>
          <w:szCs w:val="22"/>
        </w:rPr>
        <w:t xml:space="preserve">  </w:t>
      </w:r>
      <w:r w:rsidR="0014327F">
        <w:rPr>
          <w:rFonts w:asciiTheme="majorHAnsi" w:eastAsia="Times New Roman" w:hAnsiTheme="majorHAnsi" w:cstheme="majorHAnsi"/>
          <w:bCs/>
          <w:color w:val="463D38" w:themeColor="accent4" w:themeShade="80"/>
          <w:sz w:val="22"/>
          <w:szCs w:val="22"/>
        </w:rPr>
        <w:t xml:space="preserve"> </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If all registered businesses submitted their fees between the due date and 8 days after the due date, total late fees would total $192.Therefore, the proposed change is not expected to have a significant impact on DEQ revenue. </w:t>
      </w:r>
    </w:p>
    <w:p w:rsidR="00470D6D" w:rsidRDefault="00470D6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470D6D" w:rsidRPr="007D1F2D" w:rsidRDefault="00470D6D" w:rsidP="00470D6D">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 not “EPA”.</w:t>
      </w:r>
    </w:p>
    <w:p w:rsidR="00470D6D" w:rsidRDefault="00470D6D" w:rsidP="00470D6D">
      <w:pPr>
        <w:pStyle w:val="ListParagraph"/>
        <w:spacing w:after="120"/>
        <w:ind w:left="1440" w:right="630" w:hanging="360"/>
        <w:outlineLvl w:val="0"/>
        <w:rPr>
          <w:rFonts w:asciiTheme="minorHAnsi" w:eastAsia="Times New Roman" w:hAnsiTheme="minorHAnsi" w:cstheme="minorHAnsi"/>
          <w:bCs/>
          <w:color w:val="000000" w:themeColor="text1"/>
        </w:rPr>
      </w:pP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C</w:t>
      </w:r>
      <w:r w:rsidRPr="00C54EC4">
        <w:rPr>
          <w:rFonts w:asciiTheme="minorHAnsi" w:eastAsia="Times New Roman" w:hAnsiTheme="minorHAnsi" w:cstheme="minorHAnsi"/>
          <w:bCs/>
          <w:color w:val="000000" w:themeColor="text1"/>
        </w:rPr>
        <w:t>hang</w:t>
      </w:r>
      <w:r>
        <w:rPr>
          <w:rFonts w:asciiTheme="minorHAnsi" w:eastAsia="Times New Roman" w:hAnsiTheme="minorHAnsi" w:cstheme="minorHAnsi"/>
          <w:bCs/>
          <w:color w:val="000000" w:themeColor="text1"/>
        </w:rPr>
        <w:t>ing</w:t>
      </w:r>
      <w:r w:rsidRPr="00C54EC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“the agency</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to </w:t>
      </w:r>
      <w:r w:rsidRPr="00972897">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EPA</w:t>
      </w:r>
      <w:r w:rsidRPr="00972897">
        <w:rPr>
          <w:rFonts w:asciiTheme="minorHAnsi" w:eastAsia="Times New Roman" w:hAnsiTheme="minorHAnsi" w:cstheme="minorHAnsi"/>
          <w:bCs/>
          <w:color w:val="000000" w:themeColor="text1"/>
        </w:rPr>
        <w:t>" inappropriately defines any principle executive officer as having responsibility over EPA</w:t>
      </w:r>
      <w:r>
        <w:rPr>
          <w:rFonts w:asciiTheme="minorHAnsi" w:eastAsia="Times New Roman" w:hAnsiTheme="minorHAnsi" w:cstheme="minorHAnsi"/>
          <w:bCs/>
          <w:color w:val="000000" w:themeColor="text1"/>
        </w:rPr>
        <w:t>, and should not be done</w:t>
      </w:r>
      <w:r w:rsidRPr="00972897">
        <w:rPr>
          <w:rFonts w:asciiTheme="minorHAnsi" w:eastAsia="Times New Roman" w:hAnsiTheme="minorHAnsi" w:cstheme="minorHAnsi"/>
          <w:bCs/>
          <w:color w:val="000000" w:themeColor="text1"/>
        </w:rPr>
        <w:t>.</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not make this change.</w:t>
      </w:r>
      <w:r w:rsidRPr="00B838E2">
        <w:rPr>
          <w:rFonts w:asciiTheme="minorHAnsi" w:eastAsia="Times New Roman" w:hAnsiTheme="minorHAnsi" w:cstheme="minorHAnsi"/>
          <w:bCs/>
          <w:color w:val="463D38" w:themeColor="accent4" w:themeShade="80"/>
        </w:rPr>
        <w:tab/>
      </w:r>
    </w:p>
    <w:p w:rsidR="003A70C0" w:rsidRPr="001F2D3C" w:rsidRDefault="003A70C0" w:rsidP="00F110B9">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F110B9" w:rsidRPr="00B15DF7" w:rsidTr="00027758">
        <w:trPr>
          <w:trHeight w:val="600"/>
        </w:trPr>
        <w:tc>
          <w:tcPr>
            <w:tcW w:w="1260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027758" w:rsidP="000B7BCE">
            <w:pPr>
              <w:ind w:left="360"/>
              <w:jc w:val="both"/>
              <w:outlineLvl w:val="0"/>
              <w:rPr>
                <w:rFonts w:eastAsia="Times New Roman"/>
                <w:bCs/>
                <w:color w:val="32525C"/>
                <w:sz w:val="28"/>
                <w:szCs w:val="28"/>
              </w:rPr>
            </w:pPr>
            <w:r>
              <w:rPr>
                <w:rFonts w:eastAsia="Times New Roman"/>
                <w:bCs/>
                <w:color w:val="32525C"/>
                <w:sz w:val="28"/>
                <w:szCs w:val="28"/>
              </w:rPr>
              <w:tab/>
            </w:r>
            <w:r w:rsidR="00F110B9">
              <w:rPr>
                <w:rFonts w:eastAsia="Times New Roman"/>
                <w:bCs/>
                <w:color w:val="32525C"/>
                <w:sz w:val="28"/>
                <w:szCs w:val="28"/>
              </w:rPr>
              <w:t>Commenters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C54EC4">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F110B9" w:rsidRPr="00B838E2" w:rsidRDefault="00F110B9" w:rsidP="00F110B9">
      <w:pPr>
        <w:spacing w:after="120"/>
        <w:ind w:left="720" w:right="630"/>
        <w:outlineLvl w:val="0"/>
        <w:rPr>
          <w:rFonts w:asciiTheme="minorHAnsi" w:eastAsia="Times New Roman" w:hAnsiTheme="minorHAnsi" w:cstheme="minorHAnsi"/>
          <w:b/>
          <w:bCs/>
          <w:color w:val="000000" w:themeColor="text1"/>
        </w:rPr>
      </w:pP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sidR="00A105DF">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Miller’s Furniture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F110B9" w:rsidRDefault="00F110B9" w:rsidP="00F110B9">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00A105DF">
        <w:rPr>
          <w:rFonts w:asciiTheme="majorHAnsi" w:eastAsia="Times New Roman" w:hAnsiTheme="majorHAnsi" w:cstheme="majorHAnsi"/>
          <w:b/>
          <w:bCs/>
          <w:color w:val="463D38" w:themeColor="accent4" w:themeShade="80"/>
          <w:sz w:val="22"/>
          <w:szCs w:val="22"/>
        </w:rPr>
        <w:t xml:space="preserve"> </w:t>
      </w:r>
      <w:r w:rsidR="00A105DF">
        <w:rPr>
          <w:rFonts w:asciiTheme="majorHAnsi" w:eastAsia="Times New Roman" w:hAnsiTheme="majorHAnsi" w:cstheme="majorHAnsi"/>
          <w:b/>
          <w:bCs/>
          <w:color w:val="463D38" w:themeColor="accent4" w:themeShade="80"/>
          <w:sz w:val="22"/>
          <w:szCs w:val="22"/>
        </w:rPr>
        <w:tab/>
      </w:r>
      <w:r w:rsidR="00972897">
        <w:rPr>
          <w:rFonts w:asciiTheme="minorHAnsi" w:eastAsia="Times New Roman" w:hAnsiTheme="minorHAnsi" w:cstheme="minorHAnsi"/>
          <w:bCs/>
          <w:color w:val="000000" w:themeColor="text1"/>
        </w:rPr>
        <w:t>EPA Region 10</w:t>
      </w:r>
    </w:p>
    <w:p w:rsidR="00F110B9" w:rsidRPr="0014434D" w:rsidRDefault="00F110B9" w:rsidP="00F110B9">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A105DF"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sidR="00741903">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Earthrise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Default="00F110B9" w:rsidP="00F110B9">
      <w:pPr>
        <w:spacing w:after="120"/>
        <w:ind w:left="360"/>
        <w:outlineLvl w:val="0"/>
        <w:rPr>
          <w:rFonts w:asciiTheme="majorHAnsi" w:eastAsia="Times New Roman" w:hAnsiTheme="majorHAnsi" w:cstheme="majorHAnsi"/>
          <w:bCs/>
          <w:color w:val="504938"/>
          <w:sz w:val="22"/>
          <w:szCs w:val="22"/>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Pr="00741903">
        <w:rPr>
          <w:rFonts w:asciiTheme="minorHAnsi" w:eastAsia="Times New Roman" w:hAnsiTheme="minorHAnsi" w:cstheme="minorHAnsi"/>
          <w:bCs/>
          <w:color w:val="000000" w:themeColor="text1"/>
        </w:rPr>
        <w:t>Shirlene</w:t>
      </w:r>
      <w:proofErr w:type="spellEnd"/>
      <w:r w:rsidRPr="00741903">
        <w:rPr>
          <w:rFonts w:asciiTheme="minorHAnsi" w:eastAsia="Times New Roman" w:hAnsiTheme="minorHAnsi" w:cstheme="minorHAnsi"/>
          <w:bCs/>
          <w:color w:val="000000" w:themeColor="text1"/>
        </w:rPr>
        <w:t xml:space="preserv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741903" w:rsidRDefault="00741903" w:rsidP="00741903">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2, and 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741903" w:rsidRDefault="00741903" w:rsidP="00741903">
      <w:pPr>
        <w:spacing w:after="120"/>
        <w:ind w:left="360"/>
        <w:outlineLvl w:val="0"/>
        <w:rPr>
          <w:rFonts w:asciiTheme="minorHAnsi" w:eastAsia="Times New Roman" w:hAnsiTheme="minorHAnsi" w:cstheme="minorHAnsi"/>
          <w:bCs/>
          <w:color w:val="000000" w:themeColor="text1"/>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 xml:space="preserve">John </w:t>
      </w:r>
      <w:proofErr w:type="spellStart"/>
      <w:r w:rsidRPr="00741903">
        <w:rPr>
          <w:rFonts w:asciiTheme="minorHAnsi" w:eastAsia="Times New Roman" w:hAnsiTheme="minorHAnsi" w:cstheme="minorHAnsi"/>
          <w:bCs/>
          <w:color w:val="000000" w:themeColor="text1"/>
        </w:rPr>
        <w:t>Krallman</w:t>
      </w:r>
      <w:proofErr w:type="spellEnd"/>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F110B9" w:rsidRPr="002D1C93" w:rsidRDefault="00741903" w:rsidP="002D1C93">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sectPr w:rsidR="00F110B9" w:rsidRPr="002D1C93" w:rsidSect="00F110B9">
      <w:pgSz w:w="12240" w:h="15840"/>
      <w:pgMar w:top="720" w:right="360" w:bottom="99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B81" w:rsidRDefault="00B23B81" w:rsidP="00A33652">
      <w:r>
        <w:separator/>
      </w:r>
    </w:p>
  </w:endnote>
  <w:endnote w:type="continuationSeparator" w:id="0">
    <w:p w:rsidR="00B23B81" w:rsidRDefault="00B23B81"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B81" w:rsidRDefault="00B23B81" w:rsidP="00A33652">
      <w:r>
        <w:separator/>
      </w:r>
    </w:p>
  </w:footnote>
  <w:footnote w:type="continuationSeparator" w:id="0">
    <w:p w:rsidR="00B23B81" w:rsidRDefault="00B23B81"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E102B01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AB49F8"/>
    <w:multiLevelType w:val="hybridMultilevel"/>
    <w:tmpl w:val="711EFD88"/>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5D7D5B87"/>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2E03DC"/>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339157F"/>
    <w:multiLevelType w:val="hybridMultilevel"/>
    <w:tmpl w:val="F62214E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7"/>
  </w:num>
  <w:num w:numId="3">
    <w:abstractNumId w:val="19"/>
  </w:num>
  <w:num w:numId="4">
    <w:abstractNumId w:val="1"/>
  </w:num>
  <w:num w:numId="5">
    <w:abstractNumId w:val="23"/>
  </w:num>
  <w:num w:numId="6">
    <w:abstractNumId w:val="9"/>
  </w:num>
  <w:num w:numId="7">
    <w:abstractNumId w:val="7"/>
  </w:num>
  <w:num w:numId="8">
    <w:abstractNumId w:val="28"/>
  </w:num>
  <w:num w:numId="9">
    <w:abstractNumId w:val="4"/>
  </w:num>
  <w:num w:numId="10">
    <w:abstractNumId w:val="25"/>
  </w:num>
  <w:num w:numId="11">
    <w:abstractNumId w:val="2"/>
  </w:num>
  <w:num w:numId="12">
    <w:abstractNumId w:val="22"/>
  </w:num>
  <w:num w:numId="13">
    <w:abstractNumId w:val="13"/>
  </w:num>
  <w:num w:numId="14">
    <w:abstractNumId w:val="10"/>
  </w:num>
  <w:num w:numId="15">
    <w:abstractNumId w:val="15"/>
  </w:num>
  <w:num w:numId="16">
    <w:abstractNumId w:val="5"/>
  </w:num>
  <w:num w:numId="17">
    <w:abstractNumId w:val="0"/>
  </w:num>
  <w:num w:numId="18">
    <w:abstractNumId w:val="21"/>
  </w:num>
  <w:num w:numId="19">
    <w:abstractNumId w:val="8"/>
  </w:num>
  <w:num w:numId="20">
    <w:abstractNumId w:val="6"/>
  </w:num>
  <w:num w:numId="21">
    <w:abstractNumId w:val="26"/>
  </w:num>
  <w:num w:numId="22">
    <w:abstractNumId w:val="3"/>
  </w:num>
  <w:num w:numId="23">
    <w:abstractNumId w:val="27"/>
  </w:num>
  <w:num w:numId="24">
    <w:abstractNumId w:val="14"/>
  </w:num>
  <w:num w:numId="25">
    <w:abstractNumId w:val="24"/>
  </w:num>
  <w:num w:numId="26">
    <w:abstractNumId w:val="16"/>
  </w:num>
  <w:num w:numId="27">
    <w:abstractNumId w:val="12"/>
  </w:num>
  <w:num w:numId="28">
    <w:abstractNumId w:val="18"/>
  </w:num>
  <w:num w:numId="29">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D58"/>
    <w:rsid w:val="000012BE"/>
    <w:rsid w:val="000026C2"/>
    <w:rsid w:val="000051D8"/>
    <w:rsid w:val="00006475"/>
    <w:rsid w:val="000124A1"/>
    <w:rsid w:val="000127DF"/>
    <w:rsid w:val="00020C29"/>
    <w:rsid w:val="000223DC"/>
    <w:rsid w:val="000251EB"/>
    <w:rsid w:val="00026313"/>
    <w:rsid w:val="00027758"/>
    <w:rsid w:val="00032413"/>
    <w:rsid w:val="00033D5C"/>
    <w:rsid w:val="00035352"/>
    <w:rsid w:val="00036003"/>
    <w:rsid w:val="000418FA"/>
    <w:rsid w:val="00044740"/>
    <w:rsid w:val="00051DA8"/>
    <w:rsid w:val="0005564A"/>
    <w:rsid w:val="00057C35"/>
    <w:rsid w:val="000659B7"/>
    <w:rsid w:val="00066DC5"/>
    <w:rsid w:val="000703CA"/>
    <w:rsid w:val="00081F93"/>
    <w:rsid w:val="00085EDD"/>
    <w:rsid w:val="000871D4"/>
    <w:rsid w:val="000904FA"/>
    <w:rsid w:val="0009279B"/>
    <w:rsid w:val="00094C50"/>
    <w:rsid w:val="00095D42"/>
    <w:rsid w:val="00095DAA"/>
    <w:rsid w:val="0009694C"/>
    <w:rsid w:val="000A513D"/>
    <w:rsid w:val="000B685A"/>
    <w:rsid w:val="000B783F"/>
    <w:rsid w:val="000B7BCE"/>
    <w:rsid w:val="000C0805"/>
    <w:rsid w:val="000C3A14"/>
    <w:rsid w:val="000D07CA"/>
    <w:rsid w:val="000D3783"/>
    <w:rsid w:val="000D5801"/>
    <w:rsid w:val="000D7F6F"/>
    <w:rsid w:val="000E0903"/>
    <w:rsid w:val="000E4FC6"/>
    <w:rsid w:val="000E5ECC"/>
    <w:rsid w:val="000E6DFC"/>
    <w:rsid w:val="000F7B11"/>
    <w:rsid w:val="00107189"/>
    <w:rsid w:val="00114303"/>
    <w:rsid w:val="00115E47"/>
    <w:rsid w:val="00115E48"/>
    <w:rsid w:val="00115EF1"/>
    <w:rsid w:val="00116F51"/>
    <w:rsid w:val="001316E6"/>
    <w:rsid w:val="0014327F"/>
    <w:rsid w:val="0014434D"/>
    <w:rsid w:val="001547D2"/>
    <w:rsid w:val="00154DBC"/>
    <w:rsid w:val="00156774"/>
    <w:rsid w:val="00157C03"/>
    <w:rsid w:val="001602E5"/>
    <w:rsid w:val="00161470"/>
    <w:rsid w:val="00163CC1"/>
    <w:rsid w:val="00164210"/>
    <w:rsid w:val="001743D6"/>
    <w:rsid w:val="00174C57"/>
    <w:rsid w:val="00176D61"/>
    <w:rsid w:val="00182C5A"/>
    <w:rsid w:val="00184DD2"/>
    <w:rsid w:val="00191195"/>
    <w:rsid w:val="0019157C"/>
    <w:rsid w:val="0019385F"/>
    <w:rsid w:val="001A4A59"/>
    <w:rsid w:val="001B45C1"/>
    <w:rsid w:val="001C0BC0"/>
    <w:rsid w:val="001C2FCC"/>
    <w:rsid w:val="001C4E07"/>
    <w:rsid w:val="001C7274"/>
    <w:rsid w:val="001D1358"/>
    <w:rsid w:val="001D1D8C"/>
    <w:rsid w:val="001D574F"/>
    <w:rsid w:val="001D5FA9"/>
    <w:rsid w:val="001F031C"/>
    <w:rsid w:val="001F04FD"/>
    <w:rsid w:val="001F2D3C"/>
    <w:rsid w:val="001F3289"/>
    <w:rsid w:val="001F544C"/>
    <w:rsid w:val="001F7061"/>
    <w:rsid w:val="00200A23"/>
    <w:rsid w:val="002021CB"/>
    <w:rsid w:val="002023EE"/>
    <w:rsid w:val="00203E3D"/>
    <w:rsid w:val="0020574A"/>
    <w:rsid w:val="00207CC0"/>
    <w:rsid w:val="002101D8"/>
    <w:rsid w:val="002105A3"/>
    <w:rsid w:val="00212A60"/>
    <w:rsid w:val="00214767"/>
    <w:rsid w:val="00216917"/>
    <w:rsid w:val="00220BE6"/>
    <w:rsid w:val="00220DF7"/>
    <w:rsid w:val="002211D7"/>
    <w:rsid w:val="00227CCE"/>
    <w:rsid w:val="00236519"/>
    <w:rsid w:val="002405F8"/>
    <w:rsid w:val="00245802"/>
    <w:rsid w:val="00246348"/>
    <w:rsid w:val="00254902"/>
    <w:rsid w:val="00267F2F"/>
    <w:rsid w:val="00273E21"/>
    <w:rsid w:val="00282066"/>
    <w:rsid w:val="00285C52"/>
    <w:rsid w:val="002A4AE2"/>
    <w:rsid w:val="002B4D86"/>
    <w:rsid w:val="002B5CCC"/>
    <w:rsid w:val="002D03A9"/>
    <w:rsid w:val="002D1C93"/>
    <w:rsid w:val="002D201A"/>
    <w:rsid w:val="002D2623"/>
    <w:rsid w:val="002D567F"/>
    <w:rsid w:val="002D7EF6"/>
    <w:rsid w:val="002E283F"/>
    <w:rsid w:val="002E2B34"/>
    <w:rsid w:val="002E4AA0"/>
    <w:rsid w:val="002E7865"/>
    <w:rsid w:val="002F5550"/>
    <w:rsid w:val="002F65DE"/>
    <w:rsid w:val="003044BA"/>
    <w:rsid w:val="00304756"/>
    <w:rsid w:val="00304A23"/>
    <w:rsid w:val="003075F7"/>
    <w:rsid w:val="00331503"/>
    <w:rsid w:val="003528AF"/>
    <w:rsid w:val="00355649"/>
    <w:rsid w:val="003644D6"/>
    <w:rsid w:val="00365C19"/>
    <w:rsid w:val="00376B3E"/>
    <w:rsid w:val="003918FF"/>
    <w:rsid w:val="00392102"/>
    <w:rsid w:val="00396D1B"/>
    <w:rsid w:val="00397D49"/>
    <w:rsid w:val="003A3397"/>
    <w:rsid w:val="003A70C0"/>
    <w:rsid w:val="003A75CB"/>
    <w:rsid w:val="003B0583"/>
    <w:rsid w:val="003B44E9"/>
    <w:rsid w:val="003B7941"/>
    <w:rsid w:val="003C6C7E"/>
    <w:rsid w:val="003C7FFE"/>
    <w:rsid w:val="003E07F2"/>
    <w:rsid w:val="003E2316"/>
    <w:rsid w:val="003E4142"/>
    <w:rsid w:val="003E5832"/>
    <w:rsid w:val="003F413E"/>
    <w:rsid w:val="003F5A15"/>
    <w:rsid w:val="004100EF"/>
    <w:rsid w:val="00414959"/>
    <w:rsid w:val="00416363"/>
    <w:rsid w:val="00424FAB"/>
    <w:rsid w:val="004257C7"/>
    <w:rsid w:val="00434046"/>
    <w:rsid w:val="004369FF"/>
    <w:rsid w:val="004420FC"/>
    <w:rsid w:val="00447281"/>
    <w:rsid w:val="00450F79"/>
    <w:rsid w:val="0045366E"/>
    <w:rsid w:val="00465628"/>
    <w:rsid w:val="004709B0"/>
    <w:rsid w:val="00470AD8"/>
    <w:rsid w:val="00470D6D"/>
    <w:rsid w:val="00472BE7"/>
    <w:rsid w:val="0048066C"/>
    <w:rsid w:val="004962E4"/>
    <w:rsid w:val="00496A70"/>
    <w:rsid w:val="004A2528"/>
    <w:rsid w:val="004A5282"/>
    <w:rsid w:val="004A64FD"/>
    <w:rsid w:val="004B020E"/>
    <w:rsid w:val="004B18D2"/>
    <w:rsid w:val="004B22BC"/>
    <w:rsid w:val="004C5F43"/>
    <w:rsid w:val="004C6F60"/>
    <w:rsid w:val="004C7A17"/>
    <w:rsid w:val="004D2BA4"/>
    <w:rsid w:val="004D3366"/>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72F3"/>
    <w:rsid w:val="00592199"/>
    <w:rsid w:val="00593446"/>
    <w:rsid w:val="00595677"/>
    <w:rsid w:val="00596D65"/>
    <w:rsid w:val="005A0A8A"/>
    <w:rsid w:val="005A2EBE"/>
    <w:rsid w:val="005A3C33"/>
    <w:rsid w:val="005A424D"/>
    <w:rsid w:val="005B2E4A"/>
    <w:rsid w:val="005C1CCA"/>
    <w:rsid w:val="005C304F"/>
    <w:rsid w:val="005C30D8"/>
    <w:rsid w:val="005C7473"/>
    <w:rsid w:val="005D1FA8"/>
    <w:rsid w:val="005E022F"/>
    <w:rsid w:val="005E374E"/>
    <w:rsid w:val="005F0119"/>
    <w:rsid w:val="005F2135"/>
    <w:rsid w:val="005F4145"/>
    <w:rsid w:val="00602EC7"/>
    <w:rsid w:val="006067DA"/>
    <w:rsid w:val="0061029F"/>
    <w:rsid w:val="00611906"/>
    <w:rsid w:val="006127C7"/>
    <w:rsid w:val="006138C2"/>
    <w:rsid w:val="00624BAA"/>
    <w:rsid w:val="006258BD"/>
    <w:rsid w:val="00626C48"/>
    <w:rsid w:val="0063264B"/>
    <w:rsid w:val="006408D2"/>
    <w:rsid w:val="006416C7"/>
    <w:rsid w:val="00643871"/>
    <w:rsid w:val="00646E06"/>
    <w:rsid w:val="00647232"/>
    <w:rsid w:val="00651920"/>
    <w:rsid w:val="00661F9B"/>
    <w:rsid w:val="00662A5D"/>
    <w:rsid w:val="00665F00"/>
    <w:rsid w:val="00671070"/>
    <w:rsid w:val="00677B8A"/>
    <w:rsid w:val="00687A6D"/>
    <w:rsid w:val="00696716"/>
    <w:rsid w:val="006A0E65"/>
    <w:rsid w:val="006A1D89"/>
    <w:rsid w:val="006A2188"/>
    <w:rsid w:val="006A2F49"/>
    <w:rsid w:val="006A6F8C"/>
    <w:rsid w:val="006B481C"/>
    <w:rsid w:val="006B652B"/>
    <w:rsid w:val="006C151C"/>
    <w:rsid w:val="006C768A"/>
    <w:rsid w:val="006D0A09"/>
    <w:rsid w:val="006D2A82"/>
    <w:rsid w:val="006D6F9D"/>
    <w:rsid w:val="006E52BE"/>
    <w:rsid w:val="006E68F8"/>
    <w:rsid w:val="006E6F7B"/>
    <w:rsid w:val="006F0D97"/>
    <w:rsid w:val="006F3A8D"/>
    <w:rsid w:val="00705C22"/>
    <w:rsid w:val="00706066"/>
    <w:rsid w:val="007168D5"/>
    <w:rsid w:val="0071774B"/>
    <w:rsid w:val="00720349"/>
    <w:rsid w:val="00721D94"/>
    <w:rsid w:val="0072588C"/>
    <w:rsid w:val="00732601"/>
    <w:rsid w:val="0073306F"/>
    <w:rsid w:val="00733A49"/>
    <w:rsid w:val="00741903"/>
    <w:rsid w:val="00746B11"/>
    <w:rsid w:val="007515D5"/>
    <w:rsid w:val="00752419"/>
    <w:rsid w:val="00752ECF"/>
    <w:rsid w:val="007577D9"/>
    <w:rsid w:val="00761C1E"/>
    <w:rsid w:val="00761DA8"/>
    <w:rsid w:val="00764239"/>
    <w:rsid w:val="00764377"/>
    <w:rsid w:val="007667BF"/>
    <w:rsid w:val="007677D5"/>
    <w:rsid w:val="00772280"/>
    <w:rsid w:val="00772447"/>
    <w:rsid w:val="00775A71"/>
    <w:rsid w:val="007852E7"/>
    <w:rsid w:val="0079151D"/>
    <w:rsid w:val="007A7988"/>
    <w:rsid w:val="007B3FCE"/>
    <w:rsid w:val="007B648A"/>
    <w:rsid w:val="007B77E6"/>
    <w:rsid w:val="007C3820"/>
    <w:rsid w:val="007C77AA"/>
    <w:rsid w:val="007D1A36"/>
    <w:rsid w:val="007D1F2D"/>
    <w:rsid w:val="007D6004"/>
    <w:rsid w:val="007D60EA"/>
    <w:rsid w:val="007D78F3"/>
    <w:rsid w:val="007E0515"/>
    <w:rsid w:val="007E29E6"/>
    <w:rsid w:val="007E5070"/>
    <w:rsid w:val="007F11D5"/>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3C9D"/>
    <w:rsid w:val="00825F30"/>
    <w:rsid w:val="008310E0"/>
    <w:rsid w:val="0083323F"/>
    <w:rsid w:val="00835C99"/>
    <w:rsid w:val="00841755"/>
    <w:rsid w:val="00866F57"/>
    <w:rsid w:val="0087744C"/>
    <w:rsid w:val="00882392"/>
    <w:rsid w:val="0089255D"/>
    <w:rsid w:val="008968E3"/>
    <w:rsid w:val="008971A4"/>
    <w:rsid w:val="008A1484"/>
    <w:rsid w:val="008A154D"/>
    <w:rsid w:val="008A4E47"/>
    <w:rsid w:val="008A5C06"/>
    <w:rsid w:val="008A7A06"/>
    <w:rsid w:val="008C0BD5"/>
    <w:rsid w:val="008C5193"/>
    <w:rsid w:val="008C7798"/>
    <w:rsid w:val="008D52B1"/>
    <w:rsid w:val="008E2A4A"/>
    <w:rsid w:val="008F2AA3"/>
    <w:rsid w:val="00904755"/>
    <w:rsid w:val="00906139"/>
    <w:rsid w:val="00910DC2"/>
    <w:rsid w:val="0091236B"/>
    <w:rsid w:val="00916529"/>
    <w:rsid w:val="009235D5"/>
    <w:rsid w:val="00930372"/>
    <w:rsid w:val="009322D3"/>
    <w:rsid w:val="009344EF"/>
    <w:rsid w:val="009403D5"/>
    <w:rsid w:val="00940B81"/>
    <w:rsid w:val="00941FFE"/>
    <w:rsid w:val="0094338E"/>
    <w:rsid w:val="0094386A"/>
    <w:rsid w:val="00950D98"/>
    <w:rsid w:val="0095365D"/>
    <w:rsid w:val="00955831"/>
    <w:rsid w:val="0096369D"/>
    <w:rsid w:val="00965FAA"/>
    <w:rsid w:val="00972897"/>
    <w:rsid w:val="00977FA1"/>
    <w:rsid w:val="009912CE"/>
    <w:rsid w:val="009915D6"/>
    <w:rsid w:val="009A049C"/>
    <w:rsid w:val="009A0D99"/>
    <w:rsid w:val="009A2CA6"/>
    <w:rsid w:val="009B225C"/>
    <w:rsid w:val="009B2E8A"/>
    <w:rsid w:val="009B428B"/>
    <w:rsid w:val="009B4ACA"/>
    <w:rsid w:val="009B6D76"/>
    <w:rsid w:val="009D1B93"/>
    <w:rsid w:val="009D3EBB"/>
    <w:rsid w:val="009E1691"/>
    <w:rsid w:val="009E34C5"/>
    <w:rsid w:val="009F0D20"/>
    <w:rsid w:val="009F48F9"/>
    <w:rsid w:val="009F669D"/>
    <w:rsid w:val="009F7036"/>
    <w:rsid w:val="00A00141"/>
    <w:rsid w:val="00A04AFA"/>
    <w:rsid w:val="00A0640D"/>
    <w:rsid w:val="00A07B59"/>
    <w:rsid w:val="00A105DF"/>
    <w:rsid w:val="00A1268D"/>
    <w:rsid w:val="00A13D25"/>
    <w:rsid w:val="00A155FF"/>
    <w:rsid w:val="00A16EBF"/>
    <w:rsid w:val="00A17802"/>
    <w:rsid w:val="00A21C99"/>
    <w:rsid w:val="00A23B90"/>
    <w:rsid w:val="00A3244F"/>
    <w:rsid w:val="00A33652"/>
    <w:rsid w:val="00A37B0B"/>
    <w:rsid w:val="00A44766"/>
    <w:rsid w:val="00A46F33"/>
    <w:rsid w:val="00A50464"/>
    <w:rsid w:val="00A52C0E"/>
    <w:rsid w:val="00A61B18"/>
    <w:rsid w:val="00A67202"/>
    <w:rsid w:val="00A70E0C"/>
    <w:rsid w:val="00A74227"/>
    <w:rsid w:val="00A76794"/>
    <w:rsid w:val="00A77657"/>
    <w:rsid w:val="00A80A56"/>
    <w:rsid w:val="00A812D7"/>
    <w:rsid w:val="00A868E6"/>
    <w:rsid w:val="00A91299"/>
    <w:rsid w:val="00A91466"/>
    <w:rsid w:val="00A9276C"/>
    <w:rsid w:val="00AA1F96"/>
    <w:rsid w:val="00AA5AD5"/>
    <w:rsid w:val="00AA7867"/>
    <w:rsid w:val="00AC1660"/>
    <w:rsid w:val="00AC7325"/>
    <w:rsid w:val="00AD0243"/>
    <w:rsid w:val="00AD33B5"/>
    <w:rsid w:val="00AD4884"/>
    <w:rsid w:val="00AD518B"/>
    <w:rsid w:val="00AF13BD"/>
    <w:rsid w:val="00B041EC"/>
    <w:rsid w:val="00B1210C"/>
    <w:rsid w:val="00B12268"/>
    <w:rsid w:val="00B15DF7"/>
    <w:rsid w:val="00B17757"/>
    <w:rsid w:val="00B23B81"/>
    <w:rsid w:val="00B33CBF"/>
    <w:rsid w:val="00B34943"/>
    <w:rsid w:val="00B353FD"/>
    <w:rsid w:val="00B356CF"/>
    <w:rsid w:val="00B36A0D"/>
    <w:rsid w:val="00B378D1"/>
    <w:rsid w:val="00B40DB4"/>
    <w:rsid w:val="00B43B09"/>
    <w:rsid w:val="00B43DD8"/>
    <w:rsid w:val="00B46EA0"/>
    <w:rsid w:val="00B4779D"/>
    <w:rsid w:val="00B51723"/>
    <w:rsid w:val="00B52430"/>
    <w:rsid w:val="00B558C2"/>
    <w:rsid w:val="00B60B1B"/>
    <w:rsid w:val="00B60E12"/>
    <w:rsid w:val="00B71F02"/>
    <w:rsid w:val="00B75163"/>
    <w:rsid w:val="00B76B8A"/>
    <w:rsid w:val="00B81A9F"/>
    <w:rsid w:val="00B82764"/>
    <w:rsid w:val="00B838E2"/>
    <w:rsid w:val="00B84EF5"/>
    <w:rsid w:val="00B91FC3"/>
    <w:rsid w:val="00B932F8"/>
    <w:rsid w:val="00B9578D"/>
    <w:rsid w:val="00B978EC"/>
    <w:rsid w:val="00BA1558"/>
    <w:rsid w:val="00BA466F"/>
    <w:rsid w:val="00BA6903"/>
    <w:rsid w:val="00BB6CA4"/>
    <w:rsid w:val="00BC16FE"/>
    <w:rsid w:val="00BC549C"/>
    <w:rsid w:val="00BD3CBE"/>
    <w:rsid w:val="00BD4127"/>
    <w:rsid w:val="00BD5017"/>
    <w:rsid w:val="00BD6173"/>
    <w:rsid w:val="00BD65A6"/>
    <w:rsid w:val="00BD6CBD"/>
    <w:rsid w:val="00BD6F4F"/>
    <w:rsid w:val="00BD7AB1"/>
    <w:rsid w:val="00BE473D"/>
    <w:rsid w:val="00BF1E0F"/>
    <w:rsid w:val="00BF1EB5"/>
    <w:rsid w:val="00BF347E"/>
    <w:rsid w:val="00BF6ECF"/>
    <w:rsid w:val="00C02811"/>
    <w:rsid w:val="00C02F53"/>
    <w:rsid w:val="00C0359C"/>
    <w:rsid w:val="00C046A4"/>
    <w:rsid w:val="00C049C8"/>
    <w:rsid w:val="00C05391"/>
    <w:rsid w:val="00C11E8E"/>
    <w:rsid w:val="00C156FF"/>
    <w:rsid w:val="00C15DD4"/>
    <w:rsid w:val="00C163B2"/>
    <w:rsid w:val="00C20DCF"/>
    <w:rsid w:val="00C21AC4"/>
    <w:rsid w:val="00C22E0C"/>
    <w:rsid w:val="00C23C61"/>
    <w:rsid w:val="00C243BB"/>
    <w:rsid w:val="00C272FB"/>
    <w:rsid w:val="00C32B50"/>
    <w:rsid w:val="00C35520"/>
    <w:rsid w:val="00C365F7"/>
    <w:rsid w:val="00C37D5E"/>
    <w:rsid w:val="00C42EC3"/>
    <w:rsid w:val="00C43FE0"/>
    <w:rsid w:val="00C50EE6"/>
    <w:rsid w:val="00C531D0"/>
    <w:rsid w:val="00C53F0F"/>
    <w:rsid w:val="00C54EC4"/>
    <w:rsid w:val="00C60E13"/>
    <w:rsid w:val="00C62ECC"/>
    <w:rsid w:val="00C65D06"/>
    <w:rsid w:val="00C70D58"/>
    <w:rsid w:val="00C728DF"/>
    <w:rsid w:val="00C7432A"/>
    <w:rsid w:val="00C74D58"/>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4AB"/>
    <w:rsid w:val="00CC5108"/>
    <w:rsid w:val="00CC5F0F"/>
    <w:rsid w:val="00CC74F4"/>
    <w:rsid w:val="00CE4CAC"/>
    <w:rsid w:val="00CF34D2"/>
    <w:rsid w:val="00D0217A"/>
    <w:rsid w:val="00D02556"/>
    <w:rsid w:val="00D0362F"/>
    <w:rsid w:val="00D05ACD"/>
    <w:rsid w:val="00D10E89"/>
    <w:rsid w:val="00D165CE"/>
    <w:rsid w:val="00D17CDB"/>
    <w:rsid w:val="00D244EC"/>
    <w:rsid w:val="00D26360"/>
    <w:rsid w:val="00D26D8B"/>
    <w:rsid w:val="00D270B8"/>
    <w:rsid w:val="00D27A53"/>
    <w:rsid w:val="00D3014B"/>
    <w:rsid w:val="00D32471"/>
    <w:rsid w:val="00D34D18"/>
    <w:rsid w:val="00D34E90"/>
    <w:rsid w:val="00D37AA3"/>
    <w:rsid w:val="00D50AA7"/>
    <w:rsid w:val="00D53A93"/>
    <w:rsid w:val="00D61C6D"/>
    <w:rsid w:val="00D61DA4"/>
    <w:rsid w:val="00D621DC"/>
    <w:rsid w:val="00D6250D"/>
    <w:rsid w:val="00D625AC"/>
    <w:rsid w:val="00D654F1"/>
    <w:rsid w:val="00D65E6A"/>
    <w:rsid w:val="00D74719"/>
    <w:rsid w:val="00D7600C"/>
    <w:rsid w:val="00D83D41"/>
    <w:rsid w:val="00D857B1"/>
    <w:rsid w:val="00D90062"/>
    <w:rsid w:val="00D9108B"/>
    <w:rsid w:val="00D93B85"/>
    <w:rsid w:val="00D949D8"/>
    <w:rsid w:val="00DA0C58"/>
    <w:rsid w:val="00DA7D75"/>
    <w:rsid w:val="00DB30B9"/>
    <w:rsid w:val="00DB5D96"/>
    <w:rsid w:val="00DB6D3B"/>
    <w:rsid w:val="00DB6DC4"/>
    <w:rsid w:val="00DB7533"/>
    <w:rsid w:val="00DC04D1"/>
    <w:rsid w:val="00DC0C81"/>
    <w:rsid w:val="00DC5459"/>
    <w:rsid w:val="00DC7F19"/>
    <w:rsid w:val="00DD19DC"/>
    <w:rsid w:val="00DD32D2"/>
    <w:rsid w:val="00DD419A"/>
    <w:rsid w:val="00DD5959"/>
    <w:rsid w:val="00DE35A4"/>
    <w:rsid w:val="00DF104E"/>
    <w:rsid w:val="00DF2184"/>
    <w:rsid w:val="00DF543F"/>
    <w:rsid w:val="00DF76C9"/>
    <w:rsid w:val="00E046C6"/>
    <w:rsid w:val="00E107A3"/>
    <w:rsid w:val="00E1613B"/>
    <w:rsid w:val="00E221D5"/>
    <w:rsid w:val="00E278B9"/>
    <w:rsid w:val="00E33649"/>
    <w:rsid w:val="00E33CAB"/>
    <w:rsid w:val="00E364BC"/>
    <w:rsid w:val="00E368CA"/>
    <w:rsid w:val="00E4203D"/>
    <w:rsid w:val="00E45282"/>
    <w:rsid w:val="00E51F15"/>
    <w:rsid w:val="00E5260B"/>
    <w:rsid w:val="00E52CA2"/>
    <w:rsid w:val="00E541B5"/>
    <w:rsid w:val="00E54670"/>
    <w:rsid w:val="00E55F16"/>
    <w:rsid w:val="00E61C21"/>
    <w:rsid w:val="00E71C3C"/>
    <w:rsid w:val="00E73736"/>
    <w:rsid w:val="00E75A97"/>
    <w:rsid w:val="00E7735A"/>
    <w:rsid w:val="00E77F18"/>
    <w:rsid w:val="00E82FA7"/>
    <w:rsid w:val="00E85433"/>
    <w:rsid w:val="00EA4362"/>
    <w:rsid w:val="00EB2CFC"/>
    <w:rsid w:val="00EB4707"/>
    <w:rsid w:val="00EB630B"/>
    <w:rsid w:val="00EC05C7"/>
    <w:rsid w:val="00ED51BC"/>
    <w:rsid w:val="00EE2F9F"/>
    <w:rsid w:val="00EE32A7"/>
    <w:rsid w:val="00EE3E57"/>
    <w:rsid w:val="00EE5A42"/>
    <w:rsid w:val="00EE6743"/>
    <w:rsid w:val="00EF08E8"/>
    <w:rsid w:val="00EF644E"/>
    <w:rsid w:val="00F00DC3"/>
    <w:rsid w:val="00F00F86"/>
    <w:rsid w:val="00F01FAE"/>
    <w:rsid w:val="00F07710"/>
    <w:rsid w:val="00F1103E"/>
    <w:rsid w:val="00F110B9"/>
    <w:rsid w:val="00F129EB"/>
    <w:rsid w:val="00F12CDA"/>
    <w:rsid w:val="00F16229"/>
    <w:rsid w:val="00F200C3"/>
    <w:rsid w:val="00F33900"/>
    <w:rsid w:val="00F339FE"/>
    <w:rsid w:val="00F40260"/>
    <w:rsid w:val="00F42724"/>
    <w:rsid w:val="00F4281C"/>
    <w:rsid w:val="00F44E4D"/>
    <w:rsid w:val="00F650B7"/>
    <w:rsid w:val="00F654C9"/>
    <w:rsid w:val="00F66EDE"/>
    <w:rsid w:val="00F754EE"/>
    <w:rsid w:val="00F810EA"/>
    <w:rsid w:val="00F817BC"/>
    <w:rsid w:val="00F81821"/>
    <w:rsid w:val="00F825B4"/>
    <w:rsid w:val="00F90125"/>
    <w:rsid w:val="00F91414"/>
    <w:rsid w:val="00F918D4"/>
    <w:rsid w:val="00F951B2"/>
    <w:rsid w:val="00F95CAE"/>
    <w:rsid w:val="00FA025D"/>
    <w:rsid w:val="00FA250C"/>
    <w:rsid w:val="00FA3595"/>
    <w:rsid w:val="00FA3C76"/>
    <w:rsid w:val="00FA5DEE"/>
    <w:rsid w:val="00FA6918"/>
    <w:rsid w:val="00FB10FE"/>
    <w:rsid w:val="00FB2799"/>
    <w:rsid w:val="00FB3480"/>
    <w:rsid w:val="00FB59FD"/>
    <w:rsid w:val="00FB6A86"/>
    <w:rsid w:val="00FC2369"/>
    <w:rsid w:val="00FC28B7"/>
    <w:rsid w:val="00FC4CE6"/>
    <w:rsid w:val="00FC5C08"/>
    <w:rsid w:val="00FC5C40"/>
    <w:rsid w:val="00FD00EE"/>
    <w:rsid w:val="00FD2AA8"/>
    <w:rsid w:val="00FD62FA"/>
    <w:rsid w:val="00FD7A2B"/>
    <w:rsid w:val="00FE0CD6"/>
    <w:rsid w:val="00FE235D"/>
    <w:rsid w:val="00FE4100"/>
    <w:rsid w:val="00FF128D"/>
    <w:rsid w:val="00FF29EE"/>
    <w:rsid w:val="00FF2CB9"/>
    <w:rsid w:val="00FF3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yperlink" Target="http://www.gpo.gov/fdsys/browse/collection.action?collectionCode=F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05/intranet/working/guidance/stateAgencyCoordinationProgram10-MSD-009.pdf" TargetMode="Externa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po.gov/fdsys/browse/collectionCfr.action?collectionCode=CFR"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gpo.gov/fdsys/browse/collectionCfr.action?collectionCode=CFR"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D0F81"/>
    <w:rsid w:val="00187048"/>
    <w:rsid w:val="001E7635"/>
    <w:rsid w:val="00322586"/>
    <w:rsid w:val="003D57A2"/>
    <w:rsid w:val="00435BFA"/>
    <w:rsid w:val="00527BB3"/>
    <w:rsid w:val="00564E55"/>
    <w:rsid w:val="00605167"/>
    <w:rsid w:val="00694DE7"/>
    <w:rsid w:val="006C4C39"/>
    <w:rsid w:val="006C6003"/>
    <w:rsid w:val="006D6AE4"/>
    <w:rsid w:val="00720557"/>
    <w:rsid w:val="007B55EE"/>
    <w:rsid w:val="00B02C96"/>
    <w:rsid w:val="00D50ACB"/>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985D75-ED3D-49B1-8417-573A932F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30</Pages>
  <Words>11491</Words>
  <Characters>65505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32</cp:revision>
  <cp:lastPrinted>2012-09-25T18:56:00Z</cp:lastPrinted>
  <dcterms:created xsi:type="dcterms:W3CDTF">2012-09-27T16:47:00Z</dcterms:created>
  <dcterms:modified xsi:type="dcterms:W3CDTF">2012-10-29T22:24:00Z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