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7DE" w:rsidRDefault="00411FE0">
      <w:pPr>
        <w:jc w:val="center"/>
        <w:rPr>
          <w:rFonts w:ascii="Times New Roman" w:hAnsi="Times New Roman"/>
          <w:sz w:val="20"/>
        </w:rPr>
      </w:pPr>
      <w:r>
        <w:rPr>
          <w:rFonts w:ascii="Times New Roman" w:hAnsi="Times New Roman"/>
          <w:sz w:val="20"/>
        </w:rPr>
        <w:t>Secretary of State</w:t>
      </w:r>
    </w:p>
    <w:p w:rsidR="003677DE" w:rsidRDefault="00411FE0">
      <w:pPr>
        <w:jc w:val="center"/>
        <w:rPr>
          <w:rFonts w:ascii="Times New Roman" w:hAnsi="Times New Roman"/>
          <w:sz w:val="20"/>
        </w:rPr>
      </w:pPr>
      <w:r>
        <w:rPr>
          <w:rFonts w:ascii="Times New Roman" w:hAnsi="Times New Roman"/>
          <w:sz w:val="20"/>
        </w:rPr>
        <w:t xml:space="preserve">Certificate and Order for Filing </w:t>
      </w:r>
    </w:p>
    <w:p w:rsidR="003677DE" w:rsidRDefault="00411FE0">
      <w:pPr>
        <w:pStyle w:val="Heading2"/>
        <w:rPr>
          <w:rFonts w:ascii="Times New Roman" w:hAnsi="Times New Roman"/>
        </w:rPr>
      </w:pPr>
      <w:r>
        <w:rPr>
          <w:rFonts w:ascii="Times New Roman" w:hAnsi="Times New Roman"/>
        </w:rPr>
        <w:t>PERMANENT ADMINISTRATIVE RULES</w:t>
      </w:r>
    </w:p>
    <w:p w:rsidR="003677DE" w:rsidRDefault="003677DE">
      <w:pPr>
        <w:jc w:val="center"/>
        <w:rPr>
          <w:rFonts w:ascii="Times New Roman" w:hAnsi="Times New Roman"/>
          <w:sz w:val="20"/>
        </w:rPr>
      </w:pPr>
    </w:p>
    <w:p w:rsidR="003677DE" w:rsidRDefault="00411FE0">
      <w:pPr>
        <w:rPr>
          <w:rFonts w:ascii="Times New Roman" w:hAnsi="Times New Roman"/>
          <w:sz w:val="20"/>
        </w:rPr>
      </w:pPr>
      <w:r>
        <w:rPr>
          <w:rFonts w:ascii="Times New Roman" w:hAnsi="Times New Roman"/>
          <w:sz w:val="20"/>
        </w:rPr>
        <w:t xml:space="preserve">I certify that the attached copies* are true, full and correct copies of the PERMANENT Rule(s) adopted on </w:t>
      </w:r>
      <w:r w:rsidR="005F434A">
        <w:rPr>
          <w:rFonts w:ascii="Times New Roman" w:hAnsi="Times New Roman"/>
          <w:sz w:val="20"/>
        </w:rPr>
        <w:t>March 20, 2013</w:t>
      </w:r>
      <w:r>
        <w:rPr>
          <w:rFonts w:ascii="Times New Roman" w:hAnsi="Times New Roman"/>
          <w:sz w:val="20"/>
        </w:rPr>
        <w:t xml:space="preserve"> by the</w:t>
      </w:r>
    </w:p>
    <w:p w:rsidR="003677DE" w:rsidRDefault="003677DE">
      <w:pPr>
        <w:tabs>
          <w:tab w:val="left" w:pos="8000"/>
        </w:tabs>
        <w:jc w:val="right"/>
        <w:rPr>
          <w:rFonts w:ascii="Times New Roman" w:hAnsi="Times New Roman"/>
          <w:sz w:val="16"/>
        </w:rPr>
      </w:pPr>
    </w:p>
    <w:p w:rsidR="003677DE" w:rsidRDefault="00411FE0" w:rsidP="00411FE0">
      <w:pPr>
        <w:pBdr>
          <w:bottom w:val="single" w:sz="6" w:space="1" w:color="auto"/>
        </w:pBdr>
        <w:tabs>
          <w:tab w:val="left" w:pos="8550"/>
        </w:tabs>
        <w:jc w:val="both"/>
        <w:rPr>
          <w:rFonts w:ascii="Times New Roman" w:hAnsi="Times New Roman"/>
          <w:sz w:val="20"/>
        </w:rPr>
      </w:pPr>
      <w:r>
        <w:rPr>
          <w:rFonts w:ascii="Times New Roman" w:hAnsi="Times New Roman"/>
          <w:sz w:val="20"/>
        </w:rPr>
        <w:t>Oregon Department of Environmental Quality</w:t>
      </w:r>
      <w:r>
        <w:rPr>
          <w:rFonts w:ascii="Times New Roman" w:hAnsi="Times New Roman"/>
          <w:sz w:val="20"/>
        </w:rPr>
        <w:tab/>
        <w:t>340</w:t>
      </w:r>
    </w:p>
    <w:p w:rsidR="003677DE" w:rsidRDefault="00411FE0">
      <w:pPr>
        <w:rPr>
          <w:rFonts w:ascii="Times New Roman" w:hAnsi="Times New Roman"/>
          <w:sz w:val="20"/>
        </w:rPr>
      </w:pPr>
      <w:r>
        <w:rPr>
          <w:rFonts w:ascii="Times New Roman" w:hAnsi="Times New Roman"/>
          <w:sz w:val="20"/>
        </w:rPr>
        <w:t xml:space="preserve">Agency and Division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Administrative Rules Chapter Number</w:t>
      </w:r>
    </w:p>
    <w:p w:rsidR="003677DE" w:rsidRDefault="003677DE">
      <w:pPr>
        <w:pBdr>
          <w:bottom w:val="single" w:sz="6" w:space="1" w:color="auto"/>
        </w:pBdr>
        <w:rPr>
          <w:rFonts w:ascii="Times New Roman" w:hAnsi="Times New Roman"/>
          <w:sz w:val="20"/>
        </w:rPr>
      </w:pPr>
    </w:p>
    <w:p w:rsidR="003677DE" w:rsidRDefault="00411FE0" w:rsidP="00411FE0">
      <w:pPr>
        <w:pBdr>
          <w:bottom w:val="single" w:sz="6" w:space="1" w:color="auto"/>
        </w:pBdr>
        <w:tabs>
          <w:tab w:val="left" w:pos="2970"/>
          <w:tab w:val="left" w:pos="8550"/>
        </w:tabs>
        <w:rPr>
          <w:rFonts w:ascii="Times New Roman" w:hAnsi="Times New Roman"/>
          <w:sz w:val="20"/>
        </w:rPr>
      </w:pPr>
      <w:r>
        <w:rPr>
          <w:rFonts w:ascii="Times New Roman" w:hAnsi="Times New Roman"/>
          <w:sz w:val="20"/>
        </w:rPr>
        <w:t xml:space="preserve">Maggie Vandehey </w:t>
      </w:r>
      <w:r>
        <w:rPr>
          <w:rFonts w:ascii="Times New Roman" w:hAnsi="Times New Roman"/>
          <w:sz w:val="20"/>
        </w:rPr>
        <w:tab/>
        <w:t>811 SW Sixth Avenue, Portland, OR 97204-1390</w:t>
      </w:r>
      <w:r>
        <w:rPr>
          <w:rFonts w:ascii="Times New Roman" w:hAnsi="Times New Roman"/>
          <w:sz w:val="20"/>
        </w:rPr>
        <w:tab/>
        <w:t>(503) 229-6878</w:t>
      </w:r>
    </w:p>
    <w:p w:rsidR="003677DE" w:rsidRDefault="00411FE0">
      <w:pPr>
        <w:rPr>
          <w:rFonts w:ascii="Times New Roman" w:hAnsi="Times New Roman"/>
          <w:sz w:val="20"/>
        </w:rPr>
      </w:pPr>
      <w:r>
        <w:rPr>
          <w:rFonts w:ascii="Times New Roman" w:hAnsi="Times New Roman"/>
          <w:sz w:val="20"/>
        </w:rPr>
        <w:t>Rules Coordinator</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Address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Telephone</w:t>
      </w:r>
    </w:p>
    <w:p w:rsidR="003677DE" w:rsidRDefault="003677DE">
      <w:pPr>
        <w:rPr>
          <w:rFonts w:ascii="Times New Roman" w:hAnsi="Times New Roman"/>
          <w:sz w:val="20"/>
        </w:rPr>
      </w:pPr>
    </w:p>
    <w:p w:rsidR="003677DE" w:rsidRDefault="00411FE0">
      <w:pPr>
        <w:rPr>
          <w:rFonts w:ascii="Times New Roman" w:hAnsi="Times New Roman"/>
          <w:sz w:val="20"/>
        </w:rPr>
      </w:pPr>
      <w:proofErr w:type="gramStart"/>
      <w:r>
        <w:rPr>
          <w:rFonts w:ascii="Times New Roman" w:hAnsi="Times New Roman"/>
          <w:sz w:val="20"/>
        </w:rPr>
        <w:t>to</w:t>
      </w:r>
      <w:proofErr w:type="gramEnd"/>
      <w:r>
        <w:rPr>
          <w:rFonts w:ascii="Times New Roman" w:hAnsi="Times New Roman"/>
          <w:sz w:val="20"/>
        </w:rPr>
        <w:t xml:space="preserve"> become effective </w:t>
      </w:r>
      <w:r w:rsidR="005F434A">
        <w:rPr>
          <w:rFonts w:ascii="Times New Roman" w:hAnsi="Times New Roman"/>
          <w:sz w:val="20"/>
        </w:rPr>
        <w:t>March 22, 2013</w:t>
      </w:r>
      <w:r>
        <w:rPr>
          <w:rFonts w:ascii="Times New Roman" w:hAnsi="Times New Roman"/>
          <w:sz w:val="20"/>
        </w:rPr>
        <w:t xml:space="preserve">. Rulemaking Notice was published in the </w:t>
      </w:r>
      <w:r w:rsidR="005F434A">
        <w:rPr>
          <w:rFonts w:ascii="Times New Roman" w:hAnsi="Times New Roman"/>
          <w:sz w:val="20"/>
        </w:rPr>
        <w:t>September 1, 2012</w:t>
      </w:r>
      <w:r>
        <w:rPr>
          <w:rFonts w:ascii="Times New Roman" w:hAnsi="Times New Roman"/>
          <w:sz w:val="20"/>
        </w:rPr>
        <w:t xml:space="preserve"> Oregon Bulletin</w:t>
      </w:r>
      <w:proofErr w:type="gramStart"/>
      <w:r>
        <w:rPr>
          <w:rFonts w:ascii="Times New Roman" w:hAnsi="Times New Roman"/>
          <w:sz w:val="20"/>
        </w:rPr>
        <w:t>.*</w:t>
      </w:r>
      <w:proofErr w:type="gramEnd"/>
      <w:r>
        <w:rPr>
          <w:rFonts w:ascii="Times New Roman" w:hAnsi="Times New Roman"/>
          <w:sz w:val="20"/>
        </w:rPr>
        <w:t>*</w:t>
      </w:r>
    </w:p>
    <w:p w:rsidR="003677DE" w:rsidRDefault="00411FE0">
      <w:pPr>
        <w:ind w:left="1440"/>
        <w:rPr>
          <w:rFonts w:ascii="Times New Roman" w:hAnsi="Times New Roman"/>
          <w:sz w:val="16"/>
        </w:rPr>
      </w:pPr>
      <w:r>
        <w:rPr>
          <w:rFonts w:ascii="Times New Roman" w:hAnsi="Times New Roman"/>
          <w:sz w:val="16"/>
        </w:rPr>
        <w:t xml:space="preserve">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w:t>
      </w:r>
    </w:p>
    <w:p w:rsidR="003677DE" w:rsidRDefault="00411FE0">
      <w:pPr>
        <w:jc w:val="center"/>
        <w:rPr>
          <w:rFonts w:ascii="Times New Roman" w:hAnsi="Times New Roman"/>
          <w:b/>
          <w:sz w:val="20"/>
        </w:rPr>
      </w:pPr>
      <w:r>
        <w:rPr>
          <w:rFonts w:ascii="Times New Roman" w:hAnsi="Times New Roman"/>
          <w:b/>
          <w:sz w:val="20"/>
        </w:rPr>
        <w:t>RULE CAPTION</w:t>
      </w:r>
    </w:p>
    <w:p w:rsidR="003677DE" w:rsidRDefault="003677DE">
      <w:pPr>
        <w:pBdr>
          <w:bottom w:val="single" w:sz="6" w:space="1" w:color="auto"/>
        </w:pBdr>
        <w:tabs>
          <w:tab w:val="left" w:pos="1980"/>
          <w:tab w:val="left" w:pos="7640"/>
          <w:tab w:val="left" w:pos="7740"/>
        </w:tabs>
        <w:rPr>
          <w:rFonts w:ascii="Times New Roman" w:hAnsi="Times New Roman"/>
          <w:sz w:val="20"/>
        </w:rPr>
      </w:pPr>
    </w:p>
    <w:p w:rsidR="003677DE" w:rsidRPr="005F434A" w:rsidRDefault="005F434A" w:rsidP="005F434A">
      <w:pPr>
        <w:jc w:val="center"/>
        <w:rPr>
          <w:rFonts w:ascii="Times New Roman" w:hAnsi="Times New Roman"/>
          <w:b/>
          <w:sz w:val="20"/>
        </w:rPr>
      </w:pPr>
      <w:r w:rsidRPr="005F434A">
        <w:rPr>
          <w:rFonts w:ascii="Times New Roman" w:eastAsia="Times New Roman" w:hAnsi="Times New Roman"/>
          <w:b/>
          <w:sz w:val="20"/>
        </w:rPr>
        <w:t>Updating Oregon’s air quality rules to address federal regulations</w:t>
      </w:r>
    </w:p>
    <w:p w:rsidR="003677DE" w:rsidRDefault="003677DE">
      <w:pPr>
        <w:rPr>
          <w:rFonts w:ascii="Times New Roman" w:hAnsi="Times New Roman"/>
          <w:sz w:val="20"/>
        </w:rPr>
      </w:pPr>
    </w:p>
    <w:p w:rsidR="003677DE" w:rsidRDefault="00411FE0">
      <w:pPr>
        <w:tabs>
          <w:tab w:val="center" w:pos="2340"/>
          <w:tab w:val="center" w:pos="7020"/>
        </w:tabs>
        <w:jc w:val="center"/>
        <w:rPr>
          <w:rFonts w:ascii="Times New Roman" w:hAnsi="Times New Roman"/>
          <w:b/>
          <w:sz w:val="20"/>
        </w:rPr>
      </w:pPr>
      <w:r>
        <w:rPr>
          <w:rFonts w:ascii="Times New Roman" w:hAnsi="Times New Roman"/>
          <w:b/>
          <w:sz w:val="20"/>
        </w:rPr>
        <w:t>RULEMAKING ACTION</w:t>
      </w:r>
    </w:p>
    <w:p w:rsidR="003677DE" w:rsidRDefault="00411FE0">
      <w:pPr>
        <w:tabs>
          <w:tab w:val="center" w:pos="2340"/>
          <w:tab w:val="center" w:pos="7020"/>
        </w:tabs>
        <w:jc w:val="center"/>
        <w:rPr>
          <w:rFonts w:ascii="Times New Roman" w:hAnsi="Times New Roman"/>
          <w:sz w:val="20"/>
        </w:rPr>
      </w:pPr>
      <w:r>
        <w:rPr>
          <w:rFonts w:ascii="Times New Roman" w:hAnsi="Times New Roman"/>
          <w:sz w:val="20"/>
        </w:rPr>
        <w:t>List each rule number separately (000-000-0000)</w:t>
      </w:r>
    </w:p>
    <w:p w:rsidR="003677DE" w:rsidRDefault="00411FE0">
      <w:pPr>
        <w:tabs>
          <w:tab w:val="center" w:pos="2340"/>
          <w:tab w:val="center" w:pos="7020"/>
        </w:tabs>
        <w:jc w:val="center"/>
        <w:rPr>
          <w:rFonts w:ascii="Times New Roman" w:hAnsi="Times New Roman"/>
          <w:sz w:val="20"/>
        </w:rPr>
      </w:pPr>
      <w:r>
        <w:rPr>
          <w:rFonts w:ascii="Times New Roman" w:hAnsi="Times New Roman"/>
          <w:sz w:val="20"/>
        </w:rPr>
        <w:t>Secure approval of new rule numbers (Adopted or Renumbered rules) with the Administrative Rules Unit prior to filing.</w:t>
      </w:r>
    </w:p>
    <w:p w:rsidR="005F434A" w:rsidRDefault="005F434A">
      <w:pPr>
        <w:tabs>
          <w:tab w:val="center" w:pos="2340"/>
          <w:tab w:val="center" w:pos="7020"/>
        </w:tabs>
        <w:jc w:val="center"/>
        <w:rPr>
          <w:rFonts w:ascii="Times New Roman" w:hAnsi="Times New Roman"/>
          <w:sz w:val="20"/>
        </w:rPr>
      </w:pPr>
    </w:p>
    <w:p w:rsidR="003677DE" w:rsidRDefault="00411FE0">
      <w:pPr>
        <w:tabs>
          <w:tab w:val="center" w:pos="2340"/>
          <w:tab w:val="center" w:pos="7020"/>
        </w:tabs>
        <w:rPr>
          <w:rFonts w:ascii="Times New Roman" w:hAnsi="Times New Roman"/>
          <w:sz w:val="20"/>
        </w:rPr>
      </w:pPr>
      <w:r>
        <w:rPr>
          <w:rFonts w:ascii="Times New Roman" w:hAnsi="Times New Roman"/>
          <w:b/>
          <w:sz w:val="20"/>
        </w:rPr>
        <w:t>ADOPT</w:t>
      </w:r>
      <w:r>
        <w:rPr>
          <w:rFonts w:ascii="Times New Roman" w:hAnsi="Times New Roman"/>
          <w:sz w:val="20"/>
        </w:rPr>
        <w:t xml:space="preserve">: </w:t>
      </w:r>
    </w:p>
    <w:p w:rsidR="003677DE" w:rsidRDefault="00C45609">
      <w:pPr>
        <w:tabs>
          <w:tab w:val="center" w:pos="2340"/>
          <w:tab w:val="center" w:pos="7020"/>
        </w:tabs>
        <w:rPr>
          <w:rFonts w:ascii="Times New Roman" w:hAnsi="Times New Roman"/>
          <w:sz w:val="20"/>
        </w:rPr>
      </w:pPr>
      <w:r>
        <w:rPr>
          <w:rFonts w:ascii="Times New Roman" w:hAnsi="Times New Roman"/>
          <w:sz w:val="20"/>
        </w:rPr>
        <w:t>340-216-0068, 340-244-0239</w:t>
      </w:r>
    </w:p>
    <w:p w:rsidR="003677DE" w:rsidRDefault="003677DE">
      <w:pPr>
        <w:tabs>
          <w:tab w:val="center" w:pos="2340"/>
          <w:tab w:val="center" w:pos="7020"/>
        </w:tabs>
        <w:rPr>
          <w:rFonts w:ascii="Times New Roman" w:hAnsi="Times New Roman"/>
          <w:sz w:val="20"/>
        </w:rPr>
      </w:pPr>
    </w:p>
    <w:p w:rsidR="005F434A" w:rsidRDefault="00411FE0">
      <w:pPr>
        <w:tabs>
          <w:tab w:val="center" w:pos="2340"/>
          <w:tab w:val="center" w:pos="7020"/>
        </w:tabs>
        <w:rPr>
          <w:rFonts w:ascii="Times New Roman" w:hAnsi="Times New Roman"/>
          <w:sz w:val="20"/>
        </w:rPr>
      </w:pPr>
      <w:r>
        <w:rPr>
          <w:rFonts w:ascii="Times New Roman" w:hAnsi="Times New Roman"/>
          <w:b/>
          <w:sz w:val="20"/>
        </w:rPr>
        <w:t>AMEND</w:t>
      </w:r>
      <w:r>
        <w:rPr>
          <w:rFonts w:ascii="Times New Roman" w:hAnsi="Times New Roman"/>
          <w:sz w:val="20"/>
        </w:rPr>
        <w:t xml:space="preserve">: </w:t>
      </w:r>
    </w:p>
    <w:p w:rsidR="00014E19" w:rsidRDefault="005F434A">
      <w:pPr>
        <w:tabs>
          <w:tab w:val="center" w:pos="2340"/>
          <w:tab w:val="center" w:pos="7020"/>
        </w:tabs>
        <w:rPr>
          <w:rFonts w:ascii="Times New Roman" w:hAnsi="Times New Roman"/>
          <w:sz w:val="20"/>
        </w:rPr>
      </w:pPr>
      <w:r>
        <w:rPr>
          <w:rFonts w:ascii="Times New Roman" w:hAnsi="Times New Roman"/>
          <w:sz w:val="20"/>
        </w:rPr>
        <w:t xml:space="preserve">340-200-0020, 340-200-0040, 340-210-0100, 340-216-0020 (tables also), </w:t>
      </w:r>
      <w:r w:rsidR="00014E19">
        <w:rPr>
          <w:rFonts w:ascii="Times New Roman" w:hAnsi="Times New Roman"/>
          <w:sz w:val="20"/>
        </w:rPr>
        <w:t xml:space="preserve">340-216-0060, 340-216-0062, 340-216-0064, </w:t>
      </w:r>
    </w:p>
    <w:p w:rsidR="00014E19" w:rsidRDefault="00014E19">
      <w:pPr>
        <w:tabs>
          <w:tab w:val="center" w:pos="2340"/>
          <w:tab w:val="center" w:pos="7020"/>
        </w:tabs>
        <w:rPr>
          <w:rFonts w:ascii="Times New Roman" w:hAnsi="Times New Roman"/>
          <w:sz w:val="20"/>
        </w:rPr>
      </w:pPr>
      <w:r>
        <w:rPr>
          <w:rFonts w:ascii="Times New Roman" w:hAnsi="Times New Roman"/>
          <w:sz w:val="20"/>
        </w:rPr>
        <w:t xml:space="preserve">340-216-0066, 340-228-0602, 340-228-0606, 340-228-0609, 340-228-0635, 340-228-0637, 340-232-0085, 340-238-0040, </w:t>
      </w:r>
    </w:p>
    <w:p w:rsidR="00014E19" w:rsidRDefault="00014E19">
      <w:pPr>
        <w:tabs>
          <w:tab w:val="center" w:pos="2340"/>
          <w:tab w:val="center" w:pos="7020"/>
        </w:tabs>
        <w:rPr>
          <w:rFonts w:ascii="Times New Roman" w:hAnsi="Times New Roman"/>
          <w:sz w:val="20"/>
        </w:rPr>
      </w:pPr>
      <w:r>
        <w:rPr>
          <w:rFonts w:ascii="Times New Roman" w:hAnsi="Times New Roman"/>
          <w:sz w:val="20"/>
        </w:rPr>
        <w:t xml:space="preserve">340-238-0060, 340-244-0030, 340-244-0210, 340-244-0220, 340-244-0234, 340-244-0238, 340-244-0240, </w:t>
      </w:r>
    </w:p>
    <w:p w:rsidR="003677DE" w:rsidRDefault="00014E19">
      <w:pPr>
        <w:tabs>
          <w:tab w:val="center" w:pos="2340"/>
          <w:tab w:val="center" w:pos="7020"/>
        </w:tabs>
        <w:rPr>
          <w:rFonts w:ascii="Times New Roman" w:hAnsi="Times New Roman"/>
          <w:sz w:val="20"/>
        </w:rPr>
      </w:pPr>
      <w:r>
        <w:rPr>
          <w:rFonts w:ascii="Times New Roman" w:hAnsi="Times New Roman"/>
          <w:sz w:val="20"/>
        </w:rPr>
        <w:t xml:space="preserve">340-240-0242 (tables also), </w:t>
      </w:r>
      <w:r w:rsidR="00C45609">
        <w:rPr>
          <w:rFonts w:ascii="Times New Roman" w:hAnsi="Times New Roman"/>
          <w:sz w:val="20"/>
        </w:rPr>
        <w:t>340-244-0244, 340-244-0246, 340-244-0248, 340-244-0250</w:t>
      </w:r>
    </w:p>
    <w:p w:rsidR="003677DE" w:rsidRDefault="003677DE">
      <w:pPr>
        <w:pStyle w:val="EndnoteText"/>
        <w:rPr>
          <w:rFonts w:ascii="Times New Roman" w:eastAsia="Times" w:hAnsi="Times New Roman"/>
        </w:rPr>
      </w:pPr>
    </w:p>
    <w:p w:rsidR="003677DE" w:rsidRDefault="00411FE0">
      <w:pPr>
        <w:rPr>
          <w:rFonts w:ascii="Times New Roman" w:hAnsi="Times New Roman"/>
          <w:sz w:val="20"/>
        </w:rPr>
      </w:pPr>
      <w:r>
        <w:rPr>
          <w:rFonts w:ascii="Times New Roman" w:hAnsi="Times New Roman"/>
          <w:b/>
          <w:sz w:val="20"/>
        </w:rPr>
        <w:t>REPEAL</w:t>
      </w:r>
      <w:r>
        <w:rPr>
          <w:rFonts w:ascii="Times New Roman" w:hAnsi="Times New Roman"/>
          <w:sz w:val="20"/>
        </w:rPr>
        <w:t xml:space="preserve">: </w:t>
      </w:r>
    </w:p>
    <w:p w:rsidR="003677DE" w:rsidRDefault="00D96119">
      <w:pPr>
        <w:rPr>
          <w:rFonts w:ascii="Times New Roman" w:hAnsi="Times New Roman"/>
          <w:sz w:val="20"/>
        </w:rPr>
      </w:pPr>
      <w:r>
        <w:rPr>
          <w:rFonts w:ascii="Times New Roman" w:hAnsi="Times New Roman"/>
          <w:sz w:val="20"/>
        </w:rPr>
        <w:t>340-228-0611, 340-228-0613, 340-228-0615, 340-228-0617, 340-228-0619, 340-228-0621, 340-228-0623, 340-228-0625,</w:t>
      </w:r>
    </w:p>
    <w:p w:rsidR="00D96119" w:rsidRDefault="00D96119">
      <w:pPr>
        <w:rPr>
          <w:rFonts w:ascii="Times New Roman" w:hAnsi="Times New Roman"/>
          <w:sz w:val="20"/>
        </w:rPr>
      </w:pPr>
      <w:r>
        <w:rPr>
          <w:rFonts w:ascii="Times New Roman" w:hAnsi="Times New Roman"/>
          <w:sz w:val="20"/>
        </w:rPr>
        <w:t>340-228-0627, 340-228-0629, 340-228-0631, 340-228-0633, 340-244-0230 (tables also)</w:t>
      </w:r>
    </w:p>
    <w:p w:rsidR="003677DE" w:rsidRDefault="003677DE">
      <w:pPr>
        <w:rPr>
          <w:rFonts w:ascii="Times New Roman" w:hAnsi="Times New Roman"/>
          <w:b/>
          <w:sz w:val="20"/>
        </w:rPr>
      </w:pPr>
    </w:p>
    <w:p w:rsidR="003677DE" w:rsidRDefault="00411FE0">
      <w:pPr>
        <w:rPr>
          <w:rFonts w:ascii="Times New Roman" w:hAnsi="Times New Roman"/>
          <w:sz w:val="20"/>
        </w:rPr>
      </w:pPr>
      <w:r>
        <w:rPr>
          <w:rFonts w:ascii="Times New Roman" w:hAnsi="Times New Roman"/>
          <w:b/>
          <w:sz w:val="20"/>
        </w:rPr>
        <w:t>RENUMBER</w:t>
      </w:r>
      <w:r>
        <w:rPr>
          <w:rFonts w:ascii="Times New Roman" w:hAnsi="Times New Roman"/>
          <w:sz w:val="20"/>
        </w:rPr>
        <w:t xml:space="preserve">: </w:t>
      </w:r>
    </w:p>
    <w:p w:rsidR="003677DE" w:rsidRDefault="00C45609">
      <w:pPr>
        <w:jc w:val="both"/>
        <w:rPr>
          <w:rFonts w:ascii="Times New Roman" w:hAnsi="Times New Roman"/>
          <w:sz w:val="20"/>
        </w:rPr>
      </w:pPr>
      <w:r>
        <w:rPr>
          <w:rFonts w:ascii="Times New Roman" w:hAnsi="Times New Roman"/>
          <w:sz w:val="20"/>
        </w:rPr>
        <w:t>Not applicable</w:t>
      </w:r>
    </w:p>
    <w:p w:rsidR="00C45609" w:rsidRDefault="00C45609">
      <w:pPr>
        <w:jc w:val="both"/>
        <w:rPr>
          <w:rFonts w:ascii="Times New Roman" w:hAnsi="Times New Roman"/>
          <w:sz w:val="20"/>
        </w:rPr>
      </w:pPr>
    </w:p>
    <w:p w:rsidR="003677DE" w:rsidRDefault="00411FE0">
      <w:pPr>
        <w:rPr>
          <w:rFonts w:ascii="Times New Roman" w:hAnsi="Times New Roman"/>
          <w:sz w:val="20"/>
        </w:rPr>
      </w:pPr>
      <w:r>
        <w:rPr>
          <w:rFonts w:ascii="Times New Roman" w:hAnsi="Times New Roman"/>
          <w:b/>
          <w:sz w:val="20"/>
        </w:rPr>
        <w:t>AMEND &amp; RENUMBER</w:t>
      </w:r>
      <w:r>
        <w:rPr>
          <w:rFonts w:ascii="Times New Roman" w:hAnsi="Times New Roman"/>
          <w:sz w:val="20"/>
        </w:rPr>
        <w:t xml:space="preserve">: </w:t>
      </w:r>
    </w:p>
    <w:p w:rsidR="003677DE" w:rsidRDefault="00C45609">
      <w:pPr>
        <w:jc w:val="both"/>
        <w:rPr>
          <w:rFonts w:ascii="Times New Roman" w:hAnsi="Times New Roman"/>
          <w:sz w:val="20"/>
        </w:rPr>
      </w:pPr>
      <w:r>
        <w:rPr>
          <w:rFonts w:ascii="Times New Roman" w:hAnsi="Times New Roman"/>
          <w:sz w:val="20"/>
        </w:rPr>
        <w:t>Not applicable</w:t>
      </w:r>
    </w:p>
    <w:p w:rsidR="00C45609" w:rsidRDefault="00C45609">
      <w:pPr>
        <w:jc w:val="both"/>
        <w:rPr>
          <w:rFonts w:ascii="Times New Roman" w:hAnsi="Times New Roman"/>
          <w:sz w:val="20"/>
        </w:rPr>
      </w:pPr>
    </w:p>
    <w:p w:rsidR="003677DE" w:rsidRDefault="00411FE0">
      <w:pPr>
        <w:pStyle w:val="Heading1"/>
        <w:pBdr>
          <w:bottom w:val="single" w:sz="6" w:space="1" w:color="auto"/>
        </w:pBdr>
        <w:rPr>
          <w:rFonts w:ascii="Times New Roman" w:hAnsi="Times New Roman"/>
          <w:sz w:val="20"/>
          <w:u w:val="none"/>
        </w:rPr>
      </w:pPr>
      <w:r>
        <w:rPr>
          <w:rFonts w:ascii="Times New Roman" w:hAnsi="Times New Roman"/>
          <w:sz w:val="20"/>
          <w:u w:val="none"/>
        </w:rPr>
        <w:t xml:space="preserve">Stat. Auth.: ORS </w:t>
      </w:r>
      <w:r w:rsidR="00D96119">
        <w:rPr>
          <w:rFonts w:ascii="Times New Roman" w:hAnsi="Times New Roman"/>
          <w:sz w:val="20"/>
          <w:u w:val="none"/>
        </w:rPr>
        <w:t>468.020, 468A.025, 468A.035, 468A.040, 468A.050, and 468A.310</w:t>
      </w:r>
    </w:p>
    <w:p w:rsidR="003677DE" w:rsidRDefault="003677DE">
      <w:pPr>
        <w:pStyle w:val="EndnoteText"/>
        <w:rPr>
          <w:rFonts w:ascii="Times New Roman" w:eastAsia="Times" w:hAnsi="Times New Roman"/>
        </w:rPr>
      </w:pPr>
    </w:p>
    <w:p w:rsidR="003677DE" w:rsidRDefault="00411FE0">
      <w:pPr>
        <w:pBdr>
          <w:bottom w:val="single" w:sz="6" w:space="1" w:color="auto"/>
        </w:pBdr>
        <w:jc w:val="both"/>
        <w:rPr>
          <w:rFonts w:ascii="Times New Roman" w:hAnsi="Times New Roman"/>
          <w:sz w:val="20"/>
        </w:rPr>
      </w:pPr>
      <w:r>
        <w:rPr>
          <w:rFonts w:ascii="Times New Roman" w:hAnsi="Times New Roman"/>
          <w:sz w:val="20"/>
        </w:rPr>
        <w:t xml:space="preserve">Other Auth.: </w:t>
      </w:r>
    </w:p>
    <w:p w:rsidR="003677DE" w:rsidRDefault="003677DE">
      <w:pPr>
        <w:jc w:val="both"/>
        <w:rPr>
          <w:rFonts w:ascii="Times New Roman" w:hAnsi="Times New Roman"/>
          <w:sz w:val="20"/>
        </w:rPr>
      </w:pPr>
    </w:p>
    <w:p w:rsidR="003677DE" w:rsidRDefault="00411FE0">
      <w:pPr>
        <w:pStyle w:val="Heading1"/>
        <w:pBdr>
          <w:bottom w:val="single" w:sz="6" w:space="1" w:color="auto"/>
        </w:pBdr>
        <w:rPr>
          <w:rFonts w:ascii="Times New Roman" w:hAnsi="Times New Roman"/>
          <w:sz w:val="20"/>
          <w:u w:val="none"/>
        </w:rPr>
      </w:pPr>
      <w:proofErr w:type="gramStart"/>
      <w:r>
        <w:rPr>
          <w:rFonts w:ascii="Times New Roman" w:hAnsi="Times New Roman"/>
          <w:sz w:val="20"/>
          <w:u w:val="none"/>
        </w:rPr>
        <w:t>Stats.</w:t>
      </w:r>
      <w:proofErr w:type="gramEnd"/>
      <w:r>
        <w:rPr>
          <w:rFonts w:ascii="Times New Roman" w:hAnsi="Times New Roman"/>
          <w:sz w:val="20"/>
          <w:u w:val="none"/>
        </w:rPr>
        <w:t xml:space="preserve"> Implemented: ORS </w:t>
      </w:r>
      <w:r w:rsidR="00D96119" w:rsidRPr="00D96119">
        <w:rPr>
          <w:rFonts w:ascii="Times New Roman" w:hAnsi="Times New Roman"/>
          <w:sz w:val="20"/>
          <w:u w:val="none"/>
        </w:rPr>
        <w:t>468.020, 468A.025, 468A.035, 468A.040, 468A.050 and 468A.310</w:t>
      </w:r>
    </w:p>
    <w:p w:rsidR="003677DE" w:rsidRDefault="003677DE">
      <w:pPr>
        <w:jc w:val="both"/>
        <w:rPr>
          <w:rFonts w:ascii="Times New Roman" w:hAnsi="Times New Roman"/>
          <w:sz w:val="20"/>
        </w:rPr>
      </w:pPr>
    </w:p>
    <w:p w:rsidR="003677DE" w:rsidRDefault="00411FE0">
      <w:pPr>
        <w:jc w:val="center"/>
        <w:rPr>
          <w:rFonts w:ascii="Times New Roman" w:hAnsi="Times New Roman"/>
          <w:b/>
          <w:sz w:val="20"/>
        </w:rPr>
      </w:pPr>
      <w:r>
        <w:rPr>
          <w:rFonts w:ascii="Times New Roman" w:hAnsi="Times New Roman"/>
          <w:b/>
          <w:sz w:val="20"/>
        </w:rPr>
        <w:t>RULE SUMMARY</w:t>
      </w:r>
    </w:p>
    <w:p w:rsidR="003677DE" w:rsidRDefault="003677DE">
      <w:pPr>
        <w:rPr>
          <w:rFonts w:ascii="Times New Roman" w:hAnsi="Times New Roman"/>
          <w:sz w:val="20"/>
        </w:rPr>
      </w:pPr>
    </w:p>
    <w:p w:rsidR="00411FE0" w:rsidRPr="00B36E17" w:rsidRDefault="00B36E17" w:rsidP="00411FE0">
      <w:pPr>
        <w:rPr>
          <w:rFonts w:ascii="Times New Roman" w:hAnsi="Times New Roman"/>
          <w:sz w:val="22"/>
          <w:szCs w:val="22"/>
        </w:rPr>
      </w:pPr>
      <w:r>
        <w:rPr>
          <w:rFonts w:ascii="Times New Roman" w:eastAsia="Times New Roman" w:hAnsi="Times New Roman"/>
          <w:bCs/>
          <w:color w:val="000000" w:themeColor="text1"/>
          <w:sz w:val="22"/>
          <w:szCs w:val="22"/>
        </w:rPr>
        <w:t>As summarized below, t</w:t>
      </w:r>
      <w:r w:rsidR="00D96119" w:rsidRPr="00B36E17">
        <w:rPr>
          <w:rFonts w:ascii="Times New Roman" w:eastAsia="Times New Roman" w:hAnsi="Times New Roman"/>
          <w:bCs/>
          <w:color w:val="000000" w:themeColor="text1"/>
          <w:sz w:val="22"/>
          <w:szCs w:val="22"/>
        </w:rPr>
        <w:t xml:space="preserve">he rules adopt new and amended federal air quality regulations and related permit rules, which include new national performance and emission standards for electric utility steam generating units, gold mine ore processing and production, polyvinyl chloride and copolymers production, and sewage sludge incinerators and changes to the federal gasoline dispensing facility rules. The rules </w:t>
      </w:r>
      <w:r>
        <w:rPr>
          <w:rFonts w:ascii="Times New Roman" w:eastAsia="Times New Roman" w:hAnsi="Times New Roman"/>
          <w:bCs/>
          <w:color w:val="000000" w:themeColor="text1"/>
          <w:sz w:val="22"/>
          <w:szCs w:val="22"/>
        </w:rPr>
        <w:t xml:space="preserve">also </w:t>
      </w:r>
      <w:r w:rsidR="00D96119" w:rsidRPr="00B36E17">
        <w:rPr>
          <w:rFonts w:ascii="Times New Roman" w:eastAsia="Times New Roman" w:hAnsi="Times New Roman"/>
          <w:bCs/>
          <w:color w:val="000000" w:themeColor="text1"/>
          <w:sz w:val="22"/>
          <w:szCs w:val="22"/>
        </w:rPr>
        <w:t>clarify when and if Air Contaminant Discharge Permits are required for sources subject to federal New Source Performance Standards and NESHAPs.</w:t>
      </w:r>
    </w:p>
    <w:p w:rsidR="003677DE" w:rsidRPr="00B36E17" w:rsidRDefault="003677DE">
      <w:pPr>
        <w:rPr>
          <w:rFonts w:ascii="Times New Roman" w:hAnsi="Times New Roman"/>
          <w:sz w:val="22"/>
          <w:szCs w:val="22"/>
        </w:rPr>
      </w:pPr>
    </w:p>
    <w:p w:rsidR="00B36E17" w:rsidRPr="00B36E17" w:rsidRDefault="00B36E17" w:rsidP="00B36E17">
      <w:pPr>
        <w:pStyle w:val="ListParagraph"/>
        <w:numPr>
          <w:ilvl w:val="0"/>
          <w:numId w:val="1"/>
        </w:numPr>
        <w:spacing w:after="120"/>
        <w:ind w:right="634"/>
        <w:contextualSpacing w:val="0"/>
        <w:outlineLvl w:val="0"/>
        <w:rPr>
          <w:rFonts w:ascii="Times New Roman" w:eastAsia="Times New Roman" w:hAnsi="Times New Roman" w:cs="Times New Roman"/>
          <w:b/>
          <w:color w:val="000000"/>
          <w:sz w:val="22"/>
          <w:szCs w:val="22"/>
        </w:rPr>
      </w:pPr>
      <w:r w:rsidRPr="00B36E17">
        <w:rPr>
          <w:rFonts w:ascii="Times New Roman" w:eastAsia="Times New Roman" w:hAnsi="Times New Roman" w:cs="Times New Roman"/>
          <w:b/>
          <w:color w:val="000000"/>
          <w:sz w:val="22"/>
          <w:szCs w:val="22"/>
        </w:rPr>
        <w:t>Aligns Oregon’s rules with recent changes to federal emission standards</w:t>
      </w:r>
    </w:p>
    <w:p w:rsidR="00B36E17" w:rsidRPr="00B36E17" w:rsidRDefault="00B36E17" w:rsidP="00B36E17">
      <w:pPr>
        <w:pStyle w:val="ListParagraph"/>
        <w:numPr>
          <w:ilvl w:val="0"/>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 xml:space="preserve">Adopts the following by reference: </w:t>
      </w:r>
    </w:p>
    <w:p w:rsidR="00B36E17" w:rsidRPr="00B36E17" w:rsidRDefault="00B36E17" w:rsidP="00B36E17">
      <w:pPr>
        <w:pStyle w:val="ListParagraph"/>
        <w:numPr>
          <w:ilvl w:val="1"/>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New federal area source NESHAPs for gold mine ore processing and production</w:t>
      </w:r>
    </w:p>
    <w:p w:rsidR="00B36E17" w:rsidRPr="00B36E17" w:rsidRDefault="00B36E17" w:rsidP="00B36E17">
      <w:pPr>
        <w:pStyle w:val="ListParagraph"/>
        <w:numPr>
          <w:ilvl w:val="1"/>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New federal major source NESHAP for electric utility steam generating units</w:t>
      </w:r>
    </w:p>
    <w:p w:rsidR="00B36E17" w:rsidRPr="00B36E17" w:rsidRDefault="00B36E17" w:rsidP="00B36E17">
      <w:pPr>
        <w:pStyle w:val="ListParagraph"/>
        <w:numPr>
          <w:ilvl w:val="1"/>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lastRenderedPageBreak/>
        <w:t>New federal major source NESHAP for polyvinyl chloride and copolymers production</w:t>
      </w:r>
    </w:p>
    <w:p w:rsidR="00B36E17" w:rsidRPr="00B36E17" w:rsidRDefault="00B36E17" w:rsidP="00B36E17">
      <w:pPr>
        <w:pStyle w:val="ListParagraph"/>
        <w:numPr>
          <w:ilvl w:val="1"/>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New federal New Source Performance Standards for sewage sludge incineration units</w:t>
      </w:r>
    </w:p>
    <w:p w:rsidR="00B36E17" w:rsidRPr="00B36E17" w:rsidRDefault="00B36E17" w:rsidP="00B36E17">
      <w:pPr>
        <w:pStyle w:val="ListParagraph"/>
        <w:numPr>
          <w:ilvl w:val="0"/>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Incorporates changes EPA made to the federal gasoline dispensing facility NESHAP.</w:t>
      </w:r>
    </w:p>
    <w:p w:rsidR="00B36E17" w:rsidRPr="00B36E17" w:rsidRDefault="00B36E17" w:rsidP="00B36E17">
      <w:pPr>
        <w:pStyle w:val="ListParagraph"/>
        <w:numPr>
          <w:ilvl w:val="0"/>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Updates the adoption by reference of previously adopted NESHAPs and New Source Performance Standards.</w:t>
      </w:r>
    </w:p>
    <w:p w:rsidR="00B36E17" w:rsidRPr="00B36E17" w:rsidRDefault="00B36E17" w:rsidP="00B36E17">
      <w:pPr>
        <w:pStyle w:val="ListParagraph"/>
        <w:numPr>
          <w:ilvl w:val="0"/>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sz w:val="22"/>
          <w:szCs w:val="22"/>
        </w:rPr>
        <w:t>Removes monitoring, recordkeeping and reporting requirements in Oregon’s utility mercury rule and replaces them with references to the monitoring, recordkeeping and reporting requirements in the federal Electric Utility Steam Generating Unit NESHAP.</w:t>
      </w:r>
    </w:p>
    <w:p w:rsidR="00B36E17" w:rsidRPr="00B36E17" w:rsidRDefault="00B36E17" w:rsidP="00B36E17">
      <w:pPr>
        <w:pStyle w:val="ListParagraph"/>
        <w:spacing w:after="120"/>
        <w:ind w:left="1800" w:right="634"/>
        <w:outlineLvl w:val="0"/>
        <w:rPr>
          <w:rFonts w:ascii="Times New Roman" w:eastAsia="Times New Roman" w:hAnsi="Times New Roman" w:cs="Times New Roman"/>
          <w:b/>
          <w:color w:val="000000"/>
          <w:sz w:val="22"/>
          <w:szCs w:val="22"/>
        </w:rPr>
      </w:pPr>
    </w:p>
    <w:p w:rsidR="00B36E17" w:rsidRPr="00B36E17" w:rsidRDefault="00B36E17" w:rsidP="00B36E17">
      <w:pPr>
        <w:pStyle w:val="ListParagraph"/>
        <w:numPr>
          <w:ilvl w:val="0"/>
          <w:numId w:val="1"/>
        </w:numPr>
        <w:spacing w:after="120"/>
        <w:ind w:right="634"/>
        <w:contextualSpacing w:val="0"/>
        <w:outlineLvl w:val="0"/>
        <w:rPr>
          <w:rFonts w:ascii="Times New Roman" w:eastAsia="Times New Roman" w:hAnsi="Times New Roman" w:cs="Times New Roman"/>
          <w:b/>
          <w:color w:val="000000"/>
          <w:sz w:val="22"/>
          <w:szCs w:val="22"/>
        </w:rPr>
      </w:pPr>
      <w:r w:rsidRPr="00B36E17">
        <w:rPr>
          <w:rFonts w:ascii="Times New Roman" w:eastAsia="Times New Roman" w:hAnsi="Times New Roman" w:cs="Times New Roman"/>
          <w:b/>
          <w:color w:val="000000"/>
          <w:sz w:val="22"/>
          <w:szCs w:val="22"/>
        </w:rPr>
        <w:t>Makes changes to the Air Contaminant Discharge Permitting Program</w:t>
      </w:r>
    </w:p>
    <w:p w:rsidR="00B36E17" w:rsidRPr="00B36E17" w:rsidRDefault="00B36E17" w:rsidP="00B36E17">
      <w:pPr>
        <w:pStyle w:val="ListParagraph"/>
        <w:numPr>
          <w:ilvl w:val="0"/>
          <w:numId w:val="5"/>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Removes a requirement for DEQ to include federal emission standards in Air Contaminant Discharge Permits even when the federal standards have not been adopted by EQC.</w:t>
      </w:r>
    </w:p>
    <w:p w:rsidR="00B36E17" w:rsidRPr="00B36E17" w:rsidRDefault="00B36E17" w:rsidP="00B36E17">
      <w:pPr>
        <w:pStyle w:val="ListParagraph"/>
        <w:numPr>
          <w:ilvl w:val="0"/>
          <w:numId w:val="5"/>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Removes a requirement for affected facilities to obtain an Air Contaminant Discharge Permit if the facilities are only subject to federal New Source Performance Standards that have not been adopted by EQC.</w:t>
      </w:r>
    </w:p>
    <w:p w:rsidR="00B36E17" w:rsidRPr="00B36E17" w:rsidRDefault="00B36E17" w:rsidP="00B36E17">
      <w:pPr>
        <w:pStyle w:val="ListParagraph"/>
        <w:numPr>
          <w:ilvl w:val="0"/>
          <w:numId w:val="5"/>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 xml:space="preserve">Exempts the following from permitting: </w:t>
      </w:r>
    </w:p>
    <w:p w:rsidR="00B36E17" w:rsidRPr="00B36E17" w:rsidRDefault="00B36E17" w:rsidP="00B36E17">
      <w:pPr>
        <w:pStyle w:val="ListParagraph"/>
        <w:numPr>
          <w:ilvl w:val="1"/>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Facilities subject to only procedural requirements, such as notification that the facility is affected by a New Source Performance Standards or a NESHAP</w:t>
      </w:r>
    </w:p>
    <w:p w:rsidR="00B36E17" w:rsidRPr="00B36E17" w:rsidRDefault="00B36E17" w:rsidP="00B36E17">
      <w:pPr>
        <w:pStyle w:val="ListParagraph"/>
        <w:numPr>
          <w:ilvl w:val="1"/>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Chemical manufacturing facilities only subject to work practice standards</w:t>
      </w:r>
    </w:p>
    <w:p w:rsidR="00B36E17" w:rsidRPr="00B36E17" w:rsidRDefault="00B36E17" w:rsidP="00B36E17">
      <w:pPr>
        <w:pStyle w:val="ListParagraph"/>
        <w:numPr>
          <w:ilvl w:val="1"/>
          <w:numId w:val="3"/>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Paint stripping and surface coating operations using less than 20 gallons of coating and 20 gallons of methylene chloride-containing paint stripper per year</w:t>
      </w:r>
    </w:p>
    <w:p w:rsidR="00B36E17" w:rsidRPr="00B36E17" w:rsidRDefault="00B36E17" w:rsidP="00B36E17">
      <w:pPr>
        <w:pStyle w:val="ListParagraph"/>
        <w:numPr>
          <w:ilvl w:val="0"/>
          <w:numId w:val="5"/>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 xml:space="preserve">Gives DEQ the ability to add new requirements to Simple or Standard Air Contaminant Discharge Permits by assigning the source to an Air Contaminant Discharge Permit Attachment. </w:t>
      </w:r>
    </w:p>
    <w:p w:rsidR="00B36E17" w:rsidRPr="00B36E17" w:rsidRDefault="00B36E17" w:rsidP="00B36E17">
      <w:pPr>
        <w:pStyle w:val="ListParagraph"/>
        <w:spacing w:after="120"/>
        <w:ind w:left="1800" w:right="634"/>
        <w:outlineLvl w:val="0"/>
        <w:rPr>
          <w:rFonts w:ascii="Times New Roman" w:eastAsia="Times New Roman" w:hAnsi="Times New Roman" w:cs="Times New Roman"/>
          <w:b/>
          <w:color w:val="000000"/>
          <w:sz w:val="22"/>
          <w:szCs w:val="22"/>
        </w:rPr>
      </w:pPr>
    </w:p>
    <w:p w:rsidR="00B36E17" w:rsidRPr="00B36E17" w:rsidRDefault="00B36E17" w:rsidP="00B36E17">
      <w:pPr>
        <w:pStyle w:val="ListParagraph"/>
        <w:numPr>
          <w:ilvl w:val="0"/>
          <w:numId w:val="1"/>
        </w:numPr>
        <w:spacing w:after="120"/>
        <w:ind w:right="634"/>
        <w:outlineLvl w:val="0"/>
        <w:rPr>
          <w:rFonts w:ascii="Times New Roman" w:eastAsia="Times New Roman" w:hAnsi="Times New Roman" w:cs="Times New Roman"/>
          <w:b/>
          <w:color w:val="000000"/>
          <w:sz w:val="22"/>
          <w:szCs w:val="22"/>
        </w:rPr>
      </w:pPr>
      <w:r w:rsidRPr="00B36E17">
        <w:rPr>
          <w:rFonts w:ascii="Times New Roman" w:eastAsia="Times New Roman" w:hAnsi="Times New Roman" w:cs="Times New Roman"/>
          <w:b/>
          <w:color w:val="000000"/>
          <w:sz w:val="22"/>
          <w:szCs w:val="22"/>
        </w:rPr>
        <w:t>Clarifies and cleans up rules</w:t>
      </w:r>
    </w:p>
    <w:p w:rsidR="00B36E17" w:rsidRPr="00B36E17" w:rsidRDefault="00B36E17" w:rsidP="00B36E17">
      <w:pPr>
        <w:pStyle w:val="ListParagraph"/>
        <w:numPr>
          <w:ilvl w:val="0"/>
          <w:numId w:val="6"/>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Changes the late fees for the registration and Air Contaminant Discharge Permit programs to eight days after a source misses a deadline for submitting fees instead of immediately after the deadline.</w:t>
      </w:r>
    </w:p>
    <w:p w:rsidR="00B36E17" w:rsidRPr="00B36E17" w:rsidRDefault="00B36E17" w:rsidP="00B36E17">
      <w:pPr>
        <w:pStyle w:val="ListParagraph"/>
        <w:numPr>
          <w:ilvl w:val="0"/>
          <w:numId w:val="6"/>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Clarifies the permitting requirements for metal fabrication and finishing operations.</w:t>
      </w:r>
    </w:p>
    <w:p w:rsidR="00B36E17" w:rsidRPr="00B36E17" w:rsidRDefault="00B36E17" w:rsidP="00B36E17">
      <w:pPr>
        <w:pStyle w:val="ListParagraph"/>
        <w:numPr>
          <w:ilvl w:val="0"/>
          <w:numId w:val="6"/>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Removes redundant general permit fee class assignments for halogenated solvent cleaners.</w:t>
      </w:r>
    </w:p>
    <w:p w:rsidR="00B36E17" w:rsidRPr="00B36E17" w:rsidRDefault="00B36E17" w:rsidP="00B36E17">
      <w:pPr>
        <w:pStyle w:val="ListParagraph"/>
        <w:numPr>
          <w:ilvl w:val="0"/>
          <w:numId w:val="6"/>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Removes redundant gasoline dispensing facility control requirements in OAR 340 Division 232.</w:t>
      </w:r>
    </w:p>
    <w:p w:rsidR="00B36E17" w:rsidRPr="00B36E17" w:rsidRDefault="00B36E17" w:rsidP="00B36E17">
      <w:pPr>
        <w:pStyle w:val="ListParagraph"/>
        <w:numPr>
          <w:ilvl w:val="0"/>
          <w:numId w:val="6"/>
        </w:numPr>
        <w:spacing w:after="120"/>
        <w:ind w:right="634"/>
        <w:contextualSpacing w:val="0"/>
        <w:outlineLvl w:val="0"/>
        <w:rPr>
          <w:rFonts w:ascii="Times New Roman" w:eastAsia="Times New Roman" w:hAnsi="Times New Roman" w:cs="Times New Roman"/>
          <w:color w:val="000000"/>
          <w:sz w:val="22"/>
          <w:szCs w:val="22"/>
        </w:rPr>
      </w:pPr>
      <w:r w:rsidRPr="00B36E17">
        <w:rPr>
          <w:rFonts w:ascii="Times New Roman" w:eastAsia="Times New Roman" w:hAnsi="Times New Roman" w:cs="Times New Roman"/>
          <w:color w:val="000000"/>
          <w:sz w:val="22"/>
          <w:szCs w:val="22"/>
        </w:rPr>
        <w:t>Reassigns crematories to General Air Contaminant Discharge Permit fee class one. Crematories were inadvertently assigned to fee class two in a previous rulemaking.</w:t>
      </w:r>
    </w:p>
    <w:p w:rsidR="00D96119" w:rsidRPr="00B36E17" w:rsidRDefault="00B36E17" w:rsidP="00B36E17">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sidRPr="00B36E17">
        <w:rPr>
          <w:rFonts w:ascii="Times New Roman" w:eastAsia="Times New Roman" w:hAnsi="Times New Roman" w:cs="Times New Roman"/>
          <w:color w:val="000000"/>
          <w:sz w:val="22"/>
          <w:szCs w:val="22"/>
        </w:rPr>
        <w:t>Repeals DEQ’s accidental release prevention rule.</w:t>
      </w:r>
    </w:p>
    <w:p w:rsidR="00D96119" w:rsidRDefault="00D96119">
      <w:pPr>
        <w:pBdr>
          <w:bottom w:val="single" w:sz="6" w:space="1" w:color="auto"/>
        </w:pBdr>
        <w:tabs>
          <w:tab w:val="left" w:pos="360"/>
          <w:tab w:val="right" w:pos="2700"/>
        </w:tabs>
        <w:rPr>
          <w:rFonts w:ascii="Times New Roman" w:hAnsi="Times New Roman"/>
          <w:sz w:val="20"/>
        </w:rPr>
      </w:pPr>
    </w:p>
    <w:p w:rsidR="00B36E17" w:rsidRDefault="00B36E17">
      <w:pPr>
        <w:pBdr>
          <w:bottom w:val="single" w:sz="6" w:space="1" w:color="auto"/>
        </w:pBdr>
        <w:tabs>
          <w:tab w:val="left" w:pos="360"/>
          <w:tab w:val="right" w:pos="2700"/>
        </w:tabs>
        <w:rPr>
          <w:rFonts w:ascii="Times New Roman" w:hAnsi="Times New Roman"/>
          <w:sz w:val="20"/>
        </w:rPr>
      </w:pPr>
    </w:p>
    <w:p w:rsidR="00B36E17" w:rsidRDefault="00B36E17">
      <w:pPr>
        <w:pBdr>
          <w:bottom w:val="single" w:sz="6" w:space="1" w:color="auto"/>
        </w:pBdr>
        <w:tabs>
          <w:tab w:val="left" w:pos="360"/>
          <w:tab w:val="right" w:pos="2700"/>
        </w:tabs>
        <w:rPr>
          <w:rFonts w:ascii="Times New Roman" w:hAnsi="Times New Roman"/>
          <w:sz w:val="20"/>
        </w:rPr>
      </w:pPr>
    </w:p>
    <w:p w:rsidR="00B36E17" w:rsidRDefault="00B36E17">
      <w:pPr>
        <w:pBdr>
          <w:bottom w:val="single" w:sz="6" w:space="1" w:color="auto"/>
        </w:pBdr>
        <w:tabs>
          <w:tab w:val="left" w:pos="360"/>
          <w:tab w:val="right" w:pos="2700"/>
        </w:tabs>
        <w:rPr>
          <w:rFonts w:ascii="Times New Roman" w:hAnsi="Times New Roman"/>
          <w:sz w:val="20"/>
        </w:rPr>
      </w:pPr>
    </w:p>
    <w:p w:rsidR="00B36E17" w:rsidRDefault="00B36E17">
      <w:pPr>
        <w:pBdr>
          <w:bottom w:val="single" w:sz="6" w:space="1" w:color="auto"/>
        </w:pBdr>
        <w:tabs>
          <w:tab w:val="left" w:pos="360"/>
          <w:tab w:val="right" w:pos="2700"/>
        </w:tabs>
        <w:rPr>
          <w:rFonts w:ascii="Times New Roman" w:hAnsi="Times New Roman"/>
          <w:sz w:val="20"/>
        </w:rPr>
      </w:pPr>
    </w:p>
    <w:p w:rsidR="003677DE" w:rsidRDefault="00411FE0">
      <w:pPr>
        <w:tabs>
          <w:tab w:val="left" w:pos="360"/>
          <w:tab w:val="right" w:pos="2700"/>
        </w:tabs>
        <w:rPr>
          <w:rFonts w:ascii="Times New Roman" w:hAnsi="Times New Roman"/>
          <w:sz w:val="20"/>
        </w:rPr>
      </w:pPr>
      <w:r>
        <w:rPr>
          <w:rFonts w:ascii="Times New Roman" w:hAnsi="Times New Roman"/>
          <w:sz w:val="20"/>
        </w:rPr>
        <w:t>Authorized Signer</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p w:rsidR="00411FE0" w:rsidRDefault="00411FE0">
      <w:pPr>
        <w:rPr>
          <w:rFonts w:ascii="Times New Roman" w:hAnsi="Times New Roman"/>
          <w:b/>
          <w:sz w:val="20"/>
        </w:rPr>
      </w:pPr>
    </w:p>
    <w:p w:rsidR="003677DE" w:rsidRDefault="00411FE0">
      <w:pPr>
        <w:rPr>
          <w:rFonts w:ascii="Times New Roman" w:hAnsi="Times New Roman"/>
          <w:sz w:val="20"/>
        </w:rPr>
      </w:pPr>
      <w:r>
        <w:rPr>
          <w:rFonts w:ascii="Times New Roman" w:hAnsi="Times New Roman"/>
          <w:b/>
          <w:sz w:val="20"/>
        </w:rPr>
        <w:t>*</w:t>
      </w:r>
      <w:r>
        <w:rPr>
          <w:rFonts w:ascii="Times New Roman" w:hAnsi="Times New Roman"/>
          <w:sz w:val="20"/>
        </w:rPr>
        <w:t xml:space="preserve">With this original, file one photocopy of certificate, one paper copy of rules listed in Rulemaking Actions, and electronic copy of rules. </w:t>
      </w:r>
      <w:r>
        <w:rPr>
          <w:rFonts w:ascii="Times New Roman" w:hAnsi="Times New Roman"/>
          <w:b/>
          <w:sz w:val="20"/>
        </w:rPr>
        <w:t>**</w:t>
      </w:r>
      <w:r>
        <w:rPr>
          <w:rFonts w:ascii="Times New Roman" w:hAnsi="Times New Roman"/>
          <w:sz w:val="20"/>
        </w:rPr>
        <w:t xml:space="preserve">The Oregon Bulletin is published the 1st of each month and updates rules found in the OAR Compilation. For publication in Bulletin, rule and notice filings must be submitted by 5:00 pm on the 15th day of the preceding month unless this deadline falls on a weekend or legal holiday, when filings are accepted until 5:00 pm on the preceding workday. </w:t>
      </w:r>
      <w:r>
        <w:rPr>
          <w:rFonts w:ascii="Times New Roman" w:hAnsi="Times New Roman"/>
          <w:sz w:val="20"/>
        </w:rPr>
        <w:tab/>
        <w:t xml:space="preserve">                           ARC 930-2005</w:t>
      </w:r>
    </w:p>
    <w:sectPr w:rsidR="003677DE" w:rsidSect="00411FE0">
      <w:pgSz w:w="12240" w:h="15840"/>
      <w:pgMar w:top="720"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403EA"/>
    <w:multiLevelType w:val="hybridMultilevel"/>
    <w:tmpl w:val="795C274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7E0764"/>
    <w:multiLevelType w:val="hybridMultilevel"/>
    <w:tmpl w:val="705295D8"/>
    <w:lvl w:ilvl="0" w:tplc="CCA433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7D5B87"/>
    <w:multiLevelType w:val="hybridMultilevel"/>
    <w:tmpl w:val="2618AE94"/>
    <w:lvl w:ilvl="0" w:tplc="04090019">
      <w:start w:val="1"/>
      <w:numFmt w:val="lowerLetter"/>
      <w:lvlText w:val="%1."/>
      <w:lvlJc w:val="left"/>
      <w:pPr>
        <w:ind w:left="1980" w:hanging="360"/>
      </w:pPr>
      <w:rPr>
        <w:rFonts w:hint="default"/>
        <w:color w:val="auto"/>
      </w:rPr>
    </w:lvl>
    <w:lvl w:ilvl="1" w:tplc="0409001B">
      <w:start w:val="1"/>
      <w:numFmt w:val="lowerRoman"/>
      <w:lvlText w:val="%2."/>
      <w:lvlJc w:val="right"/>
      <w:pPr>
        <w:ind w:left="2700" w:hanging="360"/>
      </w:pPr>
      <w:rPr>
        <w:rFont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68B6587E"/>
    <w:multiLevelType w:val="hybridMultilevel"/>
    <w:tmpl w:val="795C274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39157F"/>
    <w:multiLevelType w:val="hybridMultilevel"/>
    <w:tmpl w:val="795C274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411FE0"/>
    <w:rsid w:val="00014E19"/>
    <w:rsid w:val="003677DE"/>
    <w:rsid w:val="00411FE0"/>
    <w:rsid w:val="005F434A"/>
    <w:rsid w:val="007C1139"/>
    <w:rsid w:val="00B36E17"/>
    <w:rsid w:val="00C45609"/>
    <w:rsid w:val="00D96119"/>
    <w:rsid w:val="00DE1127"/>
    <w:rsid w:val="00ED7EAD"/>
    <w:rsid w:val="00F41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DE"/>
    <w:rPr>
      <w:sz w:val="24"/>
    </w:rPr>
  </w:style>
  <w:style w:type="paragraph" w:styleId="Heading1">
    <w:name w:val="heading 1"/>
    <w:basedOn w:val="Normal"/>
    <w:next w:val="Normal"/>
    <w:qFormat/>
    <w:rsid w:val="003677DE"/>
    <w:pPr>
      <w:keepNext/>
      <w:outlineLvl w:val="0"/>
    </w:pPr>
    <w:rPr>
      <w:sz w:val="18"/>
      <w:u w:val="single"/>
    </w:rPr>
  </w:style>
  <w:style w:type="paragraph" w:styleId="Heading2">
    <w:name w:val="heading 2"/>
    <w:basedOn w:val="Normal"/>
    <w:next w:val="Normal"/>
    <w:qFormat/>
    <w:rsid w:val="003677DE"/>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77DE"/>
    <w:rPr>
      <w:rFonts w:ascii="New York" w:eastAsia="Times New Roman" w:hAnsi="New York"/>
      <w:sz w:val="20"/>
    </w:rPr>
  </w:style>
  <w:style w:type="paragraph" w:styleId="ListParagraph">
    <w:name w:val="List Paragraph"/>
    <w:basedOn w:val="Normal"/>
    <w:uiPriority w:val="34"/>
    <w:qFormat/>
    <w:rsid w:val="00B36E17"/>
    <w:pPr>
      <w:ind w:left="720"/>
      <w:contextualSpacing/>
    </w:pPr>
    <w:rPr>
      <w:rFonts w:ascii="Arial" w:eastAsiaTheme="minorHAnsi"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761</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Certificate and Order for Filing Permanent Administrative Rules</vt:lpstr>
    </vt:vector>
  </TitlesOfParts>
  <Company>Oregon Secretary of State</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and Order for Filing Permanent Administrative Rules</dc:title>
  <dc:subject>Certificate and Order for Filing Permanent Administrative Rules</dc:subject>
  <dc:creator>Archives Division</dc:creator>
  <cp:keywords>Permanent Administrative Rules</cp:keywords>
  <cp:lastModifiedBy>GEberso</cp:lastModifiedBy>
  <cp:revision>2</cp:revision>
  <cp:lastPrinted>2005-10-04T18:23:00Z</cp:lastPrinted>
  <dcterms:created xsi:type="dcterms:W3CDTF">2013-02-27T19:15:00Z</dcterms:created>
  <dcterms:modified xsi:type="dcterms:W3CDTF">2013-02-27T19:15:00Z</dcterms:modified>
</cp:coreProperties>
</file>