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23E" w:rsidRPr="00F55FEB" w:rsidRDefault="00DF123E" w:rsidP="00DF123E">
      <w:pPr>
        <w:pStyle w:val="NormalWeb"/>
        <w:jc w:val="center"/>
        <w:rPr>
          <w:b/>
          <w:bCs/>
        </w:rPr>
      </w:pPr>
      <w:r w:rsidRPr="00F55FEB">
        <w:rPr>
          <w:b/>
          <w:bCs/>
        </w:rPr>
        <w:t>OAR 340-216-0020</w:t>
      </w:r>
    </w:p>
    <w:p w:rsidR="00DF123E" w:rsidRPr="00F55FEB" w:rsidRDefault="00DF123E" w:rsidP="00DF123E">
      <w:pPr>
        <w:pStyle w:val="NormalWeb"/>
        <w:jc w:val="center"/>
        <w:rPr>
          <w:b/>
          <w:bCs/>
        </w:rPr>
      </w:pPr>
      <w:r w:rsidRPr="00F55FEB">
        <w:rPr>
          <w:b/>
          <w:bCs/>
        </w:rPr>
        <w:t>AIR CONTAMINANT DISCHARGE PERMITS</w:t>
      </w:r>
    </w:p>
    <w:p w:rsidR="000D1EB7" w:rsidRPr="00091A01" w:rsidRDefault="000D1EB7" w:rsidP="000D1EB7">
      <w:pPr>
        <w:keepNext/>
        <w:spacing w:before="240" w:after="60" w:line="240" w:lineRule="auto"/>
        <w:outlineLvl w:val="0"/>
        <w:rPr>
          <w:rFonts w:ascii="Verdana" w:eastAsia="Times New Roman" w:hAnsi="Verdana" w:cs="Times New Roman"/>
          <w:b/>
          <w:bCs/>
          <w:color w:val="000000"/>
          <w:kern w:val="32"/>
          <w:sz w:val="24"/>
          <w:szCs w:val="24"/>
        </w:rPr>
      </w:pPr>
      <w:r w:rsidRPr="00091A01">
        <w:rPr>
          <w:rFonts w:ascii="Verdana" w:eastAsia="Times New Roman" w:hAnsi="Verdana" w:cs="Times New Roman"/>
          <w:b/>
          <w:bCs/>
          <w:kern w:val="32"/>
          <w:sz w:val="24"/>
          <w:szCs w:val="24"/>
        </w:rPr>
        <w:t xml:space="preserve">Table 2 </w:t>
      </w:r>
    </w:p>
    <w:p w:rsidR="000D1EB7" w:rsidRPr="00091A01" w:rsidRDefault="000D1EB7" w:rsidP="000D1EB7">
      <w:pPr>
        <w:keepNext/>
        <w:spacing w:before="240" w:after="60" w:line="240" w:lineRule="auto"/>
        <w:outlineLvl w:val="2"/>
        <w:rPr>
          <w:rFonts w:ascii="Verdana" w:eastAsia="Times New Roman" w:hAnsi="Verdana" w:cs="Arial"/>
          <w:b/>
          <w:bCs/>
          <w:sz w:val="20"/>
          <w:szCs w:val="20"/>
        </w:rPr>
      </w:pPr>
      <w:proofErr w:type="gramStart"/>
      <w:r w:rsidRPr="00091A01">
        <w:rPr>
          <w:rFonts w:ascii="Verdana" w:eastAsia="Times New Roman" w:hAnsi="Verdana" w:cs="Arial"/>
          <w:b/>
          <w:bCs/>
          <w:sz w:val="20"/>
          <w:szCs w:val="20"/>
        </w:rPr>
        <w:t>Part 1.</w:t>
      </w:r>
      <w:proofErr w:type="gramEnd"/>
      <w:r w:rsidRPr="00091A01">
        <w:rPr>
          <w:rFonts w:ascii="Verdana" w:eastAsia="Times New Roman" w:hAnsi="Verdana" w:cs="Arial"/>
          <w:b/>
          <w:bCs/>
          <w:sz w:val="20"/>
          <w:szCs w:val="20"/>
        </w:rPr>
        <w:t xml:space="preserve"> Initial Permitting Application Fees: (in addition to first annual fee)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264"/>
        <w:gridCol w:w="2906"/>
      </w:tblGrid>
      <w:tr w:rsidR="000D1EB7" w:rsidRPr="005F5797" w:rsidTr="000D1EB7">
        <w:trPr>
          <w:tblCellSpacing w:w="15" w:type="dxa"/>
        </w:trPr>
        <w:tc>
          <w:tcPr>
            <w:tcW w:w="0" w:type="auto"/>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a. Short Term Activity ACDP</w:t>
            </w:r>
          </w:p>
        </w:tc>
        <w:tc>
          <w:tcPr>
            <w:tcW w:w="0" w:type="auto"/>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$3,000.00</w:t>
            </w:r>
          </w:p>
        </w:tc>
      </w:tr>
      <w:tr w:rsidR="000D1EB7" w:rsidRPr="005F5797" w:rsidTr="000D1EB7">
        <w:trPr>
          <w:tblCellSpacing w:w="15" w:type="dxa"/>
        </w:trPr>
        <w:tc>
          <w:tcPr>
            <w:tcW w:w="0" w:type="auto"/>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Basic ACDP</w:t>
            </w:r>
          </w:p>
        </w:tc>
        <w:tc>
          <w:tcPr>
            <w:tcW w:w="0" w:type="auto"/>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w:t>
            </w:r>
          </w:p>
        </w:tc>
      </w:tr>
      <w:tr w:rsidR="000D1EB7" w:rsidRPr="005F5797" w:rsidTr="000D1EB7">
        <w:trPr>
          <w:tblCellSpacing w:w="15" w:type="dxa"/>
        </w:trPr>
        <w:tc>
          <w:tcPr>
            <w:tcW w:w="0" w:type="auto"/>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c. Assignment to General ACDP</w:t>
            </w:r>
          </w:p>
        </w:tc>
        <w:tc>
          <w:tcPr>
            <w:tcW w:w="0" w:type="auto"/>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$1,200.00</w:t>
            </w:r>
            <w:r w:rsidRPr="004001C3">
              <w:rPr>
                <w:rFonts w:ascii="Verdana" w:eastAsia="Times New Roman" w:hAnsi="Verdana" w:cs="Times New Roman"/>
                <w:color w:val="000000"/>
                <w:sz w:val="20"/>
                <w:szCs w:val="20"/>
              </w:rPr>
              <w:t>*</w:t>
            </w:r>
          </w:p>
        </w:tc>
      </w:tr>
      <w:tr w:rsidR="000D1EB7" w:rsidRPr="005F5797" w:rsidTr="000D1EB7">
        <w:trPr>
          <w:tblCellSpacing w:w="15" w:type="dxa"/>
        </w:trPr>
        <w:tc>
          <w:tcPr>
            <w:tcW w:w="0" w:type="auto"/>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d. Simple ACDP</w:t>
            </w:r>
          </w:p>
        </w:tc>
        <w:tc>
          <w:tcPr>
            <w:tcW w:w="0" w:type="auto"/>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$6,000.00</w:t>
            </w:r>
          </w:p>
        </w:tc>
      </w:tr>
      <w:tr w:rsidR="000D1EB7" w:rsidRPr="005F5797" w:rsidTr="000D1EB7">
        <w:trPr>
          <w:tblCellSpacing w:w="15" w:type="dxa"/>
        </w:trPr>
        <w:tc>
          <w:tcPr>
            <w:tcW w:w="0" w:type="auto"/>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e. Construction ACDP</w:t>
            </w:r>
          </w:p>
        </w:tc>
        <w:tc>
          <w:tcPr>
            <w:tcW w:w="0" w:type="auto"/>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$9,600.00</w:t>
            </w:r>
          </w:p>
        </w:tc>
      </w:tr>
      <w:tr w:rsidR="000D1EB7" w:rsidRPr="005F5797" w:rsidTr="000D1EB7">
        <w:trPr>
          <w:tblCellSpacing w:w="15" w:type="dxa"/>
        </w:trPr>
        <w:tc>
          <w:tcPr>
            <w:tcW w:w="0" w:type="auto"/>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f. Standard ACDP</w:t>
            </w:r>
          </w:p>
        </w:tc>
        <w:tc>
          <w:tcPr>
            <w:tcW w:w="0" w:type="auto"/>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$12,000.00</w:t>
            </w:r>
          </w:p>
        </w:tc>
      </w:tr>
      <w:tr w:rsidR="000D1EB7" w:rsidRPr="005F5797" w:rsidTr="000D1EB7">
        <w:trPr>
          <w:tblCellSpacing w:w="15" w:type="dxa"/>
        </w:trPr>
        <w:tc>
          <w:tcPr>
            <w:tcW w:w="0" w:type="auto"/>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g. Standard ACDP (PSD/NSR)</w:t>
            </w:r>
          </w:p>
        </w:tc>
        <w:tc>
          <w:tcPr>
            <w:tcW w:w="0" w:type="auto"/>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$42,000.00  </w:t>
            </w:r>
          </w:p>
        </w:tc>
      </w:tr>
    </w:tbl>
    <w:p w:rsidR="000D1EB7" w:rsidRDefault="000D1EB7" w:rsidP="000D1EB7">
      <w:pPr>
        <w:keepNext/>
        <w:spacing w:before="60" w:after="60" w:line="240" w:lineRule="auto"/>
        <w:outlineLvl w:val="2"/>
        <w:rPr>
          <w:rFonts w:ascii="Verdana" w:hAnsi="Verdana"/>
          <w:sz w:val="20"/>
          <w:szCs w:val="20"/>
        </w:rPr>
      </w:pPr>
      <w:r w:rsidRPr="00A410BD">
        <w:rPr>
          <w:rFonts w:ascii="Verdana" w:hAnsi="Verdana"/>
          <w:sz w:val="20"/>
          <w:szCs w:val="20"/>
        </w:rPr>
        <w:t>*</w:t>
      </w:r>
      <w:r>
        <w:rPr>
          <w:rFonts w:ascii="Verdana" w:hAnsi="Verdana"/>
          <w:sz w:val="20"/>
          <w:szCs w:val="20"/>
        </w:rPr>
        <w:t>DEQ may waive the assignment fee for a</w:t>
      </w:r>
      <w:r w:rsidRPr="00A410BD">
        <w:rPr>
          <w:rFonts w:ascii="Verdana" w:hAnsi="Verdana"/>
          <w:sz w:val="20"/>
          <w:szCs w:val="20"/>
        </w:rPr>
        <w:t>n</w:t>
      </w:r>
      <w:r>
        <w:rPr>
          <w:rFonts w:ascii="Verdana" w:hAnsi="Verdana"/>
          <w:sz w:val="20"/>
          <w:szCs w:val="20"/>
        </w:rPr>
        <w:t xml:space="preserve"> </w:t>
      </w:r>
      <w:r w:rsidRPr="00A410BD">
        <w:rPr>
          <w:rFonts w:ascii="Verdana" w:hAnsi="Verdana"/>
          <w:sz w:val="20"/>
          <w:szCs w:val="20"/>
        </w:rPr>
        <w:t xml:space="preserve">existing </w:t>
      </w:r>
      <w:r>
        <w:rPr>
          <w:rFonts w:ascii="Verdana" w:hAnsi="Verdana"/>
          <w:sz w:val="20"/>
          <w:szCs w:val="20"/>
        </w:rPr>
        <w:t>s</w:t>
      </w:r>
      <w:r w:rsidRPr="00A410BD">
        <w:rPr>
          <w:rFonts w:ascii="Verdana" w:hAnsi="Verdana"/>
          <w:sz w:val="20"/>
          <w:szCs w:val="20"/>
        </w:rPr>
        <w:t xml:space="preserve">ource </w:t>
      </w:r>
      <w:r>
        <w:rPr>
          <w:rFonts w:ascii="Verdana" w:hAnsi="Verdana"/>
          <w:sz w:val="20"/>
          <w:szCs w:val="20"/>
        </w:rPr>
        <w:t xml:space="preserve">requesting to be assigned to a General ACDP because the source is subject to a </w:t>
      </w:r>
      <w:r w:rsidRPr="00A410BD">
        <w:rPr>
          <w:rFonts w:ascii="Verdana" w:hAnsi="Verdana"/>
          <w:sz w:val="20"/>
          <w:szCs w:val="20"/>
        </w:rPr>
        <w:t xml:space="preserve">newly adopted </w:t>
      </w:r>
      <w:r>
        <w:rPr>
          <w:rFonts w:ascii="Verdana" w:hAnsi="Verdana"/>
          <w:sz w:val="20"/>
          <w:szCs w:val="20"/>
        </w:rPr>
        <w:t xml:space="preserve">area source NESHAP as long as the </w:t>
      </w:r>
      <w:r w:rsidRPr="00A410BD">
        <w:rPr>
          <w:rFonts w:ascii="Verdana" w:hAnsi="Verdana"/>
          <w:sz w:val="20"/>
          <w:szCs w:val="20"/>
        </w:rPr>
        <w:t xml:space="preserve">existing </w:t>
      </w:r>
      <w:r>
        <w:rPr>
          <w:rFonts w:ascii="Verdana" w:hAnsi="Verdana"/>
          <w:sz w:val="20"/>
          <w:szCs w:val="20"/>
        </w:rPr>
        <w:t xml:space="preserve">source requests assignment within 90 days of notification by DEQ. </w:t>
      </w:r>
    </w:p>
    <w:p w:rsidR="000D1EB7" w:rsidRPr="00091A01" w:rsidRDefault="000D1EB7" w:rsidP="000D1EB7">
      <w:pPr>
        <w:keepNext/>
        <w:spacing w:before="240" w:after="60" w:line="240" w:lineRule="auto"/>
        <w:outlineLvl w:val="2"/>
        <w:rPr>
          <w:rFonts w:ascii="Verdana" w:eastAsia="Times New Roman" w:hAnsi="Verdana" w:cs="Arial"/>
          <w:b/>
          <w:bCs/>
          <w:color w:val="663300"/>
          <w:sz w:val="20"/>
          <w:szCs w:val="20"/>
        </w:rPr>
      </w:pPr>
      <w:proofErr w:type="gramStart"/>
      <w:r w:rsidRPr="00091A01">
        <w:rPr>
          <w:rFonts w:ascii="Verdana" w:eastAsia="Times New Roman" w:hAnsi="Verdana" w:cs="Arial"/>
          <w:b/>
          <w:bCs/>
          <w:sz w:val="20"/>
          <w:szCs w:val="20"/>
        </w:rPr>
        <w:t>Part 2.</w:t>
      </w:r>
      <w:proofErr w:type="gramEnd"/>
      <w:r w:rsidRPr="00091A01">
        <w:rPr>
          <w:rFonts w:ascii="Verdana" w:eastAsia="Times New Roman" w:hAnsi="Verdana" w:cs="Arial"/>
          <w:b/>
          <w:bCs/>
          <w:sz w:val="20"/>
          <w:szCs w:val="20"/>
        </w:rPr>
        <w:t xml:space="preserve"> Annual Fees: (Due </w:t>
      </w:r>
      <w:r>
        <w:rPr>
          <w:rFonts w:ascii="Verdana" w:eastAsia="Times New Roman" w:hAnsi="Verdana" w:cs="Arial"/>
          <w:b/>
          <w:bCs/>
          <w:sz w:val="20"/>
          <w:szCs w:val="20"/>
        </w:rPr>
        <w:t xml:space="preserve">date </w:t>
      </w:r>
      <w:r w:rsidRPr="00091A01">
        <w:rPr>
          <w:rFonts w:ascii="Verdana" w:eastAsia="Times New Roman" w:hAnsi="Verdana" w:cs="Arial"/>
          <w:b/>
          <w:bCs/>
          <w:sz w:val="20"/>
          <w:szCs w:val="20"/>
        </w:rPr>
        <w:t>12/1* for 1/1 to 12/31 of the following year)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194"/>
        <w:gridCol w:w="4591"/>
        <w:gridCol w:w="2385"/>
      </w:tblGrid>
      <w:tr w:rsidR="000D1EB7" w:rsidRPr="005F5797" w:rsidTr="000D1EB7">
        <w:trPr>
          <w:tblCellSpacing w:w="15" w:type="dxa"/>
        </w:trPr>
        <w:tc>
          <w:tcPr>
            <w:tcW w:w="1549"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a. Short Term Activity ACDP</w:t>
            </w:r>
          </w:p>
        </w:tc>
        <w:tc>
          <w:tcPr>
            <w:tcW w:w="2242"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$NA</w:t>
            </w:r>
          </w:p>
        </w:tc>
      </w:tr>
      <w:tr w:rsidR="000D1EB7" w:rsidRPr="005F5797" w:rsidTr="000D1EB7">
        <w:trPr>
          <w:tblCellSpacing w:w="15" w:type="dxa"/>
        </w:trPr>
        <w:tc>
          <w:tcPr>
            <w:tcW w:w="1549"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Basic ACDP</w:t>
            </w:r>
          </w:p>
        </w:tc>
        <w:tc>
          <w:tcPr>
            <w:tcW w:w="2242"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w:t>
            </w:r>
          </w:p>
        </w:tc>
        <w:tc>
          <w:tcPr>
            <w:tcW w:w="1150" w:type="pct"/>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$360.00 </w:t>
            </w:r>
          </w:p>
        </w:tc>
      </w:tr>
      <w:tr w:rsidR="000D1EB7" w:rsidRPr="005F5797" w:rsidTr="000D1EB7">
        <w:trPr>
          <w:tblCellSpacing w:w="15" w:type="dxa"/>
        </w:trPr>
        <w:tc>
          <w:tcPr>
            <w:tcW w:w="1549" w:type="pct"/>
            <w:vMerge w:val="restart"/>
            <w:tcBorders>
              <w:top w:val="nil"/>
              <w:left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c. General ACDP</w:t>
            </w:r>
          </w:p>
        </w:tc>
        <w:tc>
          <w:tcPr>
            <w:tcW w:w="2242" w:type="pct"/>
            <w:tcBorders>
              <w:top w:val="nil"/>
              <w:left w:val="nil"/>
              <w:bottom w:val="nil"/>
              <w:right w:val="nil"/>
            </w:tcBorders>
            <w:shd w:val="clear" w:color="auto" w:fill="EFEBDE"/>
          </w:tcPr>
          <w:p w:rsidR="000D1EB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(A) Fee Class One</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$720.00 </w:t>
            </w:r>
          </w:p>
        </w:tc>
      </w:tr>
      <w:tr w:rsidR="000D1EB7" w:rsidRPr="005F5797" w:rsidTr="000D1EB7">
        <w:trPr>
          <w:tblCellSpacing w:w="15" w:type="dxa"/>
        </w:trPr>
        <w:tc>
          <w:tcPr>
            <w:tcW w:w="1549" w:type="pct"/>
            <w:vMerge/>
            <w:tcBorders>
              <w:left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FEBDE"/>
          </w:tcPr>
          <w:p w:rsidR="000D1EB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Fee Class Two</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$1,296.00</w:t>
            </w:r>
          </w:p>
        </w:tc>
      </w:tr>
      <w:tr w:rsidR="000D1EB7" w:rsidRPr="005F5797" w:rsidTr="000D1EB7">
        <w:trPr>
          <w:tblCellSpacing w:w="15" w:type="dxa"/>
        </w:trPr>
        <w:tc>
          <w:tcPr>
            <w:tcW w:w="1549" w:type="pct"/>
            <w:vMerge/>
            <w:tcBorders>
              <w:left w:val="nil"/>
              <w:right w:val="nil"/>
            </w:tcBorders>
            <w:shd w:val="clear" w:color="auto" w:fill="auto"/>
            <w:vAlign w:val="center"/>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FEBDE"/>
          </w:tcPr>
          <w:p w:rsidR="000D1EB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(C) Fee Class Three</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$1,872.00  </w:t>
            </w:r>
          </w:p>
        </w:tc>
      </w:tr>
      <w:tr w:rsidR="000D1EB7" w:rsidRPr="005F5797" w:rsidTr="000D1EB7">
        <w:trPr>
          <w:tblCellSpacing w:w="15" w:type="dxa"/>
        </w:trPr>
        <w:tc>
          <w:tcPr>
            <w:tcW w:w="1549" w:type="pct"/>
            <w:vMerge/>
            <w:tcBorders>
              <w:left w:val="nil"/>
              <w:right w:val="nil"/>
            </w:tcBorders>
            <w:shd w:val="clear" w:color="auto" w:fill="auto"/>
            <w:vAlign w:val="center"/>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(D) Fee Class Four</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$360.00</w:t>
            </w:r>
          </w:p>
        </w:tc>
      </w:tr>
      <w:tr w:rsidR="000D1EB7" w:rsidRPr="005F5797" w:rsidTr="000D1EB7">
        <w:trPr>
          <w:tblCellSpacing w:w="15" w:type="dxa"/>
        </w:trPr>
        <w:tc>
          <w:tcPr>
            <w:tcW w:w="1549" w:type="pct"/>
            <w:vMerge/>
            <w:tcBorders>
              <w:left w:val="nil"/>
              <w:right w:val="nil"/>
            </w:tcBorders>
            <w:shd w:val="clear" w:color="auto" w:fill="auto"/>
            <w:vAlign w:val="center"/>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EECE1"/>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(E) Fee Class Five</w:t>
            </w:r>
          </w:p>
        </w:tc>
        <w:tc>
          <w:tcPr>
            <w:tcW w:w="1150" w:type="pct"/>
            <w:tcBorders>
              <w:top w:val="nil"/>
              <w:left w:val="nil"/>
              <w:bottom w:val="nil"/>
              <w:right w:val="nil"/>
            </w:tcBorders>
            <w:shd w:val="clear" w:color="auto" w:fill="EEECE1"/>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$120.00</w:t>
            </w:r>
          </w:p>
        </w:tc>
      </w:tr>
      <w:tr w:rsidR="000D1EB7" w:rsidRPr="005F5797" w:rsidTr="000D1EB7">
        <w:trPr>
          <w:tblCellSpacing w:w="15" w:type="dxa"/>
        </w:trPr>
        <w:tc>
          <w:tcPr>
            <w:tcW w:w="1549" w:type="pct"/>
            <w:vMerge/>
            <w:tcBorders>
              <w:left w:val="nil"/>
              <w:right w:val="nil"/>
            </w:tcBorders>
            <w:shd w:val="clear" w:color="auto" w:fill="auto"/>
            <w:vAlign w:val="center"/>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EECE1"/>
          </w:tcPr>
          <w:p w:rsidR="000D1EB7" w:rsidRPr="005F5797" w:rsidRDefault="000D1EB7" w:rsidP="000D1EB7">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(F) Fee Class Six</w:t>
            </w:r>
          </w:p>
        </w:tc>
        <w:tc>
          <w:tcPr>
            <w:tcW w:w="1150" w:type="pct"/>
            <w:tcBorders>
              <w:top w:val="nil"/>
              <w:left w:val="nil"/>
              <w:bottom w:val="nil"/>
              <w:right w:val="nil"/>
            </w:tcBorders>
            <w:shd w:val="clear" w:color="auto" w:fill="EEECE1"/>
          </w:tcPr>
          <w:p w:rsidR="000D1EB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$240.00</w:t>
            </w:r>
          </w:p>
        </w:tc>
      </w:tr>
      <w:tr w:rsidR="000D1EB7" w:rsidRPr="005F5797" w:rsidTr="000D1EB7">
        <w:trPr>
          <w:tblCellSpacing w:w="15" w:type="dxa"/>
        </w:trPr>
        <w:tc>
          <w:tcPr>
            <w:tcW w:w="1549" w:type="pct"/>
            <w:vMerge w:val="restart"/>
            <w:tcBorders>
              <w:top w:val="nil"/>
              <w:left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d. Simple ACDP</w:t>
            </w:r>
          </w:p>
        </w:tc>
        <w:tc>
          <w:tcPr>
            <w:tcW w:w="2242"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(A) Low Fee</w:t>
            </w:r>
          </w:p>
        </w:tc>
        <w:tc>
          <w:tcPr>
            <w:tcW w:w="1150" w:type="pct"/>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$1,920.00</w:t>
            </w:r>
          </w:p>
        </w:tc>
      </w:tr>
      <w:tr w:rsidR="000D1EB7" w:rsidRPr="005F5797" w:rsidTr="000D1EB7">
        <w:trPr>
          <w:tblCellSpacing w:w="15" w:type="dxa"/>
        </w:trPr>
        <w:tc>
          <w:tcPr>
            <w:tcW w:w="1549" w:type="pct"/>
            <w:vMerge/>
            <w:tcBorders>
              <w:left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High Fee</w:t>
            </w:r>
          </w:p>
        </w:tc>
        <w:tc>
          <w:tcPr>
            <w:tcW w:w="1150" w:type="pct"/>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$3,840.00</w:t>
            </w:r>
          </w:p>
        </w:tc>
      </w:tr>
      <w:tr w:rsidR="000D1EB7" w:rsidRPr="005F5797" w:rsidTr="000D1EB7">
        <w:trPr>
          <w:tblCellSpacing w:w="15" w:type="dxa"/>
        </w:trPr>
        <w:tc>
          <w:tcPr>
            <w:tcW w:w="1549"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e. Standard ACDP </w:t>
            </w:r>
          </w:p>
        </w:tc>
        <w:tc>
          <w:tcPr>
            <w:tcW w:w="2242"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$7,680.00</w:t>
            </w:r>
          </w:p>
        </w:tc>
      </w:tr>
    </w:tbl>
    <w:p w:rsidR="000D1EB7" w:rsidRDefault="000D1EB7" w:rsidP="000D1EB7">
      <w:pPr>
        <w:keepNext/>
        <w:spacing w:before="60" w:after="60" w:line="240" w:lineRule="auto"/>
        <w:outlineLvl w:val="2"/>
        <w:rPr>
          <w:rFonts w:ascii="Verdana" w:eastAsia="Times New Roman" w:hAnsi="Verdana" w:cs="Arial"/>
          <w:b/>
          <w:bCs/>
          <w:sz w:val="20"/>
          <w:szCs w:val="20"/>
        </w:rPr>
      </w:pPr>
      <w:r w:rsidRPr="00A410BD">
        <w:rPr>
          <w:rFonts w:ascii="Verdana" w:eastAsia="Times New Roman" w:hAnsi="Verdana" w:cs="Arial"/>
          <w:b/>
          <w:bCs/>
          <w:sz w:val="20"/>
          <w:szCs w:val="20"/>
        </w:rPr>
        <w:t>*</w:t>
      </w:r>
      <w:r>
        <w:rPr>
          <w:rFonts w:ascii="Verdana" w:eastAsia="Times New Roman" w:hAnsi="Verdana" w:cs="Arial"/>
          <w:bCs/>
          <w:sz w:val="20"/>
          <w:szCs w:val="20"/>
        </w:rPr>
        <w:t xml:space="preserve">The payment due date </w:t>
      </w:r>
      <w:r w:rsidRPr="00A410BD">
        <w:rPr>
          <w:rFonts w:ascii="Verdana" w:hAnsi="Verdana"/>
          <w:sz w:val="20"/>
          <w:szCs w:val="20"/>
        </w:rPr>
        <w:t xml:space="preserve">for </w:t>
      </w:r>
      <w:r>
        <w:rPr>
          <w:rFonts w:ascii="Verdana" w:hAnsi="Verdana"/>
          <w:sz w:val="20"/>
          <w:szCs w:val="20"/>
        </w:rPr>
        <w:t>d</w:t>
      </w:r>
      <w:r w:rsidRPr="00A410BD">
        <w:rPr>
          <w:rFonts w:ascii="Verdana" w:hAnsi="Verdana"/>
          <w:sz w:val="20"/>
          <w:szCs w:val="20"/>
        </w:rPr>
        <w:t xml:space="preserve">ry </w:t>
      </w:r>
      <w:r>
        <w:rPr>
          <w:rFonts w:ascii="Verdana" w:hAnsi="Verdana"/>
          <w:sz w:val="20"/>
          <w:szCs w:val="20"/>
        </w:rPr>
        <w:t>c</w:t>
      </w:r>
      <w:r w:rsidRPr="00A410BD">
        <w:rPr>
          <w:rFonts w:ascii="Verdana" w:hAnsi="Verdana"/>
          <w:sz w:val="20"/>
          <w:szCs w:val="20"/>
        </w:rPr>
        <w:t xml:space="preserve">leaners or </w:t>
      </w:r>
      <w:r>
        <w:rPr>
          <w:rFonts w:ascii="Verdana" w:hAnsi="Verdana"/>
          <w:sz w:val="20"/>
          <w:szCs w:val="20"/>
        </w:rPr>
        <w:t>g</w:t>
      </w:r>
      <w:r w:rsidRPr="00A410BD">
        <w:rPr>
          <w:rFonts w:ascii="Verdana" w:hAnsi="Verdana"/>
          <w:sz w:val="20"/>
          <w:szCs w:val="20"/>
        </w:rPr>
        <w:t xml:space="preserve">asoline </w:t>
      </w:r>
      <w:r>
        <w:rPr>
          <w:rFonts w:ascii="Verdana" w:hAnsi="Verdana"/>
          <w:sz w:val="20"/>
          <w:szCs w:val="20"/>
        </w:rPr>
        <w:t>d</w:t>
      </w:r>
      <w:r w:rsidRPr="00A410BD">
        <w:rPr>
          <w:rFonts w:ascii="Verdana" w:hAnsi="Verdana"/>
          <w:sz w:val="20"/>
          <w:szCs w:val="20"/>
        </w:rPr>
        <w:t xml:space="preserve">ispensing </w:t>
      </w:r>
      <w:r>
        <w:rPr>
          <w:rFonts w:ascii="Verdana" w:hAnsi="Verdana"/>
          <w:sz w:val="20"/>
          <w:szCs w:val="20"/>
        </w:rPr>
        <w:t>f</w:t>
      </w:r>
      <w:r w:rsidRPr="00A410BD">
        <w:rPr>
          <w:rFonts w:ascii="Verdana" w:hAnsi="Verdana"/>
          <w:sz w:val="20"/>
          <w:szCs w:val="20"/>
        </w:rPr>
        <w:t>acilities may be extended by the Department until March 1st.</w:t>
      </w:r>
    </w:p>
    <w:p w:rsidR="000D1EB7" w:rsidRPr="00091A01" w:rsidRDefault="000D1EB7" w:rsidP="000D1EB7">
      <w:pPr>
        <w:keepNext/>
        <w:spacing w:before="240" w:after="60" w:line="240" w:lineRule="auto"/>
        <w:outlineLvl w:val="2"/>
        <w:rPr>
          <w:rFonts w:ascii="Verdana" w:eastAsia="Times New Roman" w:hAnsi="Verdana" w:cs="Arial"/>
          <w:b/>
          <w:bCs/>
          <w:color w:val="663300"/>
          <w:sz w:val="20"/>
          <w:szCs w:val="20"/>
        </w:rPr>
      </w:pPr>
      <w:proofErr w:type="gramStart"/>
      <w:r w:rsidRPr="00091A01">
        <w:rPr>
          <w:rFonts w:ascii="Verdana" w:eastAsia="Times New Roman" w:hAnsi="Verdana" w:cs="Arial"/>
          <w:b/>
          <w:bCs/>
          <w:sz w:val="20"/>
          <w:szCs w:val="20"/>
        </w:rPr>
        <w:t>Part 3.</w:t>
      </w:r>
      <w:proofErr w:type="gramEnd"/>
      <w:r w:rsidRPr="00091A01">
        <w:rPr>
          <w:rFonts w:ascii="Verdana" w:eastAsia="Times New Roman" w:hAnsi="Verdana" w:cs="Arial"/>
          <w:b/>
          <w:bCs/>
          <w:sz w:val="20"/>
          <w:szCs w:val="20"/>
        </w:rPr>
        <w:t xml:space="preserve"> Specific Activity Fees: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452"/>
        <w:gridCol w:w="2718"/>
      </w:tblGrid>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a. Non-Technical Permit Modification (1) </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$360.00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Non-PSD/NSR Basic Technical Permit Modification (2)</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$360.00</w:t>
            </w:r>
          </w:p>
        </w:tc>
      </w:tr>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c. Non-PSD/NSR Simple Technical Permit Modification(3)</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$1,200.00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d. Non-PSD/NSR Moderate Technical Permit Modification (4)</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$6,000.00</w:t>
            </w:r>
          </w:p>
        </w:tc>
      </w:tr>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e. Non-PSD/NSR Complex Technical Permit Modification (5) </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f. PSD/NSR Modification </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$42,000.00  </w:t>
            </w:r>
          </w:p>
        </w:tc>
      </w:tr>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g. Modeling Review (outside PSD/NSR) </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$6,000.00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h. Public Hearing at Source's Request</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$2,400.00</w:t>
            </w:r>
          </w:p>
        </w:tc>
      </w:tr>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proofErr w:type="spellStart"/>
            <w:r w:rsidRPr="005F5797">
              <w:rPr>
                <w:rFonts w:ascii="Verdana" w:eastAsia="Times New Roman" w:hAnsi="Verdana" w:cs="Times New Roman"/>
                <w:color w:val="000000"/>
                <w:sz w:val="20"/>
                <w:szCs w:val="20"/>
              </w:rPr>
              <w:t>i</w:t>
            </w:r>
            <w:proofErr w:type="spellEnd"/>
            <w:r w:rsidRPr="005F5797">
              <w:rPr>
                <w:rFonts w:ascii="Verdana" w:eastAsia="Times New Roman" w:hAnsi="Verdana" w:cs="Times New Roman"/>
                <w:color w:val="000000"/>
                <w:sz w:val="20"/>
                <w:szCs w:val="20"/>
              </w:rPr>
              <w:t>. State MACT Determination</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$6,000.00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lastRenderedPageBreak/>
              <w:t>j. Compliance Order Monitoring (6)</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$120.00/month</w:t>
            </w:r>
          </w:p>
        </w:tc>
      </w:tr>
      <w:tr w:rsidR="000D1EB7" w:rsidRPr="005F5797" w:rsidTr="000D1EB7">
        <w:trPr>
          <w:tblCellSpacing w:w="15" w:type="dxa"/>
        </w:trPr>
        <w:tc>
          <w:tcPr>
            <w:tcW w:w="3636" w:type="pct"/>
            <w:tcBorders>
              <w:top w:val="nil"/>
              <w:left w:val="nil"/>
              <w:bottom w:val="outset" w:sz="6" w:space="0" w:color="auto"/>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k. Greenhouse Gas Reporting, as required by OAR 340-215-</w:t>
            </w:r>
          </w:p>
        </w:tc>
        <w:tc>
          <w:tcPr>
            <w:tcW w:w="1312" w:type="pct"/>
            <w:tcBorders>
              <w:top w:val="nil"/>
              <w:left w:val="nil"/>
              <w:bottom w:val="outset" w:sz="6" w:space="0" w:color="auto"/>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15% of the applicable annual fee in Part 2</w:t>
            </w:r>
          </w:p>
        </w:tc>
      </w:tr>
    </w:tbl>
    <w:p w:rsidR="000D1EB7" w:rsidRDefault="000D1EB7" w:rsidP="000D1EB7">
      <w:pPr>
        <w:pStyle w:val="Heading3"/>
        <w:rPr>
          <w:rFonts w:ascii="Verdana" w:hAnsi="Verdana"/>
          <w:color w:val="663300"/>
          <w:sz w:val="20"/>
          <w:szCs w:val="20"/>
        </w:rPr>
      </w:pPr>
      <w:proofErr w:type="gramStart"/>
      <w:r>
        <w:t>Part 4.</w:t>
      </w:r>
      <w:proofErr w:type="gramEnd"/>
      <w:r>
        <w:t xml:space="preserve"> Late Fees:</w:t>
      </w:r>
    </w:p>
    <w:p w:rsidR="000D1EB7" w:rsidRDefault="000D1EB7" w:rsidP="000D1EB7">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8-30 days late 5% </w:t>
      </w:r>
    </w:p>
    <w:p w:rsidR="000D1EB7" w:rsidRDefault="000D1EB7" w:rsidP="000D1EB7">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31-60 days late 10% </w:t>
      </w:r>
    </w:p>
    <w:p w:rsidR="000D1EB7" w:rsidRDefault="000D1EB7" w:rsidP="000D1EB7">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61 or more days late 20% </w:t>
      </w:r>
    </w:p>
    <w:p w:rsidR="000D1EB7" w:rsidRDefault="000D1EB7" w:rsidP="000D1EB7">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Non-Technical modifications include, but are not limited to name changes, change of ownership and similar administrative changes. For gasoline dispensing facilities, a portion of these fees will be used to cover the fees required for changes of ownership in OAR 340-150-0052(4).    </w:t>
      </w:r>
    </w:p>
    <w:p w:rsidR="000D1EB7" w:rsidRDefault="000D1EB7" w:rsidP="000D1EB7">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Basic Technical Modifications include, but are not limited to corrections of emission factors in compliance methods, changing source test dates for extenuating circumstances, and similar changes. </w:t>
      </w:r>
    </w:p>
    <w:p w:rsidR="000D1EB7" w:rsidRDefault="000D1EB7" w:rsidP="000D1EB7">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 </w:t>
      </w:r>
    </w:p>
    <w:p w:rsidR="000D1EB7" w:rsidRDefault="000D1EB7" w:rsidP="000D1EB7">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 </w:t>
      </w:r>
    </w:p>
    <w:p w:rsidR="000D1EB7" w:rsidRPr="00CA639C" w:rsidRDefault="000D1EB7" w:rsidP="000D1EB7">
      <w:pPr>
        <w:numPr>
          <w:ilvl w:val="0"/>
          <w:numId w:val="4"/>
        </w:numPr>
        <w:spacing w:before="100" w:beforeAutospacing="1" w:after="0" w:afterAutospacing="1" w:line="240" w:lineRule="auto"/>
        <w:rPr>
          <w:rFonts w:ascii="Verdana" w:eastAsia="Calibri" w:hAnsi="Verdana" w:cs="Times New Roman"/>
          <w:bCs/>
          <w:sz w:val="20"/>
          <w:szCs w:val="20"/>
        </w:rPr>
      </w:pPr>
      <w:r w:rsidRPr="00CA639C">
        <w:rPr>
          <w:rFonts w:ascii="Verdana" w:hAnsi="Verdana"/>
          <w:color w:val="000000"/>
          <w:sz w:val="20"/>
          <w:szCs w:val="20"/>
        </w:rPr>
        <w:t>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0D1EB7" w:rsidRPr="000D1EB7" w:rsidRDefault="000D1EB7" w:rsidP="000D1EB7">
      <w:pPr>
        <w:numPr>
          <w:ilvl w:val="0"/>
          <w:numId w:val="4"/>
        </w:numPr>
        <w:spacing w:before="100" w:beforeAutospacing="1" w:after="0" w:afterAutospacing="1" w:line="240" w:lineRule="auto"/>
        <w:rPr>
          <w:rFonts w:ascii="Verdana" w:hAnsi="Verdana"/>
          <w:color w:val="000000"/>
          <w:sz w:val="20"/>
          <w:szCs w:val="20"/>
        </w:rPr>
      </w:pPr>
      <w:r w:rsidRPr="00CA639C">
        <w:rPr>
          <w:rFonts w:ascii="Verdana" w:hAnsi="Verdana"/>
          <w:color w:val="000000"/>
          <w:sz w:val="20"/>
          <w:szCs w:val="20"/>
        </w:rPr>
        <w:t xml:space="preserve">This is a </w:t>
      </w:r>
      <w:proofErr w:type="spellStart"/>
      <w:r w:rsidRPr="00CA639C">
        <w:rPr>
          <w:rFonts w:ascii="Verdana" w:hAnsi="Verdana"/>
          <w:color w:val="000000"/>
          <w:sz w:val="20"/>
          <w:szCs w:val="20"/>
        </w:rPr>
        <w:t>one time</w:t>
      </w:r>
      <w:proofErr w:type="spellEnd"/>
      <w:r w:rsidRPr="00CA639C">
        <w:rPr>
          <w:rFonts w:ascii="Verdana" w:hAnsi="Verdana"/>
          <w:color w:val="000000"/>
          <w:sz w:val="20"/>
          <w:szCs w:val="20"/>
        </w:rPr>
        <w:t xml:space="preserve"> fee payable when a Compliance Order is established in a Permit or a Department Order containing a compliance schedule becomes a Final Order of the Department and is based on the number of months the Department will have to oversee the Order.</w:t>
      </w:r>
    </w:p>
    <w:sectPr w:rsidR="000D1EB7" w:rsidRPr="000D1EB7" w:rsidSect="00026B5C">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D4B" w:rsidRDefault="00507D4B" w:rsidP="009A566B">
      <w:pPr>
        <w:spacing w:after="0" w:line="240" w:lineRule="auto"/>
      </w:pPr>
      <w:r>
        <w:separator/>
      </w:r>
    </w:p>
  </w:endnote>
  <w:endnote w:type="continuationSeparator" w:id="0">
    <w:p w:rsidR="00507D4B" w:rsidRDefault="00507D4B" w:rsidP="009A5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D4B" w:rsidRDefault="00507D4B" w:rsidP="009A566B">
      <w:pPr>
        <w:spacing w:after="0" w:line="240" w:lineRule="auto"/>
      </w:pPr>
      <w:r>
        <w:separator/>
      </w:r>
    </w:p>
  </w:footnote>
  <w:footnote w:type="continuationSeparator" w:id="0">
    <w:p w:rsidR="00507D4B" w:rsidRDefault="00507D4B" w:rsidP="009A5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7676"/>
    <w:multiLevelType w:val="hybridMultilevel"/>
    <w:tmpl w:val="046A97FA"/>
    <w:lvl w:ilvl="0" w:tplc="F426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E4171"/>
    <w:multiLevelType w:val="multilevel"/>
    <w:tmpl w:val="766EE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610832B8"/>
    <w:multiLevelType w:val="multilevel"/>
    <w:tmpl w:val="EC2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6B5C"/>
    <w:rsid w:val="000022A7"/>
    <w:rsid w:val="00010BB4"/>
    <w:rsid w:val="00020697"/>
    <w:rsid w:val="00026B5C"/>
    <w:rsid w:val="00030281"/>
    <w:rsid w:val="00031A8B"/>
    <w:rsid w:val="00044860"/>
    <w:rsid w:val="000518B3"/>
    <w:rsid w:val="00055B74"/>
    <w:rsid w:val="000568F7"/>
    <w:rsid w:val="00064F2F"/>
    <w:rsid w:val="00082962"/>
    <w:rsid w:val="000846B3"/>
    <w:rsid w:val="000862A1"/>
    <w:rsid w:val="000862A3"/>
    <w:rsid w:val="00094029"/>
    <w:rsid w:val="000B2590"/>
    <w:rsid w:val="000B7B4F"/>
    <w:rsid w:val="000C218A"/>
    <w:rsid w:val="000C6CA3"/>
    <w:rsid w:val="000C72DA"/>
    <w:rsid w:val="000C7635"/>
    <w:rsid w:val="000D0EBB"/>
    <w:rsid w:val="000D11C4"/>
    <w:rsid w:val="000D1EB7"/>
    <w:rsid w:val="000D2FF6"/>
    <w:rsid w:val="000D4E5D"/>
    <w:rsid w:val="000E09CB"/>
    <w:rsid w:val="000E71C4"/>
    <w:rsid w:val="000F443D"/>
    <w:rsid w:val="000F7A42"/>
    <w:rsid w:val="001003DD"/>
    <w:rsid w:val="001030E5"/>
    <w:rsid w:val="00106AFD"/>
    <w:rsid w:val="00106B86"/>
    <w:rsid w:val="00107D6D"/>
    <w:rsid w:val="001276C6"/>
    <w:rsid w:val="00127786"/>
    <w:rsid w:val="001409E6"/>
    <w:rsid w:val="001424F0"/>
    <w:rsid w:val="001564AD"/>
    <w:rsid w:val="00156D27"/>
    <w:rsid w:val="00173514"/>
    <w:rsid w:val="00180CA1"/>
    <w:rsid w:val="00186163"/>
    <w:rsid w:val="001879F5"/>
    <w:rsid w:val="00196066"/>
    <w:rsid w:val="00196845"/>
    <w:rsid w:val="001A2D6B"/>
    <w:rsid w:val="001A37AA"/>
    <w:rsid w:val="001A5F18"/>
    <w:rsid w:val="001A5FAC"/>
    <w:rsid w:val="001A7801"/>
    <w:rsid w:val="001B3851"/>
    <w:rsid w:val="001C2841"/>
    <w:rsid w:val="001C45F8"/>
    <w:rsid w:val="001D410C"/>
    <w:rsid w:val="001E263E"/>
    <w:rsid w:val="001E56DF"/>
    <w:rsid w:val="002002E6"/>
    <w:rsid w:val="0020404E"/>
    <w:rsid w:val="00212459"/>
    <w:rsid w:val="002129B6"/>
    <w:rsid w:val="0021305C"/>
    <w:rsid w:val="00214057"/>
    <w:rsid w:val="0021676B"/>
    <w:rsid w:val="002241EA"/>
    <w:rsid w:val="00236E4A"/>
    <w:rsid w:val="00237AB5"/>
    <w:rsid w:val="002403F6"/>
    <w:rsid w:val="0024266F"/>
    <w:rsid w:val="0024270A"/>
    <w:rsid w:val="00250C51"/>
    <w:rsid w:val="002541A7"/>
    <w:rsid w:val="00262906"/>
    <w:rsid w:val="00266695"/>
    <w:rsid w:val="00266A69"/>
    <w:rsid w:val="0027058B"/>
    <w:rsid w:val="00275586"/>
    <w:rsid w:val="00276DD6"/>
    <w:rsid w:val="002A09F6"/>
    <w:rsid w:val="002B11C0"/>
    <w:rsid w:val="002B2F68"/>
    <w:rsid w:val="002B6A8D"/>
    <w:rsid w:val="002D1303"/>
    <w:rsid w:val="002D4DAD"/>
    <w:rsid w:val="002E5043"/>
    <w:rsid w:val="002F18DE"/>
    <w:rsid w:val="002F4362"/>
    <w:rsid w:val="002F4542"/>
    <w:rsid w:val="0030547B"/>
    <w:rsid w:val="00311F5E"/>
    <w:rsid w:val="00315EBF"/>
    <w:rsid w:val="003226BC"/>
    <w:rsid w:val="00325569"/>
    <w:rsid w:val="00367BD9"/>
    <w:rsid w:val="0037005F"/>
    <w:rsid w:val="00371AC7"/>
    <w:rsid w:val="00381BBF"/>
    <w:rsid w:val="003927FB"/>
    <w:rsid w:val="003936E8"/>
    <w:rsid w:val="00394901"/>
    <w:rsid w:val="00396663"/>
    <w:rsid w:val="003A65A0"/>
    <w:rsid w:val="003A675A"/>
    <w:rsid w:val="003B5F5F"/>
    <w:rsid w:val="003C21C1"/>
    <w:rsid w:val="003C3C5D"/>
    <w:rsid w:val="003C4944"/>
    <w:rsid w:val="003C6082"/>
    <w:rsid w:val="003D3214"/>
    <w:rsid w:val="003D7450"/>
    <w:rsid w:val="003E1BD2"/>
    <w:rsid w:val="003E27D5"/>
    <w:rsid w:val="003E6D79"/>
    <w:rsid w:val="004067BC"/>
    <w:rsid w:val="0040728F"/>
    <w:rsid w:val="004139A2"/>
    <w:rsid w:val="00424377"/>
    <w:rsid w:val="00424F75"/>
    <w:rsid w:val="004259E7"/>
    <w:rsid w:val="004279F7"/>
    <w:rsid w:val="0043344C"/>
    <w:rsid w:val="004338A2"/>
    <w:rsid w:val="004351DB"/>
    <w:rsid w:val="004574FE"/>
    <w:rsid w:val="00470BB1"/>
    <w:rsid w:val="00476315"/>
    <w:rsid w:val="00484DCE"/>
    <w:rsid w:val="004A50A6"/>
    <w:rsid w:val="004B19F9"/>
    <w:rsid w:val="004B781A"/>
    <w:rsid w:val="004C05D6"/>
    <w:rsid w:val="004C7C65"/>
    <w:rsid w:val="004E376A"/>
    <w:rsid w:val="004E424A"/>
    <w:rsid w:val="004F05BC"/>
    <w:rsid w:val="004F5901"/>
    <w:rsid w:val="00505A9C"/>
    <w:rsid w:val="00506E35"/>
    <w:rsid w:val="00507D4B"/>
    <w:rsid w:val="0051450D"/>
    <w:rsid w:val="00514922"/>
    <w:rsid w:val="00516DF8"/>
    <w:rsid w:val="005305F2"/>
    <w:rsid w:val="0053328F"/>
    <w:rsid w:val="00534A24"/>
    <w:rsid w:val="00535A74"/>
    <w:rsid w:val="005372B5"/>
    <w:rsid w:val="005509FB"/>
    <w:rsid w:val="00552F60"/>
    <w:rsid w:val="005543E1"/>
    <w:rsid w:val="005735B5"/>
    <w:rsid w:val="00577DD3"/>
    <w:rsid w:val="00582E16"/>
    <w:rsid w:val="00583FAA"/>
    <w:rsid w:val="00586542"/>
    <w:rsid w:val="00594882"/>
    <w:rsid w:val="005A284E"/>
    <w:rsid w:val="005A49A8"/>
    <w:rsid w:val="005A69DE"/>
    <w:rsid w:val="005C2499"/>
    <w:rsid w:val="005C2D92"/>
    <w:rsid w:val="005C7C58"/>
    <w:rsid w:val="005D085B"/>
    <w:rsid w:val="005E5106"/>
    <w:rsid w:val="005E55B2"/>
    <w:rsid w:val="005F0A0F"/>
    <w:rsid w:val="005F2EEB"/>
    <w:rsid w:val="005F5365"/>
    <w:rsid w:val="005F5A38"/>
    <w:rsid w:val="005F63D7"/>
    <w:rsid w:val="005F765E"/>
    <w:rsid w:val="00603D8A"/>
    <w:rsid w:val="00613621"/>
    <w:rsid w:val="00616B1A"/>
    <w:rsid w:val="00617023"/>
    <w:rsid w:val="00621CB9"/>
    <w:rsid w:val="00621DDF"/>
    <w:rsid w:val="00625C24"/>
    <w:rsid w:val="00636F74"/>
    <w:rsid w:val="006403FF"/>
    <w:rsid w:val="00662551"/>
    <w:rsid w:val="006667B2"/>
    <w:rsid w:val="006708DF"/>
    <w:rsid w:val="00686ECB"/>
    <w:rsid w:val="00686F85"/>
    <w:rsid w:val="0069226D"/>
    <w:rsid w:val="00692488"/>
    <w:rsid w:val="006A754F"/>
    <w:rsid w:val="006B2A23"/>
    <w:rsid w:val="006B3335"/>
    <w:rsid w:val="006C228E"/>
    <w:rsid w:val="006C7D4D"/>
    <w:rsid w:val="006D1A0C"/>
    <w:rsid w:val="006E087A"/>
    <w:rsid w:val="006F3F0D"/>
    <w:rsid w:val="006F5775"/>
    <w:rsid w:val="006F65A1"/>
    <w:rsid w:val="007017AA"/>
    <w:rsid w:val="0070184F"/>
    <w:rsid w:val="00701C87"/>
    <w:rsid w:val="00717070"/>
    <w:rsid w:val="007320F2"/>
    <w:rsid w:val="00732F7B"/>
    <w:rsid w:val="00746856"/>
    <w:rsid w:val="007509AB"/>
    <w:rsid w:val="00753F76"/>
    <w:rsid w:val="00767F48"/>
    <w:rsid w:val="0077754A"/>
    <w:rsid w:val="007914DB"/>
    <w:rsid w:val="00793D63"/>
    <w:rsid w:val="007A1381"/>
    <w:rsid w:val="007A24C5"/>
    <w:rsid w:val="007B4D71"/>
    <w:rsid w:val="007C38F2"/>
    <w:rsid w:val="007C4E69"/>
    <w:rsid w:val="007C603A"/>
    <w:rsid w:val="007D3D68"/>
    <w:rsid w:val="007E3B3D"/>
    <w:rsid w:val="007E481B"/>
    <w:rsid w:val="007E5C92"/>
    <w:rsid w:val="007E6970"/>
    <w:rsid w:val="007F2071"/>
    <w:rsid w:val="00807F49"/>
    <w:rsid w:val="00813390"/>
    <w:rsid w:val="00823D76"/>
    <w:rsid w:val="00835AD5"/>
    <w:rsid w:val="00840E69"/>
    <w:rsid w:val="0084469E"/>
    <w:rsid w:val="0084748F"/>
    <w:rsid w:val="00853FBC"/>
    <w:rsid w:val="008574B6"/>
    <w:rsid w:val="00871FF7"/>
    <w:rsid w:val="00874434"/>
    <w:rsid w:val="008769C5"/>
    <w:rsid w:val="00892EF8"/>
    <w:rsid w:val="008A322E"/>
    <w:rsid w:val="008A3F89"/>
    <w:rsid w:val="008B159F"/>
    <w:rsid w:val="008B79BF"/>
    <w:rsid w:val="008B7E0A"/>
    <w:rsid w:val="008C4E1F"/>
    <w:rsid w:val="008C6C85"/>
    <w:rsid w:val="008E20CF"/>
    <w:rsid w:val="008E44A5"/>
    <w:rsid w:val="008F05E8"/>
    <w:rsid w:val="00901E82"/>
    <w:rsid w:val="00906B02"/>
    <w:rsid w:val="00925BE1"/>
    <w:rsid w:val="00930834"/>
    <w:rsid w:val="00937743"/>
    <w:rsid w:val="00942E77"/>
    <w:rsid w:val="0094697D"/>
    <w:rsid w:val="009638E7"/>
    <w:rsid w:val="00967B99"/>
    <w:rsid w:val="009716A7"/>
    <w:rsid w:val="00977016"/>
    <w:rsid w:val="00982F10"/>
    <w:rsid w:val="00986EF2"/>
    <w:rsid w:val="00991459"/>
    <w:rsid w:val="00994D59"/>
    <w:rsid w:val="00995F20"/>
    <w:rsid w:val="009963AB"/>
    <w:rsid w:val="0099661F"/>
    <w:rsid w:val="009A0449"/>
    <w:rsid w:val="009A2C21"/>
    <w:rsid w:val="009A566B"/>
    <w:rsid w:val="009B5680"/>
    <w:rsid w:val="009C0AAC"/>
    <w:rsid w:val="009D23B6"/>
    <w:rsid w:val="009D630F"/>
    <w:rsid w:val="009E44D5"/>
    <w:rsid w:val="009E678F"/>
    <w:rsid w:val="00A03D83"/>
    <w:rsid w:val="00A04E92"/>
    <w:rsid w:val="00A0596A"/>
    <w:rsid w:val="00A13623"/>
    <w:rsid w:val="00A14E0B"/>
    <w:rsid w:val="00A177C7"/>
    <w:rsid w:val="00A263C0"/>
    <w:rsid w:val="00A30FD1"/>
    <w:rsid w:val="00A4116A"/>
    <w:rsid w:val="00A470FE"/>
    <w:rsid w:val="00A5538E"/>
    <w:rsid w:val="00A62031"/>
    <w:rsid w:val="00A633B1"/>
    <w:rsid w:val="00A643A9"/>
    <w:rsid w:val="00A75465"/>
    <w:rsid w:val="00A75E82"/>
    <w:rsid w:val="00A81E01"/>
    <w:rsid w:val="00A85193"/>
    <w:rsid w:val="00A87189"/>
    <w:rsid w:val="00A87AB5"/>
    <w:rsid w:val="00A909AD"/>
    <w:rsid w:val="00AA0D62"/>
    <w:rsid w:val="00AA391C"/>
    <w:rsid w:val="00AA39A1"/>
    <w:rsid w:val="00AA4999"/>
    <w:rsid w:val="00AB12C9"/>
    <w:rsid w:val="00AC3A8C"/>
    <w:rsid w:val="00AD492B"/>
    <w:rsid w:val="00AE1A1B"/>
    <w:rsid w:val="00AF566C"/>
    <w:rsid w:val="00AF69EC"/>
    <w:rsid w:val="00AF7DA9"/>
    <w:rsid w:val="00B018C9"/>
    <w:rsid w:val="00B05095"/>
    <w:rsid w:val="00B14E72"/>
    <w:rsid w:val="00B158C7"/>
    <w:rsid w:val="00B15A63"/>
    <w:rsid w:val="00B200F7"/>
    <w:rsid w:val="00B25D66"/>
    <w:rsid w:val="00B27AC1"/>
    <w:rsid w:val="00B3515C"/>
    <w:rsid w:val="00B3588E"/>
    <w:rsid w:val="00B37CEF"/>
    <w:rsid w:val="00B47AA2"/>
    <w:rsid w:val="00B50419"/>
    <w:rsid w:val="00B64464"/>
    <w:rsid w:val="00B7529C"/>
    <w:rsid w:val="00B801A0"/>
    <w:rsid w:val="00B80D14"/>
    <w:rsid w:val="00B83E5B"/>
    <w:rsid w:val="00B90E68"/>
    <w:rsid w:val="00B923B2"/>
    <w:rsid w:val="00B93B30"/>
    <w:rsid w:val="00B97DB5"/>
    <w:rsid w:val="00BA27EA"/>
    <w:rsid w:val="00BD17FB"/>
    <w:rsid w:val="00BD398E"/>
    <w:rsid w:val="00BD78AA"/>
    <w:rsid w:val="00BE76FC"/>
    <w:rsid w:val="00BF17BE"/>
    <w:rsid w:val="00BF226C"/>
    <w:rsid w:val="00BF3AAA"/>
    <w:rsid w:val="00BF5EA5"/>
    <w:rsid w:val="00C059BA"/>
    <w:rsid w:val="00C05B63"/>
    <w:rsid w:val="00C065DC"/>
    <w:rsid w:val="00C12309"/>
    <w:rsid w:val="00C24870"/>
    <w:rsid w:val="00C262B9"/>
    <w:rsid w:val="00C33E8F"/>
    <w:rsid w:val="00C41675"/>
    <w:rsid w:val="00C45C53"/>
    <w:rsid w:val="00C53989"/>
    <w:rsid w:val="00C5734E"/>
    <w:rsid w:val="00C603FE"/>
    <w:rsid w:val="00C67C2C"/>
    <w:rsid w:val="00C71069"/>
    <w:rsid w:val="00C76D4C"/>
    <w:rsid w:val="00C81199"/>
    <w:rsid w:val="00C815F9"/>
    <w:rsid w:val="00C83919"/>
    <w:rsid w:val="00C93778"/>
    <w:rsid w:val="00C94437"/>
    <w:rsid w:val="00C94A41"/>
    <w:rsid w:val="00C94B36"/>
    <w:rsid w:val="00CA0E46"/>
    <w:rsid w:val="00CA2AA0"/>
    <w:rsid w:val="00CA405B"/>
    <w:rsid w:val="00CA5FC4"/>
    <w:rsid w:val="00CA6098"/>
    <w:rsid w:val="00CB1C15"/>
    <w:rsid w:val="00CB4AC1"/>
    <w:rsid w:val="00CB5881"/>
    <w:rsid w:val="00CC0321"/>
    <w:rsid w:val="00CC09A4"/>
    <w:rsid w:val="00CC1756"/>
    <w:rsid w:val="00CC377A"/>
    <w:rsid w:val="00CC3802"/>
    <w:rsid w:val="00CC40C1"/>
    <w:rsid w:val="00CC567A"/>
    <w:rsid w:val="00CD509C"/>
    <w:rsid w:val="00CE10AF"/>
    <w:rsid w:val="00CF4FD2"/>
    <w:rsid w:val="00D049A7"/>
    <w:rsid w:val="00D04C30"/>
    <w:rsid w:val="00D05059"/>
    <w:rsid w:val="00D051BD"/>
    <w:rsid w:val="00D14384"/>
    <w:rsid w:val="00D1479A"/>
    <w:rsid w:val="00D14E94"/>
    <w:rsid w:val="00D21E33"/>
    <w:rsid w:val="00D35BF7"/>
    <w:rsid w:val="00D37F6F"/>
    <w:rsid w:val="00D4176A"/>
    <w:rsid w:val="00D4668B"/>
    <w:rsid w:val="00D53AB4"/>
    <w:rsid w:val="00D53DF5"/>
    <w:rsid w:val="00D56BF6"/>
    <w:rsid w:val="00D65AD9"/>
    <w:rsid w:val="00D720B3"/>
    <w:rsid w:val="00D74B8D"/>
    <w:rsid w:val="00D83FA3"/>
    <w:rsid w:val="00D9282B"/>
    <w:rsid w:val="00D95E94"/>
    <w:rsid w:val="00D967D7"/>
    <w:rsid w:val="00DC3BB2"/>
    <w:rsid w:val="00DC5B89"/>
    <w:rsid w:val="00DD5ECB"/>
    <w:rsid w:val="00DE17ED"/>
    <w:rsid w:val="00DE3E7D"/>
    <w:rsid w:val="00DF123E"/>
    <w:rsid w:val="00DF2451"/>
    <w:rsid w:val="00DF5084"/>
    <w:rsid w:val="00DF5FD0"/>
    <w:rsid w:val="00E00B7F"/>
    <w:rsid w:val="00E04405"/>
    <w:rsid w:val="00E04533"/>
    <w:rsid w:val="00E06160"/>
    <w:rsid w:val="00E07850"/>
    <w:rsid w:val="00E161B9"/>
    <w:rsid w:val="00E20F27"/>
    <w:rsid w:val="00E2239C"/>
    <w:rsid w:val="00E27FAE"/>
    <w:rsid w:val="00E30CAD"/>
    <w:rsid w:val="00E537AD"/>
    <w:rsid w:val="00E570B8"/>
    <w:rsid w:val="00E57784"/>
    <w:rsid w:val="00E626C8"/>
    <w:rsid w:val="00E7705B"/>
    <w:rsid w:val="00E777D1"/>
    <w:rsid w:val="00E802FE"/>
    <w:rsid w:val="00E8117B"/>
    <w:rsid w:val="00E83627"/>
    <w:rsid w:val="00E87E06"/>
    <w:rsid w:val="00E93346"/>
    <w:rsid w:val="00E93D36"/>
    <w:rsid w:val="00E96C04"/>
    <w:rsid w:val="00EA73F8"/>
    <w:rsid w:val="00EB6621"/>
    <w:rsid w:val="00EC314A"/>
    <w:rsid w:val="00ED1ADB"/>
    <w:rsid w:val="00ED3E7E"/>
    <w:rsid w:val="00ED48E7"/>
    <w:rsid w:val="00ED7C8B"/>
    <w:rsid w:val="00ED7FED"/>
    <w:rsid w:val="00EE272A"/>
    <w:rsid w:val="00EF3174"/>
    <w:rsid w:val="00F00BCC"/>
    <w:rsid w:val="00F048F5"/>
    <w:rsid w:val="00F107AB"/>
    <w:rsid w:val="00F152EB"/>
    <w:rsid w:val="00F3227C"/>
    <w:rsid w:val="00F33BF7"/>
    <w:rsid w:val="00F33C81"/>
    <w:rsid w:val="00F36404"/>
    <w:rsid w:val="00F44C93"/>
    <w:rsid w:val="00F50A56"/>
    <w:rsid w:val="00F51F50"/>
    <w:rsid w:val="00F54B8D"/>
    <w:rsid w:val="00F57D7D"/>
    <w:rsid w:val="00F64FDE"/>
    <w:rsid w:val="00F66D97"/>
    <w:rsid w:val="00F66DDE"/>
    <w:rsid w:val="00F71A77"/>
    <w:rsid w:val="00F734AC"/>
    <w:rsid w:val="00F75903"/>
    <w:rsid w:val="00F83220"/>
    <w:rsid w:val="00FA0662"/>
    <w:rsid w:val="00FA41A9"/>
    <w:rsid w:val="00FA4310"/>
    <w:rsid w:val="00FA691A"/>
    <w:rsid w:val="00FD5FAE"/>
    <w:rsid w:val="00FF1537"/>
    <w:rsid w:val="00FF5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D1E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357388277">
      <w:bodyDiv w:val="1"/>
      <w:marLeft w:val="0"/>
      <w:marRight w:val="0"/>
      <w:marTop w:val="0"/>
      <w:marBottom w:val="0"/>
      <w:divBdr>
        <w:top w:val="none" w:sz="0" w:space="0" w:color="auto"/>
        <w:left w:val="none" w:sz="0" w:space="0" w:color="auto"/>
        <w:bottom w:val="none" w:sz="0" w:space="0" w:color="auto"/>
        <w:right w:val="none" w:sz="0" w:space="0" w:color="auto"/>
      </w:divBdr>
      <w:divsChild>
        <w:div w:id="37049420">
          <w:marLeft w:val="0"/>
          <w:marRight w:val="0"/>
          <w:marTop w:val="0"/>
          <w:marBottom w:val="0"/>
          <w:divBdr>
            <w:top w:val="none" w:sz="0" w:space="0" w:color="auto"/>
            <w:left w:val="none" w:sz="0" w:space="0" w:color="auto"/>
            <w:bottom w:val="none" w:sz="0" w:space="0" w:color="auto"/>
            <w:right w:val="none" w:sz="0" w:space="0" w:color="auto"/>
          </w:divBdr>
          <w:divsChild>
            <w:div w:id="322586138">
              <w:marLeft w:val="0"/>
              <w:marRight w:val="0"/>
              <w:marTop w:val="0"/>
              <w:marBottom w:val="0"/>
              <w:divBdr>
                <w:top w:val="none" w:sz="0" w:space="0" w:color="auto"/>
                <w:left w:val="none" w:sz="0" w:space="0" w:color="auto"/>
                <w:bottom w:val="none" w:sz="0" w:space="0" w:color="auto"/>
                <w:right w:val="none" w:sz="0" w:space="0" w:color="auto"/>
              </w:divBdr>
              <w:divsChild>
                <w:div w:id="247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595748941">
      <w:bodyDiv w:val="1"/>
      <w:marLeft w:val="0"/>
      <w:marRight w:val="0"/>
      <w:marTop w:val="0"/>
      <w:marBottom w:val="0"/>
      <w:divBdr>
        <w:top w:val="none" w:sz="0" w:space="0" w:color="auto"/>
        <w:left w:val="none" w:sz="0" w:space="0" w:color="auto"/>
        <w:bottom w:val="none" w:sz="0" w:space="0" w:color="auto"/>
        <w:right w:val="none" w:sz="0" w:space="0" w:color="auto"/>
      </w:divBdr>
      <w:divsChild>
        <w:div w:id="1048528678">
          <w:marLeft w:val="0"/>
          <w:marRight w:val="0"/>
          <w:marTop w:val="0"/>
          <w:marBottom w:val="0"/>
          <w:divBdr>
            <w:top w:val="none" w:sz="0" w:space="0" w:color="auto"/>
            <w:left w:val="none" w:sz="0" w:space="0" w:color="auto"/>
            <w:bottom w:val="none" w:sz="0" w:space="0" w:color="auto"/>
            <w:right w:val="none" w:sz="0" w:space="0" w:color="auto"/>
          </w:divBdr>
          <w:divsChild>
            <w:div w:id="1233006887">
              <w:marLeft w:val="0"/>
              <w:marRight w:val="0"/>
              <w:marTop w:val="0"/>
              <w:marBottom w:val="0"/>
              <w:divBdr>
                <w:top w:val="none" w:sz="0" w:space="0" w:color="auto"/>
                <w:left w:val="none" w:sz="0" w:space="0" w:color="auto"/>
                <w:bottom w:val="none" w:sz="0" w:space="0" w:color="auto"/>
                <w:right w:val="none" w:sz="0" w:space="0" w:color="auto"/>
              </w:divBdr>
              <w:divsChild>
                <w:div w:id="110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8299">
      <w:bodyDiv w:val="1"/>
      <w:marLeft w:val="0"/>
      <w:marRight w:val="0"/>
      <w:marTop w:val="0"/>
      <w:marBottom w:val="0"/>
      <w:divBdr>
        <w:top w:val="none" w:sz="0" w:space="0" w:color="auto"/>
        <w:left w:val="none" w:sz="0" w:space="0" w:color="auto"/>
        <w:bottom w:val="none" w:sz="0" w:space="0" w:color="auto"/>
        <w:right w:val="none" w:sz="0" w:space="0" w:color="auto"/>
      </w:divBdr>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00356">
      <w:bodyDiv w:val="1"/>
      <w:marLeft w:val="0"/>
      <w:marRight w:val="0"/>
      <w:marTop w:val="0"/>
      <w:marBottom w:val="0"/>
      <w:divBdr>
        <w:top w:val="none" w:sz="0" w:space="0" w:color="auto"/>
        <w:left w:val="none" w:sz="0" w:space="0" w:color="auto"/>
        <w:bottom w:val="none" w:sz="0" w:space="0" w:color="auto"/>
        <w:right w:val="none" w:sz="0" w:space="0" w:color="auto"/>
      </w:divBdr>
      <w:divsChild>
        <w:div w:id="1640266158">
          <w:marLeft w:val="0"/>
          <w:marRight w:val="0"/>
          <w:marTop w:val="0"/>
          <w:marBottom w:val="0"/>
          <w:divBdr>
            <w:top w:val="none" w:sz="0" w:space="0" w:color="auto"/>
            <w:left w:val="none" w:sz="0" w:space="0" w:color="auto"/>
            <w:bottom w:val="none" w:sz="0" w:space="0" w:color="auto"/>
            <w:right w:val="none" w:sz="0" w:space="0" w:color="auto"/>
          </w:divBdr>
          <w:divsChild>
            <w:div w:id="392312324">
              <w:marLeft w:val="0"/>
              <w:marRight w:val="0"/>
              <w:marTop w:val="0"/>
              <w:marBottom w:val="0"/>
              <w:divBdr>
                <w:top w:val="none" w:sz="0" w:space="0" w:color="auto"/>
                <w:left w:val="none" w:sz="0" w:space="0" w:color="auto"/>
                <w:bottom w:val="none" w:sz="0" w:space="0" w:color="auto"/>
                <w:right w:val="none" w:sz="0" w:space="0" w:color="auto"/>
              </w:divBdr>
              <w:divsChild>
                <w:div w:id="3979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74">
      <w:bodyDiv w:val="1"/>
      <w:marLeft w:val="0"/>
      <w:marRight w:val="0"/>
      <w:marTop w:val="0"/>
      <w:marBottom w:val="0"/>
      <w:divBdr>
        <w:top w:val="none" w:sz="0" w:space="0" w:color="auto"/>
        <w:left w:val="none" w:sz="0" w:space="0" w:color="auto"/>
        <w:bottom w:val="none" w:sz="0" w:space="0" w:color="auto"/>
        <w:right w:val="none" w:sz="0" w:space="0" w:color="auto"/>
      </w:divBdr>
      <w:divsChild>
        <w:div w:id="1719670714">
          <w:marLeft w:val="0"/>
          <w:marRight w:val="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0"/>
              <w:marBottom w:val="0"/>
              <w:divBdr>
                <w:top w:val="none" w:sz="0" w:space="0" w:color="auto"/>
                <w:left w:val="none" w:sz="0" w:space="0" w:color="auto"/>
                <w:bottom w:val="none" w:sz="0" w:space="0" w:color="auto"/>
                <w:right w:val="none" w:sz="0" w:space="0" w:color="auto"/>
              </w:divBdr>
              <w:divsChild>
                <w:div w:id="1599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41673134">
      <w:bodyDiv w:val="1"/>
      <w:marLeft w:val="0"/>
      <w:marRight w:val="0"/>
      <w:marTop w:val="0"/>
      <w:marBottom w:val="0"/>
      <w:divBdr>
        <w:top w:val="none" w:sz="0" w:space="0" w:color="auto"/>
        <w:left w:val="none" w:sz="0" w:space="0" w:color="auto"/>
        <w:bottom w:val="none" w:sz="0" w:space="0" w:color="auto"/>
        <w:right w:val="none" w:sz="0" w:space="0" w:color="auto"/>
      </w:divBdr>
    </w:div>
    <w:div w:id="1257592287">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310941224">
      <w:bodyDiv w:val="1"/>
      <w:marLeft w:val="0"/>
      <w:marRight w:val="0"/>
      <w:marTop w:val="0"/>
      <w:marBottom w:val="0"/>
      <w:divBdr>
        <w:top w:val="none" w:sz="0" w:space="0" w:color="auto"/>
        <w:left w:val="none" w:sz="0" w:space="0" w:color="auto"/>
        <w:bottom w:val="none" w:sz="0" w:space="0" w:color="auto"/>
        <w:right w:val="none" w:sz="0" w:space="0" w:color="auto"/>
      </w:divBdr>
      <w:divsChild>
        <w:div w:id="1915161806">
          <w:marLeft w:val="0"/>
          <w:marRight w:val="0"/>
          <w:marTop w:val="0"/>
          <w:marBottom w:val="0"/>
          <w:divBdr>
            <w:top w:val="none" w:sz="0" w:space="0" w:color="auto"/>
            <w:left w:val="none" w:sz="0" w:space="0" w:color="auto"/>
            <w:bottom w:val="none" w:sz="0" w:space="0" w:color="auto"/>
            <w:right w:val="none" w:sz="0" w:space="0" w:color="auto"/>
          </w:divBdr>
          <w:divsChild>
            <w:div w:id="736511811">
              <w:marLeft w:val="0"/>
              <w:marRight w:val="0"/>
              <w:marTop w:val="0"/>
              <w:marBottom w:val="0"/>
              <w:divBdr>
                <w:top w:val="none" w:sz="0" w:space="0" w:color="auto"/>
                <w:left w:val="none" w:sz="0" w:space="0" w:color="auto"/>
                <w:bottom w:val="none" w:sz="0" w:space="0" w:color="auto"/>
                <w:right w:val="none" w:sz="0" w:space="0" w:color="auto"/>
              </w:divBdr>
              <w:divsChild>
                <w:div w:id="2008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3423">
      <w:bodyDiv w:val="1"/>
      <w:marLeft w:val="0"/>
      <w:marRight w:val="0"/>
      <w:marTop w:val="0"/>
      <w:marBottom w:val="0"/>
      <w:divBdr>
        <w:top w:val="none" w:sz="0" w:space="0" w:color="auto"/>
        <w:left w:val="none" w:sz="0" w:space="0" w:color="auto"/>
        <w:bottom w:val="none" w:sz="0" w:space="0" w:color="auto"/>
        <w:right w:val="none" w:sz="0" w:space="0" w:color="auto"/>
      </w:divBdr>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0090">
      <w:bodyDiv w:val="1"/>
      <w:marLeft w:val="0"/>
      <w:marRight w:val="0"/>
      <w:marTop w:val="0"/>
      <w:marBottom w:val="0"/>
      <w:divBdr>
        <w:top w:val="none" w:sz="0" w:space="0" w:color="auto"/>
        <w:left w:val="none" w:sz="0" w:space="0" w:color="auto"/>
        <w:bottom w:val="none" w:sz="0" w:space="0" w:color="auto"/>
        <w:right w:val="none" w:sz="0" w:space="0" w:color="auto"/>
      </w:divBdr>
      <w:divsChild>
        <w:div w:id="2134517852">
          <w:marLeft w:val="0"/>
          <w:marRight w:val="0"/>
          <w:marTop w:val="0"/>
          <w:marBottom w:val="0"/>
          <w:divBdr>
            <w:top w:val="none" w:sz="0" w:space="0" w:color="auto"/>
            <w:left w:val="none" w:sz="0" w:space="0" w:color="auto"/>
            <w:bottom w:val="none" w:sz="0" w:space="0" w:color="auto"/>
            <w:right w:val="none" w:sz="0" w:space="0" w:color="auto"/>
          </w:divBdr>
          <w:divsChild>
            <w:div w:id="1157182858">
              <w:marLeft w:val="0"/>
              <w:marRight w:val="0"/>
              <w:marTop w:val="0"/>
              <w:marBottom w:val="0"/>
              <w:divBdr>
                <w:top w:val="none" w:sz="0" w:space="0" w:color="auto"/>
                <w:left w:val="none" w:sz="0" w:space="0" w:color="auto"/>
                <w:bottom w:val="none" w:sz="0" w:space="0" w:color="auto"/>
                <w:right w:val="none" w:sz="0" w:space="0" w:color="auto"/>
              </w:divBdr>
              <w:divsChild>
                <w:div w:id="3110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20484493">
      <w:bodyDiv w:val="1"/>
      <w:marLeft w:val="0"/>
      <w:marRight w:val="0"/>
      <w:marTop w:val="0"/>
      <w:marBottom w:val="0"/>
      <w:divBdr>
        <w:top w:val="none" w:sz="0" w:space="0" w:color="auto"/>
        <w:left w:val="none" w:sz="0" w:space="0" w:color="auto"/>
        <w:bottom w:val="none" w:sz="0" w:space="0" w:color="auto"/>
        <w:right w:val="none" w:sz="0" w:space="0" w:color="auto"/>
      </w:divBdr>
      <w:divsChild>
        <w:div w:id="77672885">
          <w:marLeft w:val="0"/>
          <w:marRight w:val="0"/>
          <w:marTop w:val="0"/>
          <w:marBottom w:val="0"/>
          <w:divBdr>
            <w:top w:val="none" w:sz="0" w:space="0" w:color="auto"/>
            <w:left w:val="none" w:sz="0" w:space="0" w:color="auto"/>
            <w:bottom w:val="none" w:sz="0" w:space="0" w:color="auto"/>
            <w:right w:val="none" w:sz="0" w:space="0" w:color="auto"/>
          </w:divBdr>
          <w:divsChild>
            <w:div w:id="1810510952">
              <w:marLeft w:val="0"/>
              <w:marRight w:val="0"/>
              <w:marTop w:val="0"/>
              <w:marBottom w:val="0"/>
              <w:divBdr>
                <w:top w:val="none" w:sz="0" w:space="0" w:color="auto"/>
                <w:left w:val="none" w:sz="0" w:space="0" w:color="auto"/>
                <w:bottom w:val="none" w:sz="0" w:space="0" w:color="auto"/>
                <w:right w:val="none" w:sz="0" w:space="0" w:color="auto"/>
              </w:divBdr>
              <w:divsChild>
                <w:div w:id="7520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073">
      <w:bodyDiv w:val="1"/>
      <w:marLeft w:val="0"/>
      <w:marRight w:val="0"/>
      <w:marTop w:val="0"/>
      <w:marBottom w:val="0"/>
      <w:divBdr>
        <w:top w:val="none" w:sz="0" w:space="0" w:color="auto"/>
        <w:left w:val="none" w:sz="0" w:space="0" w:color="auto"/>
        <w:bottom w:val="none" w:sz="0" w:space="0" w:color="auto"/>
        <w:right w:val="none" w:sz="0" w:space="0" w:color="auto"/>
      </w:divBdr>
      <w:divsChild>
        <w:div w:id="1632129973">
          <w:marLeft w:val="0"/>
          <w:marRight w:val="0"/>
          <w:marTop w:val="0"/>
          <w:marBottom w:val="0"/>
          <w:divBdr>
            <w:top w:val="none" w:sz="0" w:space="0" w:color="auto"/>
            <w:left w:val="none" w:sz="0" w:space="0" w:color="auto"/>
            <w:bottom w:val="none" w:sz="0" w:space="0" w:color="auto"/>
            <w:right w:val="none" w:sz="0" w:space="0" w:color="auto"/>
          </w:divBdr>
          <w:divsChild>
            <w:div w:id="1504130424">
              <w:marLeft w:val="0"/>
              <w:marRight w:val="0"/>
              <w:marTop w:val="0"/>
              <w:marBottom w:val="0"/>
              <w:divBdr>
                <w:top w:val="none" w:sz="0" w:space="0" w:color="auto"/>
                <w:left w:val="none" w:sz="0" w:space="0" w:color="auto"/>
                <w:bottom w:val="none" w:sz="0" w:space="0" w:color="auto"/>
                <w:right w:val="none" w:sz="0" w:space="0" w:color="auto"/>
              </w:divBdr>
              <w:divsChild>
                <w:div w:id="659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407">
      <w:bodyDiv w:val="1"/>
      <w:marLeft w:val="0"/>
      <w:marRight w:val="0"/>
      <w:marTop w:val="0"/>
      <w:marBottom w:val="0"/>
      <w:divBdr>
        <w:top w:val="none" w:sz="0" w:space="0" w:color="auto"/>
        <w:left w:val="none" w:sz="0" w:space="0" w:color="auto"/>
        <w:bottom w:val="none" w:sz="0" w:space="0" w:color="auto"/>
        <w:right w:val="none" w:sz="0" w:space="0" w:color="auto"/>
      </w:divBdr>
    </w:div>
    <w:div w:id="2086145861">
      <w:bodyDiv w:val="1"/>
      <w:marLeft w:val="0"/>
      <w:marRight w:val="0"/>
      <w:marTop w:val="0"/>
      <w:marBottom w:val="0"/>
      <w:divBdr>
        <w:top w:val="none" w:sz="0" w:space="0" w:color="auto"/>
        <w:left w:val="none" w:sz="0" w:space="0" w:color="auto"/>
        <w:bottom w:val="none" w:sz="0" w:space="0" w:color="auto"/>
        <w:right w:val="none" w:sz="0" w:space="0" w:color="auto"/>
      </w:divBdr>
      <w:divsChild>
        <w:div w:id="2003314454">
          <w:marLeft w:val="0"/>
          <w:marRight w:val="0"/>
          <w:marTop w:val="0"/>
          <w:marBottom w:val="0"/>
          <w:divBdr>
            <w:top w:val="none" w:sz="0" w:space="0" w:color="auto"/>
            <w:left w:val="none" w:sz="0" w:space="0" w:color="auto"/>
            <w:bottom w:val="none" w:sz="0" w:space="0" w:color="auto"/>
            <w:right w:val="none" w:sz="0" w:space="0" w:color="auto"/>
          </w:divBdr>
          <w:divsChild>
            <w:div w:id="454063048">
              <w:marLeft w:val="0"/>
              <w:marRight w:val="0"/>
              <w:marTop w:val="0"/>
              <w:marBottom w:val="0"/>
              <w:divBdr>
                <w:top w:val="none" w:sz="0" w:space="0" w:color="auto"/>
                <w:left w:val="none" w:sz="0" w:space="0" w:color="auto"/>
                <w:bottom w:val="none" w:sz="0" w:space="0" w:color="auto"/>
                <w:right w:val="none" w:sz="0" w:space="0" w:color="auto"/>
              </w:divBdr>
              <w:divsChild>
                <w:div w:id="837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515">
      <w:bodyDiv w:val="1"/>
      <w:marLeft w:val="0"/>
      <w:marRight w:val="0"/>
      <w:marTop w:val="0"/>
      <w:marBottom w:val="0"/>
      <w:divBdr>
        <w:top w:val="none" w:sz="0" w:space="0" w:color="auto"/>
        <w:left w:val="none" w:sz="0" w:space="0" w:color="auto"/>
        <w:bottom w:val="none" w:sz="0" w:space="0" w:color="auto"/>
        <w:right w:val="none" w:sz="0" w:space="0" w:color="auto"/>
      </w:divBdr>
      <w:divsChild>
        <w:div w:id="1323701586">
          <w:marLeft w:val="0"/>
          <w:marRight w:val="0"/>
          <w:marTop w:val="0"/>
          <w:marBottom w:val="0"/>
          <w:divBdr>
            <w:top w:val="none" w:sz="0" w:space="0" w:color="auto"/>
            <w:left w:val="none" w:sz="0" w:space="0" w:color="auto"/>
            <w:bottom w:val="none" w:sz="0" w:space="0" w:color="auto"/>
            <w:right w:val="none" w:sz="0" w:space="0" w:color="auto"/>
          </w:divBdr>
          <w:divsChild>
            <w:div w:id="973608026">
              <w:marLeft w:val="0"/>
              <w:marRight w:val="0"/>
              <w:marTop w:val="0"/>
              <w:marBottom w:val="0"/>
              <w:divBdr>
                <w:top w:val="none" w:sz="0" w:space="0" w:color="auto"/>
                <w:left w:val="none" w:sz="0" w:space="0" w:color="auto"/>
                <w:bottom w:val="none" w:sz="0" w:space="0" w:color="auto"/>
                <w:right w:val="none" w:sz="0" w:space="0" w:color="auto"/>
              </w:divBdr>
              <w:divsChild>
                <w:div w:id="9797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845">
      <w:bodyDiv w:val="1"/>
      <w:marLeft w:val="0"/>
      <w:marRight w:val="0"/>
      <w:marTop w:val="0"/>
      <w:marBottom w:val="0"/>
      <w:divBdr>
        <w:top w:val="none" w:sz="0" w:space="0" w:color="auto"/>
        <w:left w:val="none" w:sz="0" w:space="0" w:color="auto"/>
        <w:bottom w:val="none" w:sz="0" w:space="0" w:color="auto"/>
        <w:right w:val="none" w:sz="0" w:space="0" w:color="auto"/>
      </w:divBdr>
      <w:divsChild>
        <w:div w:id="966549687">
          <w:marLeft w:val="0"/>
          <w:marRight w:val="0"/>
          <w:marTop w:val="0"/>
          <w:marBottom w:val="0"/>
          <w:divBdr>
            <w:top w:val="none" w:sz="0" w:space="0" w:color="auto"/>
            <w:left w:val="none" w:sz="0" w:space="0" w:color="auto"/>
            <w:bottom w:val="none" w:sz="0" w:space="0" w:color="auto"/>
            <w:right w:val="none" w:sz="0" w:space="0" w:color="auto"/>
          </w:divBdr>
          <w:divsChild>
            <w:div w:id="654143807">
              <w:marLeft w:val="0"/>
              <w:marRight w:val="0"/>
              <w:marTop w:val="0"/>
              <w:marBottom w:val="0"/>
              <w:divBdr>
                <w:top w:val="none" w:sz="0" w:space="0" w:color="auto"/>
                <w:left w:val="none" w:sz="0" w:space="0" w:color="auto"/>
                <w:bottom w:val="none" w:sz="0" w:space="0" w:color="auto"/>
                <w:right w:val="none" w:sz="0" w:space="0" w:color="auto"/>
              </w:divBdr>
              <w:divsChild>
                <w:div w:id="1645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A3847-279A-4F06-9B25-D630467B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GEberso</cp:lastModifiedBy>
  <cp:revision>3</cp:revision>
  <cp:lastPrinted>2012-09-28T21:44:00Z</cp:lastPrinted>
  <dcterms:created xsi:type="dcterms:W3CDTF">2013-03-20T17:08:00Z</dcterms:created>
  <dcterms:modified xsi:type="dcterms:W3CDTF">2013-03-20T17:10:00Z</dcterms:modified>
</cp:coreProperties>
</file>