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0D1EB7" w:rsidRPr="00091A01" w:rsidRDefault="000D1EB7" w:rsidP="000D1EB7">
      <w:pPr>
        <w:keepNext/>
        <w:spacing w:before="240" w:after="60" w:line="240" w:lineRule="auto"/>
        <w:outlineLvl w:val="0"/>
        <w:rPr>
          <w:rFonts w:ascii="Verdana" w:eastAsia="Times New Roman" w:hAnsi="Verdana" w:cs="Times New Roman"/>
          <w:b/>
          <w:bCs/>
          <w:color w:val="000000"/>
          <w:kern w:val="32"/>
          <w:sz w:val="24"/>
          <w:szCs w:val="24"/>
        </w:rPr>
      </w:pPr>
      <w:r w:rsidRPr="00091A01">
        <w:rPr>
          <w:rFonts w:ascii="Verdana" w:eastAsia="Times New Roman" w:hAnsi="Verdana" w:cs="Times New Roman"/>
          <w:b/>
          <w:bCs/>
          <w:kern w:val="32"/>
          <w:sz w:val="24"/>
          <w:szCs w:val="24"/>
        </w:rPr>
        <w:t xml:space="preserve">Table 2 </w:t>
      </w:r>
    </w:p>
    <w:p w:rsidR="000D1EB7" w:rsidRPr="00091A01" w:rsidRDefault="000D1EB7" w:rsidP="000D1EB7">
      <w:pPr>
        <w:keepNext/>
        <w:spacing w:before="240" w:after="60" w:line="240" w:lineRule="auto"/>
        <w:outlineLvl w:val="2"/>
        <w:rPr>
          <w:rFonts w:ascii="Verdana" w:eastAsia="Times New Roman" w:hAnsi="Verdana" w:cs="Arial"/>
          <w:b/>
          <w:bCs/>
          <w:sz w:val="20"/>
          <w:szCs w:val="20"/>
        </w:rPr>
      </w:pPr>
      <w:proofErr w:type="gramStart"/>
      <w:r w:rsidRPr="00091A01">
        <w:rPr>
          <w:rFonts w:ascii="Verdana" w:eastAsia="Times New Roman" w:hAnsi="Verdana" w:cs="Arial"/>
          <w:b/>
          <w:bCs/>
          <w:sz w:val="20"/>
          <w:szCs w:val="20"/>
        </w:rPr>
        <w:t>Part 1.</w:t>
      </w:r>
      <w:proofErr w:type="gramEnd"/>
      <w:r w:rsidRPr="00091A01">
        <w:rPr>
          <w:rFonts w:ascii="Verdana" w:eastAsia="Times New Roman" w:hAnsi="Verdana" w:cs="Arial"/>
          <w:b/>
          <w:bCs/>
          <w:sz w:val="20"/>
          <w:szCs w:val="20"/>
        </w:rPr>
        <w:t xml:space="preserve">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264"/>
        <w:gridCol w:w="2906"/>
      </w:tblGrid>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$3,000.00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Assignment to General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w:t>
            </w:r>
            <w:r w:rsidRPr="004001C3">
              <w:rPr>
                <w:rFonts w:ascii="Verdana" w:eastAsia="Times New Roman" w:hAnsi="Verdana" w:cs="Times New Roman"/>
                <w:color w:val="000000"/>
                <w:sz w:val="20"/>
                <w:szCs w:val="20"/>
              </w:rPr>
              <w:t>*</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Construction ACDP</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$9,600.00</w:t>
            </w:r>
          </w:p>
        </w:tc>
      </w:tr>
      <w:tr w:rsidR="000D1EB7" w:rsidRPr="005F5797" w:rsidTr="000D1EB7">
        <w:trPr>
          <w:tblCellSpacing w:w="15" w:type="dxa"/>
        </w:trPr>
        <w:tc>
          <w:tcPr>
            <w:tcW w:w="0" w:type="auto"/>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f. Standard ACDP</w:t>
            </w:r>
          </w:p>
        </w:tc>
        <w:tc>
          <w:tcPr>
            <w:tcW w:w="0" w:type="auto"/>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0" w:type="auto"/>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g. Standard ACDP (PSD/NSR)</w:t>
            </w:r>
          </w:p>
        </w:tc>
        <w:tc>
          <w:tcPr>
            <w:tcW w:w="0" w:type="auto"/>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bl>
    <w:p w:rsidR="000D1EB7" w:rsidRDefault="000D1EB7" w:rsidP="000D1EB7">
      <w:pPr>
        <w:keepNext/>
        <w:spacing w:before="60" w:after="60" w:line="240" w:lineRule="auto"/>
        <w:outlineLvl w:val="2"/>
        <w:rPr>
          <w:rFonts w:ascii="Verdana" w:hAnsi="Verdana"/>
          <w:sz w:val="20"/>
          <w:szCs w:val="20"/>
        </w:rPr>
      </w:pPr>
      <w:r w:rsidRPr="00A410BD">
        <w:rPr>
          <w:rFonts w:ascii="Verdana" w:hAnsi="Verdana"/>
          <w:sz w:val="20"/>
          <w:szCs w:val="20"/>
        </w:rPr>
        <w:t>*</w:t>
      </w:r>
      <w:r>
        <w:rPr>
          <w:rFonts w:ascii="Verdana" w:hAnsi="Verdana"/>
          <w:sz w:val="20"/>
          <w:szCs w:val="20"/>
        </w:rPr>
        <w:t>DEQ may waive the assignment fee for a</w:t>
      </w:r>
      <w:r w:rsidRPr="00A410BD">
        <w:rPr>
          <w:rFonts w:ascii="Verdana" w:hAnsi="Verdana"/>
          <w:sz w:val="20"/>
          <w:szCs w:val="20"/>
        </w:rPr>
        <w:t>n</w:t>
      </w:r>
      <w:r>
        <w:rPr>
          <w:rFonts w:ascii="Verdana" w:hAnsi="Verdana"/>
          <w:sz w:val="20"/>
          <w:szCs w:val="20"/>
        </w:rPr>
        <w:t xml:space="preserve"> </w:t>
      </w:r>
      <w:r w:rsidRPr="00A410BD">
        <w:rPr>
          <w:rFonts w:ascii="Verdana" w:hAnsi="Verdana"/>
          <w:sz w:val="20"/>
          <w:szCs w:val="20"/>
        </w:rPr>
        <w:t xml:space="preserve">existing </w:t>
      </w:r>
      <w:r>
        <w:rPr>
          <w:rFonts w:ascii="Verdana" w:hAnsi="Verdana"/>
          <w:sz w:val="20"/>
          <w:szCs w:val="20"/>
        </w:rPr>
        <w:t>s</w:t>
      </w:r>
      <w:r w:rsidRPr="00A410BD">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A410BD">
        <w:rPr>
          <w:rFonts w:ascii="Verdana" w:hAnsi="Verdana"/>
          <w:sz w:val="20"/>
          <w:szCs w:val="20"/>
        </w:rPr>
        <w:t xml:space="preserve">newly adopted </w:t>
      </w:r>
      <w:r>
        <w:rPr>
          <w:rFonts w:ascii="Verdana" w:hAnsi="Verdana"/>
          <w:sz w:val="20"/>
          <w:szCs w:val="20"/>
        </w:rPr>
        <w:t xml:space="preserve">area source NESHAP as long as the </w:t>
      </w:r>
      <w:r w:rsidRPr="00A410BD">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2.</w:t>
      </w:r>
      <w:proofErr w:type="gramEnd"/>
      <w:r w:rsidRPr="00091A01">
        <w:rPr>
          <w:rFonts w:ascii="Verdana" w:eastAsia="Times New Roman" w:hAnsi="Verdana" w:cs="Arial"/>
          <w:b/>
          <w:bCs/>
          <w:sz w:val="20"/>
          <w:szCs w:val="20"/>
        </w:rPr>
        <w:t xml:space="preserve">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194"/>
        <w:gridCol w:w="4591"/>
        <w:gridCol w:w="2385"/>
      </w:tblGrid>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Short Term Activity ACDP</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$NA</w:t>
            </w:r>
          </w:p>
        </w:tc>
      </w:tr>
      <w:tr w:rsidR="000D1EB7" w:rsidRPr="005F5797" w:rsidTr="000D1EB7">
        <w:trPr>
          <w:tblCellSpacing w:w="15" w:type="dxa"/>
        </w:trPr>
        <w:tc>
          <w:tcPr>
            <w:tcW w:w="1549"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Basic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$360.00 </w:t>
            </w:r>
          </w:p>
        </w:tc>
      </w:tr>
      <w:tr w:rsidR="000D1EB7" w:rsidRPr="005F5797" w:rsidTr="000D1EB7">
        <w:trPr>
          <w:tblCellSpacing w:w="15" w:type="dxa"/>
        </w:trPr>
        <w:tc>
          <w:tcPr>
            <w:tcW w:w="1549" w:type="pct"/>
            <w:vMerge w:val="restart"/>
            <w:tcBorders>
              <w:top w:val="nil"/>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General ACDP</w:t>
            </w: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Fee Class One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$720.00 </w:t>
            </w:r>
          </w:p>
        </w:tc>
      </w:tr>
      <w:tr w:rsidR="000D1EB7" w:rsidRPr="005F5797" w:rsidTr="000D1EB7">
        <w:trPr>
          <w:tblCellSpacing w:w="15" w:type="dxa"/>
        </w:trPr>
        <w:tc>
          <w:tcPr>
            <w:tcW w:w="1549" w:type="pct"/>
            <w:vMerge/>
            <w:tcBorders>
              <w:left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Fee Class Two</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$1,296.00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Fee Class Three</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$1,872.00  </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Fee Class Four</w:t>
            </w: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(E) Fee Class Five</w:t>
            </w:r>
          </w:p>
        </w:tc>
        <w:tc>
          <w:tcPr>
            <w:tcW w:w="1150" w:type="pct"/>
            <w:tcBorders>
              <w:top w:val="nil"/>
              <w:left w:val="nil"/>
              <w:bottom w:val="nil"/>
              <w:right w:val="nil"/>
            </w:tcBorders>
            <w:shd w:val="clear" w:color="auto" w:fill="EEECE1"/>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w:t>
            </w:r>
          </w:p>
        </w:tc>
      </w:tr>
      <w:tr w:rsidR="000D1EB7" w:rsidRPr="005F5797" w:rsidTr="000D1EB7">
        <w:trPr>
          <w:tblCellSpacing w:w="15" w:type="dxa"/>
        </w:trPr>
        <w:tc>
          <w:tcPr>
            <w:tcW w:w="1549" w:type="pct"/>
            <w:vMerge/>
            <w:tcBorders>
              <w:left w:val="nil"/>
              <w:right w:val="nil"/>
            </w:tcBorders>
            <w:shd w:val="clear" w:color="auto" w:fill="auto"/>
            <w:vAlign w:val="center"/>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EEECE1"/>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(F) Fee Class Six</w:t>
            </w:r>
          </w:p>
        </w:tc>
        <w:tc>
          <w:tcPr>
            <w:tcW w:w="1150" w:type="pct"/>
            <w:tcBorders>
              <w:top w:val="nil"/>
              <w:left w:val="nil"/>
              <w:bottom w:val="nil"/>
              <w:right w:val="nil"/>
            </w:tcBorders>
            <w:shd w:val="clear" w:color="auto" w:fill="EEECE1"/>
          </w:tcPr>
          <w:p w:rsidR="000D1EB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$240.00</w:t>
            </w:r>
          </w:p>
        </w:tc>
      </w:tr>
      <w:tr w:rsidR="000D1EB7" w:rsidRPr="005F5797" w:rsidTr="000D1EB7">
        <w:trPr>
          <w:tblCellSpacing w:w="15" w:type="dxa"/>
        </w:trPr>
        <w:tc>
          <w:tcPr>
            <w:tcW w:w="1549" w:type="pct"/>
            <w:vMerge w:val="restart"/>
            <w:tcBorders>
              <w:top w:val="nil"/>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Simple ACDP</w:t>
            </w: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(A) Low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$1,920.00</w:t>
            </w:r>
          </w:p>
        </w:tc>
      </w:tr>
      <w:tr w:rsidR="000D1EB7" w:rsidRPr="005F5797" w:rsidTr="000D1EB7">
        <w:trPr>
          <w:tblCellSpacing w:w="15" w:type="dxa"/>
        </w:trPr>
        <w:tc>
          <w:tcPr>
            <w:tcW w:w="1549" w:type="pct"/>
            <w:vMerge/>
            <w:tcBorders>
              <w:left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2242"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High Fee</w:t>
            </w:r>
          </w:p>
        </w:tc>
        <w:tc>
          <w:tcPr>
            <w:tcW w:w="1150" w:type="pct"/>
            <w:tcBorders>
              <w:top w:val="nil"/>
              <w:left w:val="nil"/>
              <w:bottom w:val="nil"/>
              <w:right w:val="nil"/>
            </w:tcBorders>
            <w:shd w:val="clear" w:color="auto" w:fill="auto"/>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$3,840.00</w:t>
            </w:r>
          </w:p>
        </w:tc>
      </w:tr>
      <w:tr w:rsidR="000D1EB7" w:rsidRPr="005F5797" w:rsidTr="000D1EB7">
        <w:trPr>
          <w:tblCellSpacing w:w="15" w:type="dxa"/>
        </w:trPr>
        <w:tc>
          <w:tcPr>
            <w:tcW w:w="1549"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
        </w:tc>
        <w:tc>
          <w:tcPr>
            <w:tcW w:w="1150" w:type="pct"/>
            <w:tcBorders>
              <w:top w:val="nil"/>
              <w:left w:val="nil"/>
              <w:bottom w:val="nil"/>
              <w:right w:val="nil"/>
            </w:tcBorders>
            <w:shd w:val="clear" w:color="auto" w:fill="EFEBDE"/>
          </w:tcPr>
          <w:p w:rsidR="000D1EB7" w:rsidRPr="005F5797" w:rsidRDefault="000D1EB7" w:rsidP="000D1EB7">
            <w:pPr>
              <w:spacing w:before="100" w:beforeAutospacing="1" w:after="100" w:afterAutospacing="1"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$7,680.00</w:t>
            </w:r>
          </w:p>
        </w:tc>
      </w:tr>
    </w:tbl>
    <w:p w:rsidR="000D1EB7" w:rsidRDefault="000D1EB7" w:rsidP="000D1EB7">
      <w:pPr>
        <w:keepNext/>
        <w:spacing w:before="60" w:after="60" w:line="240" w:lineRule="auto"/>
        <w:outlineLvl w:val="2"/>
        <w:rPr>
          <w:rFonts w:ascii="Verdana" w:eastAsia="Times New Roman" w:hAnsi="Verdana" w:cs="Arial"/>
          <w:b/>
          <w:bCs/>
          <w:sz w:val="20"/>
          <w:szCs w:val="20"/>
        </w:rPr>
      </w:pPr>
      <w:r w:rsidRPr="00A410BD">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A410BD">
        <w:rPr>
          <w:rFonts w:ascii="Verdana" w:hAnsi="Verdana"/>
          <w:sz w:val="20"/>
          <w:szCs w:val="20"/>
        </w:rPr>
        <w:t xml:space="preserve">for </w:t>
      </w:r>
      <w:r>
        <w:rPr>
          <w:rFonts w:ascii="Verdana" w:hAnsi="Verdana"/>
          <w:sz w:val="20"/>
          <w:szCs w:val="20"/>
        </w:rPr>
        <w:t>d</w:t>
      </w:r>
      <w:r w:rsidRPr="00A410BD">
        <w:rPr>
          <w:rFonts w:ascii="Verdana" w:hAnsi="Verdana"/>
          <w:sz w:val="20"/>
          <w:szCs w:val="20"/>
        </w:rPr>
        <w:t xml:space="preserve">ry </w:t>
      </w:r>
      <w:r>
        <w:rPr>
          <w:rFonts w:ascii="Verdana" w:hAnsi="Verdana"/>
          <w:sz w:val="20"/>
          <w:szCs w:val="20"/>
        </w:rPr>
        <w:t>c</w:t>
      </w:r>
      <w:r w:rsidRPr="00A410BD">
        <w:rPr>
          <w:rFonts w:ascii="Verdana" w:hAnsi="Verdana"/>
          <w:sz w:val="20"/>
          <w:szCs w:val="20"/>
        </w:rPr>
        <w:t xml:space="preserve">leaners or </w:t>
      </w:r>
      <w:r>
        <w:rPr>
          <w:rFonts w:ascii="Verdana" w:hAnsi="Verdana"/>
          <w:sz w:val="20"/>
          <w:szCs w:val="20"/>
        </w:rPr>
        <w:t>g</w:t>
      </w:r>
      <w:r w:rsidRPr="00A410BD">
        <w:rPr>
          <w:rFonts w:ascii="Verdana" w:hAnsi="Verdana"/>
          <w:sz w:val="20"/>
          <w:szCs w:val="20"/>
        </w:rPr>
        <w:t xml:space="preserve">asoline </w:t>
      </w:r>
      <w:r>
        <w:rPr>
          <w:rFonts w:ascii="Verdana" w:hAnsi="Verdana"/>
          <w:sz w:val="20"/>
          <w:szCs w:val="20"/>
        </w:rPr>
        <w:t>d</w:t>
      </w:r>
      <w:r w:rsidRPr="00A410BD">
        <w:rPr>
          <w:rFonts w:ascii="Verdana" w:hAnsi="Verdana"/>
          <w:sz w:val="20"/>
          <w:szCs w:val="20"/>
        </w:rPr>
        <w:t xml:space="preserve">ispensing </w:t>
      </w:r>
      <w:r>
        <w:rPr>
          <w:rFonts w:ascii="Verdana" w:hAnsi="Verdana"/>
          <w:sz w:val="20"/>
          <w:szCs w:val="20"/>
        </w:rPr>
        <w:t>f</w:t>
      </w:r>
      <w:r w:rsidRPr="00A410BD">
        <w:rPr>
          <w:rFonts w:ascii="Verdana" w:hAnsi="Verdana"/>
          <w:sz w:val="20"/>
          <w:szCs w:val="20"/>
        </w:rPr>
        <w:t>acilities may be extended by the Department until March 1st.</w:t>
      </w:r>
    </w:p>
    <w:p w:rsidR="000D1EB7" w:rsidRPr="00091A01" w:rsidRDefault="000D1EB7" w:rsidP="000D1EB7">
      <w:pPr>
        <w:keepNext/>
        <w:spacing w:before="240" w:after="60" w:line="240" w:lineRule="auto"/>
        <w:outlineLvl w:val="2"/>
        <w:rPr>
          <w:rFonts w:ascii="Verdana" w:eastAsia="Times New Roman" w:hAnsi="Verdana" w:cs="Arial"/>
          <w:b/>
          <w:bCs/>
          <w:color w:val="663300"/>
          <w:sz w:val="20"/>
          <w:szCs w:val="20"/>
        </w:rPr>
      </w:pPr>
      <w:proofErr w:type="gramStart"/>
      <w:r w:rsidRPr="00091A01">
        <w:rPr>
          <w:rFonts w:ascii="Verdana" w:eastAsia="Times New Roman" w:hAnsi="Verdana" w:cs="Arial"/>
          <w:b/>
          <w:bCs/>
          <w:sz w:val="20"/>
          <w:szCs w:val="20"/>
        </w:rPr>
        <w:t>Part 3.</w:t>
      </w:r>
      <w:proofErr w:type="gramEnd"/>
      <w:r w:rsidRPr="00091A01">
        <w:rPr>
          <w:rFonts w:ascii="Verdana" w:eastAsia="Times New Roman" w:hAnsi="Verdana" w:cs="Arial"/>
          <w:b/>
          <w:bCs/>
          <w:sz w:val="20"/>
          <w:szCs w:val="20"/>
        </w:rPr>
        <w:t xml:space="preserve">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7452"/>
        <w:gridCol w:w="2718"/>
      </w:tblGrid>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$360.00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$1,200.00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$42,000.00  </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$2,400.00</w:t>
            </w:r>
          </w:p>
        </w:tc>
      </w:tr>
      <w:tr w:rsidR="000D1EB7" w:rsidRPr="005F5797" w:rsidTr="000D1EB7">
        <w:trPr>
          <w:tblCellSpacing w:w="15" w:type="dxa"/>
        </w:trPr>
        <w:tc>
          <w:tcPr>
            <w:tcW w:w="3636" w:type="pct"/>
            <w:tcBorders>
              <w:top w:val="nil"/>
              <w:left w:val="nil"/>
              <w:bottom w:val="nil"/>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proofErr w:type="spellStart"/>
            <w:r w:rsidRPr="005F5797">
              <w:rPr>
                <w:rFonts w:ascii="Verdana" w:eastAsia="Times New Roman" w:hAnsi="Verdana" w:cs="Times New Roman"/>
                <w:color w:val="000000"/>
                <w:sz w:val="20"/>
                <w:szCs w:val="20"/>
              </w:rPr>
              <w:t>i</w:t>
            </w:r>
            <w:proofErr w:type="spellEnd"/>
            <w:r w:rsidRPr="005F5797">
              <w:rPr>
                <w:rFonts w:ascii="Verdana" w:eastAsia="Times New Roman" w:hAnsi="Verdana" w:cs="Times New Roman"/>
                <w:color w:val="000000"/>
                <w:sz w:val="20"/>
                <w:szCs w:val="20"/>
              </w:rPr>
              <w:t>. State MACT Determination</w:t>
            </w:r>
          </w:p>
        </w:tc>
        <w:tc>
          <w:tcPr>
            <w:tcW w:w="1312" w:type="pct"/>
            <w:tcBorders>
              <w:top w:val="nil"/>
              <w:left w:val="nil"/>
              <w:bottom w:val="nil"/>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$6,000.00</w:t>
            </w:r>
          </w:p>
        </w:tc>
      </w:tr>
      <w:tr w:rsidR="000D1EB7" w:rsidRPr="005F5797" w:rsidTr="000D1EB7">
        <w:trPr>
          <w:tblCellSpacing w:w="15" w:type="dxa"/>
        </w:trPr>
        <w:tc>
          <w:tcPr>
            <w:tcW w:w="3636" w:type="pct"/>
            <w:tcBorders>
              <w:top w:val="nil"/>
              <w:left w:val="nil"/>
              <w:bottom w:val="nil"/>
              <w:right w:val="nil"/>
            </w:tcBorders>
            <w:shd w:val="clear" w:color="auto" w:fill="auto"/>
          </w:tcPr>
          <w:p w:rsidR="000D1EB7" w:rsidRPr="005F5797" w:rsidRDefault="000D1EB7" w:rsidP="000D1EB7">
            <w:pPr>
              <w:spacing w:after="0" w:line="240" w:lineRule="auto"/>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lastRenderedPageBreak/>
              <w:t>j. Compliance Order Monitoring (6)</w:t>
            </w:r>
          </w:p>
        </w:tc>
        <w:tc>
          <w:tcPr>
            <w:tcW w:w="1312" w:type="pct"/>
            <w:tcBorders>
              <w:top w:val="nil"/>
              <w:left w:val="nil"/>
              <w:bottom w:val="nil"/>
              <w:right w:val="nil"/>
            </w:tcBorders>
            <w:shd w:val="clear" w:color="auto" w:fill="auto"/>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sidRPr="005F5797">
              <w:rPr>
                <w:rFonts w:ascii="Verdana" w:eastAsia="Times New Roman" w:hAnsi="Verdana" w:cs="Times New Roman"/>
                <w:color w:val="000000"/>
                <w:sz w:val="20"/>
                <w:szCs w:val="20"/>
              </w:rPr>
              <w:t xml:space="preserve"> $120.00/month</w:t>
            </w:r>
          </w:p>
        </w:tc>
      </w:tr>
      <w:tr w:rsidR="000D1EB7" w:rsidRPr="005F5797" w:rsidTr="000D1EB7">
        <w:trPr>
          <w:tblCellSpacing w:w="15" w:type="dxa"/>
        </w:trPr>
        <w:tc>
          <w:tcPr>
            <w:tcW w:w="3636" w:type="pct"/>
            <w:tcBorders>
              <w:top w:val="nil"/>
              <w:left w:val="nil"/>
              <w:bottom w:val="outset" w:sz="6" w:space="0" w:color="auto"/>
              <w:right w:val="nil"/>
            </w:tcBorders>
            <w:shd w:val="clear" w:color="auto" w:fill="EFEBDE"/>
          </w:tcPr>
          <w:p w:rsidR="000D1EB7" w:rsidRPr="005F5797" w:rsidRDefault="000D1EB7" w:rsidP="000D1EB7">
            <w:pPr>
              <w:spacing w:after="0"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0D1EB7" w:rsidRPr="005F5797" w:rsidRDefault="000D1EB7" w:rsidP="000D1EB7">
            <w:pPr>
              <w:spacing w:after="0"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rPr>
              <w:t>15% of the applicable annual fee in Part 2</w:t>
            </w:r>
          </w:p>
        </w:tc>
      </w:tr>
    </w:tbl>
    <w:p w:rsidR="000D1EB7" w:rsidRDefault="000D1EB7" w:rsidP="000D1EB7">
      <w:pPr>
        <w:pStyle w:val="Heading3"/>
        <w:rPr>
          <w:rFonts w:ascii="Verdana" w:hAnsi="Verdana"/>
          <w:color w:val="663300"/>
          <w:sz w:val="20"/>
          <w:szCs w:val="20"/>
        </w:rPr>
      </w:pPr>
      <w:proofErr w:type="gramStart"/>
      <w:r>
        <w:t>Part 4.</w:t>
      </w:r>
      <w:proofErr w:type="gramEnd"/>
      <w:r>
        <w:t xml:space="preserve"> Late Fees:</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0D1EB7" w:rsidRDefault="000D1EB7" w:rsidP="000D1EB7">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0D1EB7" w:rsidRDefault="000D1EB7" w:rsidP="000D1EB7">
      <w:pPr>
        <w:numPr>
          <w:ilvl w:val="0"/>
          <w:numId w:val="4"/>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0D1EB7" w:rsidRPr="00CA639C" w:rsidRDefault="000D1EB7" w:rsidP="000D1EB7">
      <w:pPr>
        <w:numPr>
          <w:ilvl w:val="0"/>
          <w:numId w:val="4"/>
        </w:numPr>
        <w:spacing w:before="100" w:beforeAutospacing="1" w:after="0" w:afterAutospacing="1" w:line="240" w:lineRule="auto"/>
        <w:rPr>
          <w:rFonts w:ascii="Verdana" w:eastAsia="Calibri" w:hAnsi="Verdana" w:cs="Times New Roman"/>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0D1EB7" w:rsidRPr="000D1EB7" w:rsidRDefault="000D1EB7" w:rsidP="000D1EB7">
      <w:pPr>
        <w:numPr>
          <w:ilvl w:val="0"/>
          <w:numId w:val="4"/>
        </w:numPr>
        <w:spacing w:before="100" w:beforeAutospacing="1" w:after="0" w:afterAutospacing="1" w:line="240" w:lineRule="auto"/>
        <w:rPr>
          <w:rFonts w:ascii="Verdana" w:hAnsi="Verdana"/>
          <w:color w:val="000000"/>
          <w:sz w:val="20"/>
          <w:szCs w:val="20"/>
        </w:rPr>
      </w:pPr>
      <w:r w:rsidRPr="00CA639C">
        <w:rPr>
          <w:rFonts w:ascii="Verdana" w:hAnsi="Verdana"/>
          <w:color w:val="000000"/>
          <w:sz w:val="20"/>
          <w:szCs w:val="20"/>
        </w:rPr>
        <w:t xml:space="preserve">This is a </w:t>
      </w:r>
      <w:proofErr w:type="spellStart"/>
      <w:r w:rsidRPr="00CA639C">
        <w:rPr>
          <w:rFonts w:ascii="Verdana" w:hAnsi="Verdana"/>
          <w:color w:val="000000"/>
          <w:sz w:val="20"/>
          <w:szCs w:val="20"/>
        </w:rPr>
        <w:t>one time</w:t>
      </w:r>
      <w:proofErr w:type="spellEnd"/>
      <w:r w:rsidRPr="00CA639C">
        <w:rPr>
          <w:rFonts w:ascii="Verdana" w:hAnsi="Verdana"/>
          <w:color w:val="000000"/>
          <w:sz w:val="20"/>
          <w:szCs w:val="20"/>
        </w:rPr>
        <w:t xml:space="preserve"> fee payable when a Compliance Order is established in a Permit or a Department Order containing a compliance schedule becomes a Final Order of the Department and is based on the number of months the Department will have to oversee the Order.</w:t>
      </w:r>
    </w:p>
    <w:sectPr w:rsidR="000D1EB7" w:rsidRPr="000D1EB7" w:rsidSect="00026B5C">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6163"/>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328F"/>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2031"/>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A3847-279A-4F06-9B25-D630467B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2012-09-28T21:44:00Z</cp:lastPrinted>
  <dcterms:created xsi:type="dcterms:W3CDTF">2013-03-20T17:08:00Z</dcterms:created>
  <dcterms:modified xsi:type="dcterms:W3CDTF">2013-03-20T17:10:00Z</dcterms:modified>
</cp:coreProperties>
</file>